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5D48" w14:textId="41085442" w:rsidR="007A3A2F" w:rsidRPr="00EC2B8F" w:rsidRDefault="007A3A2F" w:rsidP="007A3A2F">
      <w:pPr>
        <w:pStyle w:val="titel"/>
        <w:rPr>
          <w:sz w:val="22"/>
          <w:szCs w:val="22"/>
          <w:lang w:val="en-US"/>
        </w:rPr>
      </w:pPr>
      <w:r w:rsidRPr="00EC2B8F">
        <w:rPr>
          <w:sz w:val="22"/>
          <w:szCs w:val="22"/>
          <w:lang w:val="en-US"/>
        </w:rPr>
        <w:t>GOETHEANUM</w:t>
      </w:r>
      <w:r w:rsidRPr="00EC2B8F">
        <w:rPr>
          <w:sz w:val="22"/>
          <w:szCs w:val="22"/>
          <w:lang w:val="en-US"/>
        </w:rPr>
        <w:tab/>
      </w:r>
      <w:r w:rsidR="00B90BB3" w:rsidRPr="00EC2B8F">
        <w:rPr>
          <w:sz w:val="22"/>
          <w:szCs w:val="22"/>
          <w:lang w:val="en-US"/>
        </w:rPr>
        <w:t xml:space="preserve"> </w:t>
      </w:r>
      <w:r w:rsidR="0081275A" w:rsidRPr="00EC2B8F">
        <w:rPr>
          <w:sz w:val="22"/>
          <w:szCs w:val="22"/>
          <w:lang w:val="en-US"/>
        </w:rPr>
        <w:t>COMUNICACIÓN</w:t>
      </w:r>
    </w:p>
    <w:p w14:paraId="2CA980B4" w14:textId="77777777" w:rsidR="007A3A2F" w:rsidRPr="00EC2B8F" w:rsidRDefault="007A3A2F" w:rsidP="007A3A2F">
      <w:pPr>
        <w:pStyle w:val="titel"/>
        <w:jc w:val="right"/>
        <w:rPr>
          <w:sz w:val="22"/>
          <w:szCs w:val="22"/>
          <w:lang w:val="en-US"/>
        </w:rPr>
      </w:pPr>
    </w:p>
    <w:p w14:paraId="1132B11B" w14:textId="77777777" w:rsidR="00EC2B8F" w:rsidRPr="00EC2B8F" w:rsidRDefault="00EC2B8F" w:rsidP="00EC2B8F">
      <w:pPr>
        <w:pStyle w:val="titel"/>
        <w:jc w:val="right"/>
        <w:rPr>
          <w:rFonts w:ascii="Titillium Lt" w:hAnsi="Titillium Lt" w:cs="Titillium Lt"/>
          <w:sz w:val="22"/>
          <w:szCs w:val="22"/>
          <w:lang w:val="en-US"/>
        </w:rPr>
      </w:pPr>
      <w:r w:rsidRPr="00EC2B8F">
        <w:rPr>
          <w:sz w:val="22"/>
          <w:szCs w:val="22"/>
          <w:lang w:val="en-US"/>
        </w:rPr>
        <w:tab/>
        <w:t xml:space="preserve">Goetheanum, Dornach, Suiza, </w:t>
      </w:r>
      <w:r w:rsidRPr="00EC2B8F">
        <w:rPr>
          <w:spacing w:val="1"/>
          <w:sz w:val="22"/>
          <w:szCs w:val="22"/>
          <w:lang w:val="en-US"/>
        </w:rPr>
        <w:t xml:space="preserve">4 de abril de </w:t>
      </w:r>
      <w:r w:rsidRPr="00EC2B8F">
        <w:rPr>
          <w:sz w:val="22"/>
          <w:szCs w:val="22"/>
          <w:lang w:val="en-US"/>
        </w:rPr>
        <w:t>2025</w:t>
      </w:r>
    </w:p>
    <w:p w14:paraId="60C11546" w14:textId="77777777" w:rsidR="00EC2B8F" w:rsidRPr="00EC2B8F" w:rsidRDefault="00EC2B8F" w:rsidP="00EC2B8F">
      <w:pPr>
        <w:pStyle w:val="titel"/>
        <w:rPr>
          <w:sz w:val="28"/>
          <w:szCs w:val="28"/>
          <w:lang w:val="en-US"/>
        </w:rPr>
      </w:pPr>
    </w:p>
    <w:p w14:paraId="6A5A0EAC" w14:textId="77777777" w:rsidR="00EC2B8F" w:rsidRPr="00EC2B8F" w:rsidRDefault="00EC2B8F" w:rsidP="00EC2B8F">
      <w:pPr>
        <w:pStyle w:val="titel"/>
        <w:spacing w:before="57"/>
        <w:rPr>
          <w:b/>
          <w:bCs/>
          <w:sz w:val="28"/>
          <w:szCs w:val="28"/>
          <w:lang w:val="en-US"/>
        </w:rPr>
      </w:pPr>
      <w:r w:rsidRPr="00EC2B8F">
        <w:rPr>
          <w:b/>
          <w:bCs/>
          <w:sz w:val="28"/>
          <w:szCs w:val="28"/>
          <w:lang w:val="en-US"/>
        </w:rPr>
        <w:t>Experimentar la agricultura con sentidos abiertos</w:t>
      </w:r>
    </w:p>
    <w:p w14:paraId="1BF1BA13" w14:textId="77777777" w:rsidR="00EC2B8F" w:rsidRPr="00EC2B8F" w:rsidRDefault="00EC2B8F" w:rsidP="00EC2B8F">
      <w:pPr>
        <w:pStyle w:val="titel"/>
        <w:spacing w:before="57"/>
        <w:rPr>
          <w:b/>
          <w:bCs/>
          <w:sz w:val="24"/>
          <w:szCs w:val="24"/>
          <w:lang w:val="en-US"/>
        </w:rPr>
      </w:pPr>
      <w:r w:rsidRPr="00EC2B8F">
        <w:rPr>
          <w:b/>
          <w:bCs/>
          <w:sz w:val="24"/>
          <w:szCs w:val="24"/>
          <w:lang w:val="en-US"/>
        </w:rPr>
        <w:t>La Sección de Agricultura del Goetheanum proporciona módulos de formación en agricultura biodinámica a la Universidad de Heliópolis</w:t>
      </w:r>
    </w:p>
    <w:p w14:paraId="237C195C" w14:textId="77777777" w:rsidR="00EC2B8F" w:rsidRPr="00EC2B8F" w:rsidRDefault="00EC2B8F" w:rsidP="00EC2B8F">
      <w:pPr>
        <w:pStyle w:val="body"/>
        <w:rPr>
          <w:b/>
          <w:bCs/>
          <w:lang w:val="en-US"/>
        </w:rPr>
      </w:pPr>
    </w:p>
    <w:p w14:paraId="6AE5A993" w14:textId="77777777" w:rsidR="00EC2B8F" w:rsidRPr="00EC2B8F" w:rsidRDefault="00EC2B8F" w:rsidP="00EC2B8F">
      <w:pPr>
        <w:pStyle w:val="body"/>
        <w:rPr>
          <w:rFonts w:ascii="Titillium" w:hAnsi="Titillium" w:cs="Titillium"/>
          <w:b/>
          <w:bCs/>
          <w:sz w:val="20"/>
          <w:szCs w:val="20"/>
          <w:lang w:val="en-US"/>
        </w:rPr>
      </w:pPr>
      <w:r w:rsidRPr="00EC2B8F">
        <w:rPr>
          <w:rFonts w:ascii="Titillium" w:hAnsi="Titillium" w:cs="Titillium"/>
          <w:b/>
          <w:bCs/>
          <w:spacing w:val="-1"/>
          <w:sz w:val="20"/>
          <w:szCs w:val="20"/>
          <w:lang w:val="en-US"/>
        </w:rPr>
        <w:t>Tras seis años de desarrollo y pruebas, la Sección de Agricultura del Goetheanum de Dornach (Suiza) ha traspasado algunos de sus módulos de formación en agricultura biodinámica a la Universidad de Heliópolis en la ciudad de El Cairo (Egipto). El total de seis unidades de estudio es parte de un amplio programa de estudios en ciencias agrícolas biológicas.</w:t>
      </w:r>
    </w:p>
    <w:p w14:paraId="07A74D5D" w14:textId="77777777" w:rsidR="00EC2B8F" w:rsidRPr="00EC2B8F" w:rsidRDefault="00EC2B8F" w:rsidP="00EC2B8F">
      <w:pPr>
        <w:pStyle w:val="body"/>
        <w:rPr>
          <w:rFonts w:ascii="Titillium" w:hAnsi="Titillium" w:cs="Titillium"/>
          <w:spacing w:val="1"/>
          <w:sz w:val="20"/>
          <w:szCs w:val="20"/>
          <w:lang w:val="en-US"/>
        </w:rPr>
      </w:pPr>
    </w:p>
    <w:p w14:paraId="384F9DE9" w14:textId="77777777" w:rsidR="00EC2B8F" w:rsidRPr="00EC2B8F" w:rsidRDefault="00EC2B8F" w:rsidP="00EC2B8F">
      <w:pPr>
        <w:pStyle w:val="body"/>
        <w:rPr>
          <w:rFonts w:ascii="Titillium" w:hAnsi="Titillium" w:cs="Titillium"/>
          <w:spacing w:val="1"/>
          <w:sz w:val="20"/>
          <w:szCs w:val="20"/>
          <w:lang w:val="en-US"/>
        </w:rPr>
      </w:pPr>
      <w:r w:rsidRPr="00EC2B8F">
        <w:rPr>
          <w:rFonts w:ascii="Titillium" w:hAnsi="Titillium" w:cs="Titillium"/>
          <w:spacing w:val="1"/>
          <w:sz w:val="20"/>
          <w:szCs w:val="20"/>
          <w:lang w:val="en-US"/>
        </w:rPr>
        <w:t xml:space="preserve">«Desde el principio, nuestro objetivo no era sólo ofrecer contenidos teóricos, sino también dar a los estudiantes una conexión más profunda con la agricultura a través de la experiencia práctica», dice Jean-Michel Florin, comentando el concepto de los seis módulos de formación. Él es ex codirector de la Sección de Agricultura en el Goetheanum. Desde su perspectiva, «el trabajo práctico en la naturaleza favorece una comprensión más completa de las relaciones ecológicas.» </w:t>
      </w:r>
    </w:p>
    <w:p w14:paraId="6169C52A" w14:textId="77777777" w:rsidR="00EC2B8F" w:rsidRPr="00EC2B8F" w:rsidRDefault="00EC2B8F" w:rsidP="00EC2B8F">
      <w:pPr>
        <w:pStyle w:val="body"/>
        <w:rPr>
          <w:rFonts w:ascii="Titillium" w:hAnsi="Titillium" w:cs="Titillium"/>
          <w:spacing w:val="1"/>
          <w:sz w:val="20"/>
          <w:szCs w:val="20"/>
          <w:lang w:val="en-US"/>
        </w:rPr>
      </w:pPr>
    </w:p>
    <w:p w14:paraId="31BDCE13" w14:textId="77777777" w:rsidR="00EC2B8F" w:rsidRPr="00EC2B8F" w:rsidRDefault="00EC2B8F" w:rsidP="00EC2B8F">
      <w:pPr>
        <w:pStyle w:val="body"/>
        <w:rPr>
          <w:rFonts w:ascii="Titillium" w:hAnsi="Titillium" w:cs="Titillium"/>
          <w:spacing w:val="1"/>
          <w:sz w:val="20"/>
          <w:szCs w:val="20"/>
          <w:lang w:val="en-US"/>
        </w:rPr>
      </w:pPr>
      <w:r w:rsidRPr="00EC2B8F">
        <w:rPr>
          <w:rFonts w:ascii="Titillium" w:hAnsi="Titillium" w:cs="Titillium"/>
          <w:spacing w:val="1"/>
          <w:sz w:val="20"/>
          <w:szCs w:val="20"/>
          <w:lang w:val="en-US"/>
        </w:rPr>
        <w:t>El aprendizaje basado en la experiencia es un reto y una motivación especial para muchos estudiantes, especialmente para los que viven en la ciudad, Entre otras cosas, aprenden deducir el estado del compost por su olor, dar de comer a las vacas, procesar la leche para hacer yogur y quark, y limpiar y desmenuzar verduras para preparar comidas para cientos de empleados. Las partes prácticas también incluyen el sacrificio de animales y el procesamiento de la carne. «Todo ello», comenta Jasmin Peschke, directora del Departamento de Nutrición de la Sección de Agricultura, «hace que los estudiantes experimenten la agricultura y la nutrición de cerca, poniendo al mismo tiempo en acción los sentidos».</w:t>
      </w:r>
    </w:p>
    <w:p w14:paraId="5997855E" w14:textId="77777777" w:rsidR="00EC2B8F" w:rsidRPr="00EC2B8F" w:rsidRDefault="00EC2B8F" w:rsidP="00EC2B8F">
      <w:pPr>
        <w:pStyle w:val="body"/>
        <w:rPr>
          <w:rFonts w:ascii="Titillium" w:hAnsi="Titillium" w:cs="Titillium"/>
          <w:spacing w:val="1"/>
          <w:sz w:val="20"/>
          <w:szCs w:val="20"/>
          <w:lang w:val="en-US"/>
        </w:rPr>
      </w:pPr>
    </w:p>
    <w:p w14:paraId="24E45884" w14:textId="77777777" w:rsidR="00EC2B8F" w:rsidRPr="00EC2B8F" w:rsidRDefault="00EC2B8F" w:rsidP="00EC2B8F">
      <w:pPr>
        <w:pStyle w:val="body"/>
        <w:rPr>
          <w:rFonts w:ascii="Titillium" w:hAnsi="Titillium" w:cs="Titillium"/>
          <w:spacing w:val="1"/>
          <w:sz w:val="20"/>
          <w:szCs w:val="20"/>
          <w:lang w:val="en-US"/>
        </w:rPr>
      </w:pPr>
      <w:r w:rsidRPr="00EC2B8F">
        <w:rPr>
          <w:rFonts w:ascii="Titillium" w:hAnsi="Titillium" w:cs="Titillium"/>
          <w:spacing w:val="1"/>
          <w:sz w:val="20"/>
          <w:szCs w:val="20"/>
          <w:lang w:val="en-US"/>
        </w:rPr>
        <w:t>Por otro lado, los estudiantes aprenden a calcular la rentabilidad de proyectos como, por ejemplo, la cultivación y procesamiento de camomila para la producción de infusiones, y se pueden hacer una idea del flujo de dinero que se produce en los procesos económicos, de la producción a la comercialización. Ueli Hurter, codirector de la Sección de Agricultura, ve un efecto positivo a largo plazo: «La Universidad de Heliópolis contribuirá de forma independiente a una agricultura de alta calidad». En Egipto, más de 1.000 pequeños agricultores planean mensualmente pasarse a la agricultura ecológica y biodinámica.</w:t>
      </w:r>
    </w:p>
    <w:p w14:paraId="672492F9" w14:textId="77777777" w:rsidR="00EC2B8F" w:rsidRPr="00EC2B8F" w:rsidRDefault="00EC2B8F" w:rsidP="00EC2B8F">
      <w:pPr>
        <w:pStyle w:val="body"/>
        <w:rPr>
          <w:rFonts w:ascii="Titillium" w:hAnsi="Titillium" w:cs="Titillium"/>
          <w:spacing w:val="1"/>
          <w:sz w:val="20"/>
          <w:szCs w:val="20"/>
          <w:lang w:val="en-US"/>
        </w:rPr>
      </w:pPr>
    </w:p>
    <w:p w14:paraId="01273E31" w14:textId="77777777" w:rsidR="00EC2B8F" w:rsidRPr="00EC2B8F" w:rsidRDefault="00EC2B8F" w:rsidP="00EC2B8F">
      <w:pPr>
        <w:pStyle w:val="body"/>
        <w:rPr>
          <w:rFonts w:ascii="Titillium" w:hAnsi="Titillium" w:cs="Titillium"/>
          <w:spacing w:val="1"/>
          <w:sz w:val="20"/>
          <w:szCs w:val="20"/>
          <w:lang w:val="en-US"/>
        </w:rPr>
      </w:pPr>
      <w:r w:rsidRPr="00EC2B8F">
        <w:rPr>
          <w:rFonts w:ascii="Titillium" w:hAnsi="Titillium" w:cs="Titillium"/>
          <w:spacing w:val="1"/>
          <w:sz w:val="20"/>
          <w:szCs w:val="20"/>
          <w:lang w:val="en-US"/>
        </w:rPr>
        <w:t>Además del personal de la Sección, participaron en la organización de los módulos Helmy Abouleish, Youri Hashem y Angela Hofmann, de Egipto, así como los asesores biodinámicos Maja Kolar, de Eslovenia, y Reto Ingold (†) y Peter Kunz, de Suiza. Los seis módulos, de una duración de diez días, son impartidos por profesores locales. El plan de estudios abarca el uso y la gestión del suelo, el cultivo de plantas agrícolas, el cuidado de los animales de granja, la alimentación sana, la economía y la agroecología. El curso, que cuenta con entre 70 y 90 estudiantes, tiene lugar al principio de cada semestre en la granja biodinámica de Sekem (Egipto).</w:t>
      </w:r>
    </w:p>
    <w:p w14:paraId="59898835" w14:textId="77777777" w:rsidR="00EC2B8F" w:rsidRPr="00EC2B8F" w:rsidRDefault="00EC2B8F" w:rsidP="00EC2B8F">
      <w:pPr>
        <w:pStyle w:val="body"/>
        <w:jc w:val="right"/>
        <w:rPr>
          <w:rFonts w:ascii="Titillium" w:hAnsi="Titillium" w:cs="Titillium"/>
          <w:sz w:val="20"/>
          <w:szCs w:val="20"/>
          <w:lang w:val="en-US"/>
        </w:rPr>
      </w:pPr>
      <w:r w:rsidRPr="00EC2B8F">
        <w:rPr>
          <w:rFonts w:ascii="Titillium" w:hAnsi="Titillium" w:cs="Titillium"/>
          <w:sz w:val="20"/>
          <w:szCs w:val="20"/>
          <w:lang w:val="en-US"/>
        </w:rPr>
        <w:t>(2797 caracteres/Anna Storchenegger; traducido por Michael Kranawetvogl)</w:t>
      </w:r>
    </w:p>
    <w:p w14:paraId="0C3B521E" w14:textId="77777777" w:rsidR="00EC2B8F" w:rsidRPr="00EC2B8F" w:rsidRDefault="00EC2B8F" w:rsidP="00EC2B8F">
      <w:pPr>
        <w:pStyle w:val="body"/>
        <w:spacing w:before="57"/>
        <w:rPr>
          <w:rFonts w:ascii="Titillium" w:hAnsi="Titillium" w:cs="Titillium"/>
          <w:spacing w:val="1"/>
          <w:sz w:val="20"/>
          <w:szCs w:val="20"/>
          <w:lang w:val="en-US"/>
        </w:rPr>
      </w:pPr>
      <w:r w:rsidRPr="00EC2B8F">
        <w:rPr>
          <w:rFonts w:ascii="Titillium Bd" w:hAnsi="Titillium Bd" w:cs="Titillium Bd"/>
          <w:b/>
          <w:bCs/>
          <w:spacing w:val="1"/>
          <w:sz w:val="20"/>
          <w:szCs w:val="20"/>
          <w:lang w:val="en-US"/>
        </w:rPr>
        <w:t xml:space="preserve">Web </w:t>
      </w:r>
      <w:r w:rsidRPr="00EC2B8F">
        <w:rPr>
          <w:rFonts w:ascii="Titillium" w:hAnsi="Titillium" w:cs="Titillium"/>
          <w:spacing w:val="1"/>
          <w:sz w:val="20"/>
          <w:szCs w:val="20"/>
          <w:lang w:val="en-US"/>
        </w:rPr>
        <w:t>www.sektion-landwirtschaft.org/es</w:t>
      </w:r>
    </w:p>
    <w:p w14:paraId="7DBB424B" w14:textId="5ACA0750" w:rsidR="006E7E7B" w:rsidRPr="00EC2B8F" w:rsidRDefault="00EC2B8F" w:rsidP="00EC2B8F">
      <w:pPr>
        <w:rPr>
          <w:lang w:val="en-US"/>
        </w:rPr>
      </w:pPr>
      <w:r w:rsidRPr="00EC2B8F">
        <w:rPr>
          <w:rFonts w:ascii="Titillium Bd" w:hAnsi="Titillium Bd" w:cs="Titillium Bd"/>
          <w:b/>
          <w:bCs/>
          <w:spacing w:val="1"/>
          <w:sz w:val="20"/>
          <w:szCs w:val="20"/>
          <w:lang w:val="en-US"/>
        </w:rPr>
        <w:t xml:space="preserve">Contacto </w:t>
      </w:r>
      <w:r w:rsidRPr="00EC2B8F">
        <w:rPr>
          <w:rFonts w:ascii="Titillium" w:hAnsi="Titillium" w:cs="Titillium"/>
          <w:spacing w:val="1"/>
          <w:sz w:val="20"/>
          <w:szCs w:val="20"/>
          <w:lang w:val="en-US"/>
        </w:rPr>
        <w:t>Anna Storchenegger, anna.storchenegger@goetheanum.ch</w:t>
      </w:r>
    </w:p>
    <w:sectPr w:rsidR="006E7E7B" w:rsidRPr="00EC2B8F"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D0BF1"/>
    <w:rsid w:val="006E7E7B"/>
    <w:rsid w:val="006F57DB"/>
    <w:rsid w:val="007A3A2F"/>
    <w:rsid w:val="0081275A"/>
    <w:rsid w:val="00B90BB3"/>
    <w:rsid w:val="00EC2B8F"/>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2674</Characters>
  <Application>Microsoft Office Word</Application>
  <DocSecurity>0</DocSecurity>
  <Lines>44</Lines>
  <Paragraphs>5</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2025-04-04T08:59:00Z</dcterms:modified>
</cp:coreProperties>
</file>