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57EBE900" w14:textId="77777777" w:rsidR="00C42ECB" w:rsidRDefault="00C42ECB" w:rsidP="00C42ECB">
      <w:pPr>
        <w:pStyle w:val="titel"/>
        <w:jc w:val="right"/>
        <w:rPr>
          <w:sz w:val="22"/>
          <w:szCs w:val="22"/>
        </w:rPr>
      </w:pPr>
      <w:r>
        <w:rPr>
          <w:sz w:val="22"/>
          <w:szCs w:val="22"/>
        </w:rPr>
        <w:tab/>
        <w:t>Goetheanum, Dornach, Suisse, le 19 juin 2025</w:t>
      </w:r>
    </w:p>
    <w:p w14:paraId="10569575" w14:textId="77777777" w:rsidR="00C42ECB" w:rsidRDefault="00C42ECB" w:rsidP="00C42ECB">
      <w:pPr>
        <w:pStyle w:val="body"/>
      </w:pPr>
    </w:p>
    <w:p w14:paraId="64B05EC7" w14:textId="77777777" w:rsidR="00C42ECB" w:rsidRPr="00C42ECB" w:rsidRDefault="00C42ECB" w:rsidP="00C42ECB">
      <w:pPr>
        <w:pStyle w:val="titel"/>
        <w:spacing w:before="57"/>
        <w:rPr>
          <w:b/>
          <w:bCs/>
          <w:sz w:val="28"/>
          <w:szCs w:val="28"/>
        </w:rPr>
      </w:pPr>
      <w:r w:rsidRPr="00C42ECB">
        <w:rPr>
          <w:b/>
          <w:bCs/>
          <w:sz w:val="28"/>
          <w:szCs w:val="28"/>
        </w:rPr>
        <w:t>Les préparations biodynamiques stimulent les micro-organismes dans le sol</w:t>
      </w:r>
    </w:p>
    <w:p w14:paraId="5D30D7C0" w14:textId="77777777" w:rsidR="00C42ECB" w:rsidRPr="00C42ECB" w:rsidRDefault="00C42ECB" w:rsidP="00C42ECB">
      <w:pPr>
        <w:pStyle w:val="titel"/>
        <w:spacing w:before="57"/>
        <w:rPr>
          <w:b/>
          <w:bCs/>
          <w:sz w:val="24"/>
          <w:szCs w:val="24"/>
        </w:rPr>
      </w:pPr>
      <w:r w:rsidRPr="00C42ECB">
        <w:rPr>
          <w:b/>
          <w:bCs/>
          <w:sz w:val="24"/>
          <w:szCs w:val="24"/>
        </w:rPr>
        <w:t>Le modèle de Jürgen Fritz explique leur effet significatif sur le plan statistique</w:t>
      </w:r>
    </w:p>
    <w:p w14:paraId="35D1CA53" w14:textId="77777777" w:rsidR="00C42ECB" w:rsidRPr="00C42ECB" w:rsidRDefault="00C42ECB" w:rsidP="00C42ECB">
      <w:pPr>
        <w:pStyle w:val="body"/>
        <w:rPr>
          <w:b/>
          <w:bCs/>
        </w:rPr>
      </w:pPr>
    </w:p>
    <w:p w14:paraId="4C4BA95E" w14:textId="77777777" w:rsidR="00C42ECB" w:rsidRPr="00C42ECB" w:rsidRDefault="00C42ECB" w:rsidP="00C42ECB">
      <w:pPr>
        <w:pStyle w:val="body"/>
        <w:rPr>
          <w:rFonts w:ascii="Titillium" w:hAnsi="Titillium" w:cs="Titillium"/>
          <w:b/>
          <w:bCs/>
          <w:sz w:val="19"/>
          <w:szCs w:val="19"/>
        </w:rPr>
      </w:pPr>
      <w:r w:rsidRPr="00C42ECB">
        <w:rPr>
          <w:rFonts w:ascii="Titillium" w:hAnsi="Titillium" w:cs="Titillium"/>
          <w:b/>
          <w:bCs/>
          <w:sz w:val="19"/>
          <w:szCs w:val="19"/>
        </w:rPr>
        <w:t>Le recours à des préparations spéciales est un élément central de l‘agriculture biodynamique, mais on savait jusqu‘à présent, d‘un point de vue scientifique, peu de choses sur leur mode d‘action. Agronome à l‘université de Kassel, Allemagne, Jürgen Fritz présente l‘action des préparations biodynamiques dans ‹ Living Farms ›, revue de la section d‘agriculture du Goetheanum, Suisse.</w:t>
      </w:r>
    </w:p>
    <w:p w14:paraId="0DAD657A" w14:textId="77777777" w:rsidR="00C42ECB" w:rsidRDefault="00C42ECB" w:rsidP="00C42ECB">
      <w:pPr>
        <w:pStyle w:val="body"/>
        <w:spacing w:before="170"/>
        <w:rPr>
          <w:rFonts w:ascii="Titillium" w:hAnsi="Titillium" w:cs="Titillium"/>
          <w:sz w:val="19"/>
          <w:szCs w:val="19"/>
        </w:rPr>
      </w:pPr>
      <w:r>
        <w:rPr>
          <w:rFonts w:ascii="Titillium" w:hAnsi="Titillium" w:cs="Titillium"/>
          <w:sz w:val="19"/>
          <w:szCs w:val="19"/>
        </w:rPr>
        <w:t>Les recherches de Jürgen Fritz montrent que l’utilisation des préparations bio-dynamiques modifie le microbiome du sol. « Nous avons pulvérisé la préparation et mesuré, pendant environ quatre mois, la quantité de micro-organismes potentiellement favorables à la croissance dans le sol », explique cet agronome, également titulaire d‘une qualification en protection écologique de l‘environnement. Collaborateur scientifique pour l‘agriculture biologique à l‘université de Kassel, il y coordonne le secteur de la biodynamie.</w:t>
      </w:r>
    </w:p>
    <w:p w14:paraId="501AA321" w14:textId="77777777" w:rsidR="00C42ECB" w:rsidRDefault="00C42ECB" w:rsidP="00C42ECB">
      <w:pPr>
        <w:pStyle w:val="body"/>
        <w:spacing w:before="57"/>
        <w:rPr>
          <w:rFonts w:ascii="Titillium" w:hAnsi="Titillium" w:cs="Titillium"/>
          <w:sz w:val="19"/>
          <w:szCs w:val="19"/>
        </w:rPr>
      </w:pPr>
      <w:r>
        <w:rPr>
          <w:rFonts w:ascii="Titillium" w:hAnsi="Titillium" w:cs="Titillium"/>
          <w:sz w:val="19"/>
          <w:szCs w:val="19"/>
        </w:rPr>
        <w:t>Pour analyser les échantillons de sol prélevés sur vingt-trois sites en Allemagne et en France, l‘équipe de chercheurs a utilisé différents outils : méthodes micro-biologiques classiques, analyses de la respiration induite par des substrats multiples (multi-SIR) et séquençage ADN, afin d‘examiner la composition et la connectivité des organismes du sol. Après pulvérisation, les chercheurs ont constaté une augmentation significative des micro-organismes favorisant la croissance, augmentation qui s‘est maintenue pendant plusieurs semaines. Les sols traités avec des préparations biodynamiques se distinguent donc, de manière significative au plan statistique, des sols non traités.</w:t>
      </w:r>
    </w:p>
    <w:p w14:paraId="28F11077" w14:textId="77777777" w:rsidR="00C42ECB" w:rsidRDefault="00C42ECB" w:rsidP="00C42ECB">
      <w:pPr>
        <w:pStyle w:val="body"/>
        <w:spacing w:before="57"/>
        <w:rPr>
          <w:rFonts w:ascii="Titillium" w:hAnsi="Titillium" w:cs="Titillium"/>
          <w:sz w:val="19"/>
          <w:szCs w:val="19"/>
        </w:rPr>
      </w:pPr>
      <w:r>
        <w:rPr>
          <w:rFonts w:ascii="Titillium" w:hAnsi="Titillium" w:cs="Titillium"/>
          <w:sz w:val="19"/>
          <w:szCs w:val="19"/>
        </w:rPr>
        <w:t>« Nous disposons désormais, pour la première fois, d‘un modèle d‘action com-préhensible », constate Jürgen Fritz. Il convient toutefois de noter que « l‘apport de micro-organismes favorisant la croissance ne fonctionne pas comme une fer-tilisation azotée classique, qui produit toujours les mêmes effets. Le sol présente des situations très variées. Ainsi, les préparations ont des effets positifs certaines années, tandis que nous ne constatons aucun effet l‘année suivante. De nom-breuses questions restent encore sans réponse ».</w:t>
      </w:r>
    </w:p>
    <w:p w14:paraId="43117926" w14:textId="77777777" w:rsidR="00C42ECB" w:rsidRDefault="00C42ECB" w:rsidP="00C42ECB">
      <w:pPr>
        <w:pStyle w:val="body"/>
        <w:spacing w:before="57"/>
        <w:rPr>
          <w:rFonts w:ascii="Titillium" w:hAnsi="Titillium" w:cs="Titillium"/>
          <w:sz w:val="19"/>
          <w:szCs w:val="19"/>
        </w:rPr>
      </w:pPr>
      <w:r>
        <w:rPr>
          <w:rFonts w:ascii="Titillium" w:hAnsi="Titillium" w:cs="Titillium"/>
          <w:sz w:val="19"/>
          <w:szCs w:val="19"/>
        </w:rPr>
        <w:t>Ces conclusions, parmi d‘autres, constituent une base essentielle pour le débat international sur la biodynamie. Y participe la conférence internationale sur la recherche biodynamique organisée à la Royal Agricultural University de Cirencester (Royaume-Uni) par la section d‘agriculture du Goetheanum, le Forschungsring Deutschland, la Biodynamic Association du Royaume-Uni et la Royal Agricultural University.</w:t>
      </w:r>
    </w:p>
    <w:p w14:paraId="1061916E" w14:textId="77777777" w:rsidR="00C42ECB" w:rsidRDefault="00C42ECB" w:rsidP="00C42ECB">
      <w:pPr>
        <w:pStyle w:val="body"/>
        <w:jc w:val="right"/>
        <w:rPr>
          <w:rFonts w:ascii="Titillium" w:hAnsi="Titillium" w:cs="Titillium"/>
          <w:sz w:val="19"/>
          <w:szCs w:val="19"/>
        </w:rPr>
      </w:pPr>
      <w:r>
        <w:rPr>
          <w:rFonts w:ascii="Titillium" w:hAnsi="Titillium" w:cs="Titillium"/>
          <w:sz w:val="19"/>
          <w:szCs w:val="19"/>
        </w:rPr>
        <w:t>(2526 caractères/Anna Storchenegger; traduction : Jean Pierre Ablard)</w:t>
      </w:r>
    </w:p>
    <w:p w14:paraId="0A14EEA6" w14:textId="77777777" w:rsidR="00C42ECB" w:rsidRDefault="00C42ECB" w:rsidP="00C42ECB">
      <w:pPr>
        <w:pStyle w:val="body"/>
        <w:spacing w:before="57"/>
        <w:rPr>
          <w:rFonts w:ascii="Titillium" w:hAnsi="Titillium" w:cs="Titillium"/>
          <w:sz w:val="19"/>
          <w:szCs w:val="19"/>
        </w:rPr>
      </w:pPr>
      <w:r>
        <w:rPr>
          <w:rFonts w:ascii="Titillium Bd" w:hAnsi="Titillium Bd" w:cs="Titillium Bd"/>
          <w:b/>
          <w:bCs/>
          <w:sz w:val="19"/>
          <w:szCs w:val="19"/>
        </w:rPr>
        <w:t>Entretien avec Jürgen Fritz</w:t>
      </w:r>
      <w:r>
        <w:rPr>
          <w:rFonts w:ascii="Titillium" w:hAnsi="Titillium" w:cs="Titillium"/>
          <w:sz w:val="19"/>
          <w:szCs w:val="19"/>
        </w:rPr>
        <w:t xml:space="preserve"> Das Geheimnis der biodynamischen Präparate lüftet sich [Le voile se lève sur le mystère des préparations biodynamiques], ‹ Living Farms › N° 1/2025, pages 18 à 19, version imprimée et en </w:t>
      </w:r>
      <w:r>
        <w:rPr>
          <w:rFonts w:ascii="Titillium Bd" w:hAnsi="Titillium Bd" w:cs="Titillium Bd"/>
          <w:b/>
          <w:bCs/>
          <w:sz w:val="19"/>
          <w:szCs w:val="19"/>
        </w:rPr>
        <w:t xml:space="preserve">Web (en anglais) </w:t>
      </w:r>
      <w:r>
        <w:rPr>
          <w:rFonts w:ascii="Titillium" w:hAnsi="Titillium" w:cs="Titillium"/>
          <w:sz w:val="19"/>
          <w:szCs w:val="19"/>
        </w:rPr>
        <w:t>www.sektion-landwirtschaft.org/fileadmin/landwirtschaft/Dateien_zum_downloaden/2501_LF_EN_web.pdf</w:t>
      </w:r>
    </w:p>
    <w:p w14:paraId="601406EE" w14:textId="77777777" w:rsidR="00C42ECB" w:rsidRDefault="00C42ECB" w:rsidP="00C42ECB">
      <w:pPr>
        <w:pStyle w:val="body"/>
        <w:spacing w:before="57"/>
        <w:rPr>
          <w:rFonts w:ascii="Titillium" w:hAnsi="Titillium" w:cs="Titillium"/>
          <w:sz w:val="19"/>
          <w:szCs w:val="19"/>
        </w:rPr>
      </w:pPr>
      <w:r>
        <w:rPr>
          <w:rFonts w:ascii="Titillium Bd" w:hAnsi="Titillium Bd" w:cs="Titillium Bd"/>
          <w:b/>
          <w:bCs/>
          <w:sz w:val="19"/>
          <w:szCs w:val="19"/>
        </w:rPr>
        <w:t>Conférence internationale sur la recherche biodynamique</w:t>
      </w:r>
      <w:r>
        <w:rPr>
          <w:rFonts w:ascii="Titillium" w:hAnsi="Titillium" w:cs="Titillium"/>
          <w:sz w:val="19"/>
          <w:szCs w:val="19"/>
        </w:rPr>
        <w:t xml:space="preserve"> ‹ The whole and its parts. Researching biodynamic agriculture › [Le tout et ses parties. Recherche sur l‘agriculture biodynamique], 31 août – 4 septembre 2025, Royal Agricultural University de Cirencester, Royaume-Uni </w:t>
      </w:r>
      <w:r>
        <w:rPr>
          <w:rFonts w:ascii="Titillium Bd" w:hAnsi="Titillium Bd" w:cs="Titillium Bd"/>
          <w:b/>
          <w:bCs/>
          <w:sz w:val="19"/>
          <w:szCs w:val="19"/>
        </w:rPr>
        <w:t>Web (en anglais)</w:t>
      </w:r>
      <w:r>
        <w:rPr>
          <w:rFonts w:ascii="Titillium" w:hAnsi="Titillium" w:cs="Titillium"/>
          <w:sz w:val="19"/>
          <w:szCs w:val="19"/>
        </w:rPr>
        <w:t xml:space="preserve"> www.biodynamic-research.org</w:t>
      </w:r>
    </w:p>
    <w:p w14:paraId="17442226" w14:textId="7B5AD43D" w:rsidR="006E7E7B" w:rsidRDefault="00C42ECB" w:rsidP="00C42ECB">
      <w:r>
        <w:rPr>
          <w:rFonts w:ascii="Titillium Bd" w:hAnsi="Titillium Bd" w:cs="Titillium Bd"/>
          <w:b/>
          <w:bCs/>
          <w:sz w:val="19"/>
          <w:szCs w:val="19"/>
        </w:rPr>
        <w:t>Personne contact</w:t>
      </w:r>
      <w:r>
        <w:rPr>
          <w:rFonts w:ascii="Titillium" w:hAnsi="Titillium" w:cs="Titillium"/>
          <w:sz w:val="19"/>
          <w:szCs w:val="19"/>
        </w:rPr>
        <w:t xml:space="preserve"> Anna Stochenegger : anna.storchenegger@goetheanum.ch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42ECB"/>
    <w:rsid w:val="00C864AA"/>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3069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2025-06-19T15:59:00Z</dcterms:modified>
</cp:coreProperties>
</file>