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infAbs"/>
        <w:spacing w:lineRule="auto" w:line="288"/>
        <w:ind w:left="0" w:right="0" w:hanging="0"/>
        <w:jc w:val="left"/>
        <w:rPr/>
      </w:pPr>
      <w:r>
        <w:rPr>
          <w:rFonts w:eastAsia="Titillium-Semibold" w:cs="Titillium-Bold" w:ascii="Titillium" w:hAnsi="Titillium"/>
          <w:b w:val="false"/>
          <w:i w:val="false"/>
          <w:caps/>
          <w:strike w:val="false"/>
          <w:dstrike w:val="false"/>
          <w:outline w:val="false"/>
          <w:color w:val="000000"/>
          <w:spacing w:val="0"/>
          <w:w w:val="100"/>
          <w:sz w:val="28"/>
          <w:szCs w:val="24"/>
          <w:u w:val="none"/>
          <w:em w:val="none"/>
          <w:lang w:val="de-DE"/>
        </w:rPr>
        <w:t>GOETHEANUM COMMUNICATION</w:t>
      </w:r>
      <w:r>
        <w:rPr>
          <w:rFonts w:ascii="Titillium" w:hAnsi="Titillium"/>
          <w:sz w:val="22"/>
        </w:rPr>
        <w:t xml:space="preserve"> </w:t>
      </w:r>
      <w:r>
        <w:rPr>
          <w:rFonts w:ascii="Titillium-Regular" w:hAnsi="Titillium-Regular"/>
          <w:sz w:val="22"/>
        </w:rPr>
        <w:tab/>
      </w:r>
    </w:p>
    <w:p>
      <w:pPr>
        <w:pStyle w:val="Titel"/>
        <w:spacing w:lineRule="atLeast" w:line="300"/>
        <w:ind w:left="0" w:right="0" w:hanging="0"/>
        <w:jc w:val="right"/>
        <w:rPr>
          <w:rFonts w:ascii="Titillium-Regular" w:hAnsi="Titillium-Regular"/>
          <w:sz w:val="22"/>
        </w:rPr>
      </w:pPr>
      <w:r>
        <w:rPr/>
      </w:r>
    </w:p>
    <w:p>
      <w:pPr>
        <w:pStyle w:val="Titel"/>
        <w:spacing w:lineRule="atLeast" w:line="300"/>
        <w:ind w:left="0" w:right="0" w:hanging="0"/>
        <w:jc w:val="right"/>
        <w:rPr/>
      </w:pPr>
      <w:r>
        <w:rPr>
          <w:rFonts w:ascii="Titillium-Regular" w:hAnsi="Titillium-Regular"/>
          <w:sz w:val="22"/>
        </w:rPr>
        <w:t>Goetheanum, Dornach, Suisse, le 12 décembre 2024</w:t>
      </w:r>
    </w:p>
    <w:p>
      <w:pPr>
        <w:pStyle w:val="Body"/>
        <w:spacing w:lineRule="auto" w:line="288"/>
        <w:ind w:left="0" w:right="0" w:hanging="0"/>
        <w:rPr/>
      </w:pPr>
      <w:r>
        <w:rPr/>
      </w:r>
    </w:p>
    <w:p>
      <w:pPr>
        <w:pStyle w:val="Titel"/>
        <w:spacing w:lineRule="atLeast" w:line="300" w:before="57" w:after="0"/>
        <w:ind w:left="0" w:right="0" w:hanging="0"/>
        <w:rPr>
          <w:rFonts w:ascii="Titillium-Bold" w:hAnsi="Titillium-Bold" w:eastAsia="Titillium-Semibold" w:cs="Titillium-Bold"/>
          <w:b/>
          <w:b/>
          <w:i w:val="false"/>
          <w:i w:val="false"/>
          <w:strike w:val="false"/>
          <w:dstrike w:val="false"/>
          <w:color w:val="000000"/>
          <w:spacing w:val="0"/>
          <w:w w:val="100"/>
          <w:sz w:val="32"/>
          <w:szCs w:val="32"/>
          <w:u w:val="none"/>
          <w:em w:val="none"/>
          <w:lang w:val="de-DE"/>
        </w:rPr>
      </w:pPr>
      <w:r>
        <w:rPr>
          <w:rFonts w:eastAsia="Titillium-Semibold" w:cs="Titillium-Bold" w:ascii="Titillium-Bold" w:hAnsi="Titillium-Bold"/>
          <w:b/>
          <w:i w:val="false"/>
          <w:strike w:val="false"/>
          <w:dstrike w:val="false"/>
          <w:color w:val="000000"/>
          <w:spacing w:val="0"/>
          <w:w w:val="100"/>
          <w:sz w:val="32"/>
          <w:szCs w:val="32"/>
          <w:u w:val="none"/>
          <w:em w:val="none"/>
          <w:lang w:val="de-DE"/>
        </w:rPr>
        <w:t>Trait d‘union entre lignes directrices et art de guérir</w:t>
      </w:r>
    </w:p>
    <w:p>
      <w:pPr>
        <w:pStyle w:val="Titel"/>
        <w:spacing w:lineRule="atLeast" w:line="300" w:before="57" w:after="0"/>
        <w:ind w:left="0" w:right="0" w:hanging="0"/>
        <w:rPr>
          <w:rFonts w:ascii="Titillium-Bold" w:hAnsi="Titillium-Bold" w:eastAsia="Titillium-Semibold" w:cs="Titillium-Bold"/>
          <w:b/>
          <w:b/>
          <w:i w:val="false"/>
          <w:i w:val="false"/>
          <w:strike w:val="false"/>
          <w:dstrike w:val="false"/>
          <w:color w:val="000000"/>
          <w:spacing w:val="0"/>
          <w:w w:val="100"/>
          <w:sz w:val="24"/>
          <w:szCs w:val="24"/>
          <w:u w:val="none"/>
          <w:em w:val="none"/>
          <w:lang w:val="de-DE"/>
        </w:rPr>
      </w:pPr>
      <w:r>
        <w:rPr>
          <w:rFonts w:eastAsia="Titillium-Semibold" w:cs="Titillium-Bold" w:ascii="Titillium-Bold" w:hAnsi="Titillium-Bold"/>
          <w:b/>
          <w:i w:val="false"/>
          <w:strike w:val="false"/>
          <w:dstrike w:val="false"/>
          <w:color w:val="000000"/>
          <w:spacing w:val="0"/>
          <w:w w:val="100"/>
          <w:sz w:val="24"/>
          <w:szCs w:val="24"/>
          <w:u w:val="none"/>
          <w:em w:val="none"/>
          <w:lang w:val="de-DE"/>
        </w:rPr>
        <w:t>Podcast de la section de médecine du Goetheanum sur l‘intuition thérapeutique</w:t>
      </w:r>
    </w:p>
    <w:p>
      <w:pPr>
        <w:pStyle w:val="Body"/>
        <w:spacing w:lineRule="auto" w:line="288"/>
        <w:ind w:left="0" w:right="0" w:hanging="0"/>
        <w:rPr>
          <w:rFonts w:ascii="Titillium-Bold" w:hAnsi="Titillium-Bold" w:eastAsia="Titillium-Semibold" w:cs="Titillium-Bold"/>
          <w:b/>
          <w:b/>
          <w:i w:val="false"/>
          <w:i w:val="false"/>
          <w:strike w:val="false"/>
          <w:dstrike w:val="false"/>
          <w:color w:val="000000"/>
          <w:spacing w:val="0"/>
          <w:w w:val="100"/>
          <w:sz w:val="22"/>
          <w:szCs w:val="24"/>
          <w:u w:val="none"/>
          <w:em w:val="none"/>
          <w:lang w:val="de-DE"/>
        </w:rPr>
      </w:pPr>
      <w:r>
        <w:rPr>
          <w:rFonts w:eastAsia="Titillium-Semibold" w:cs="Titillium-Bold" w:ascii="Titillium-Bold" w:hAnsi="Titillium-Bold"/>
          <w:b/>
          <w:i w:val="false"/>
          <w:strike w:val="false"/>
          <w:dstrike w:val="false"/>
          <w:color w:val="000000"/>
          <w:spacing w:val="0"/>
          <w:w w:val="100"/>
          <w:sz w:val="22"/>
          <w:szCs w:val="24"/>
          <w:u w:val="none"/>
          <w:em w:val="none"/>
          <w:lang w:val="de-DE"/>
        </w:rPr>
      </w:r>
    </w:p>
    <w:p>
      <w:pPr>
        <w:pStyle w:val="Body"/>
        <w:spacing w:lineRule="auto" w:line="288"/>
        <w:ind w:left="0" w:right="0" w:hanging="0"/>
        <w:rPr>
          <w:rFonts w:ascii="Titillium-Bold" w:hAnsi="Titillium-Bold" w:eastAsia="Titillium-Semibold" w:cs="Titillium-Bold"/>
          <w:b/>
          <w:b/>
          <w:i w:val="false"/>
          <w:i w:val="false"/>
          <w:strike w:val="false"/>
          <w:dstrike w:val="false"/>
          <w:color w:val="000000"/>
          <w:spacing w:val="0"/>
          <w:w w:val="100"/>
          <w:sz w:val="22"/>
          <w:szCs w:val="24"/>
          <w:u w:val="none"/>
          <w:em w:val="none"/>
          <w:lang w:val="de-DE"/>
        </w:rPr>
      </w:pPr>
      <w:r>
        <w:rPr>
          <w:rFonts w:eastAsia="Titillium-Semibold" w:cs="Titillium-Bold" w:ascii="Titillium-Bold" w:hAnsi="Titillium-Bold"/>
          <w:b/>
          <w:i w:val="false"/>
          <w:strike w:val="false"/>
          <w:dstrike w:val="false"/>
          <w:color w:val="000000"/>
          <w:spacing w:val="0"/>
          <w:w w:val="100"/>
          <w:sz w:val="22"/>
          <w:szCs w:val="24"/>
          <w:u w:val="none"/>
          <w:em w:val="none"/>
          <w:lang w:val="de-DE"/>
        </w:rPr>
        <w:t>Que reste-t-il lorsque toutes les connaissances issues des recommandations et des manuels ne sont pas adaptées au patient auquel médecins et thérapeutes font face ? C’est la question abordée par Erik Baars dans un entretien avec Julia Demming de la section médicale du Goetheanum. Erik Baars est professeur de médecine anthroposophique (University of Applied Sciences, Leyde, Pays-Bas).</w:t>
      </w:r>
    </w:p>
    <w:p>
      <w:pPr>
        <w:pStyle w:val="Body"/>
        <w:spacing w:lineRule="auto" w:line="288" w:before="170" w:after="0"/>
        <w:ind w:left="0" w:right="0" w:hanging="0"/>
        <w:rPr/>
      </w:pPr>
      <w:r>
        <w:rPr>
          <w:rFonts w:ascii="Titillium-Regular" w:hAnsi="Titillium-Regular"/>
        </w:rPr>
        <w:t>Ce médecin néerlandais, épidémiologiste, chercheur en santé publique à l’Institut Louis Bolk et professeur de médecine anthroposophique à l’University of Applied Sciences de Leide, Pays-Bas, a évalué pendant des années des études consacrées à ‹ l’intuition thérapeutique ›. Dans ‹ The Imaging Intuitive Discussion › (2023), il présente avec Pim Blomaard et Pascal Kreijen des critères qualitatifs de l’intuition réunis à partir d’entretiens avec des médecins. De concert avec ses collègues, il définit l’intuition thérapeutique ainsi : une connaissance surgie soudainement, sans effort, sans suivre un processus de pensée logique, qui donne à la personne qui la possède un sentiment de pertinence au regard de la situation, souvent à la manière d’une ‹ pièce de puzzle › manquante venue compléter les autres points de vue sur la piste d’un diagnostic. Cela fait de l’intuition un phénomène souvent crucial pour le sort des patients dans le quotidien clinique, un phénomène qui élargit et complète la médecine basée sur des principes directeurs.</w:t>
      </w:r>
    </w:p>
    <w:p>
      <w:pPr>
        <w:pStyle w:val="Body"/>
        <w:spacing w:lineRule="auto" w:line="288" w:before="170" w:after="0"/>
        <w:ind w:left="0" w:right="0" w:hanging="0"/>
        <w:rPr/>
      </w:pPr>
      <w:r>
        <w:rPr>
          <w:rFonts w:ascii="Titillium-Regular" w:hAnsi="Titillium-Regular"/>
        </w:rPr>
        <w:t>« L’intuition s’apprend ! », affirme Erik Baars. Si un professionnel dispose d’une expertise suffisante dans son domaine et forme en même temps sa sensibilité à une perception intuitive du patient, la probabilité d’obtenir de cette manière des éclairages pour le diagnostic et la thérapie augmente. Selon Erik Baars, l’échange de perceptions et d’impulsions intuitives devrait faire partie intégrante du quotidien de la clinique, car il permet d’aiguiser la capacité d’intuition.</w:t>
      </w:r>
    </w:p>
    <w:p>
      <w:pPr>
        <w:pStyle w:val="Body"/>
        <w:spacing w:lineRule="auto" w:line="288" w:before="170" w:after="0"/>
        <w:ind w:left="0" w:right="0" w:hanging="0"/>
        <w:rPr/>
      </w:pPr>
      <w:r>
        <w:rPr>
          <w:rFonts w:ascii="Titillium-Regular" w:hAnsi="Titillium-Regular"/>
        </w:rPr>
        <w:t>Le thème de l’intuition fait partie des fondements de toute formation anthroposophique. Il est donc également pertinent pour la médecine anthroposophique. C’est tout particulièrement dans le domaine des interventions complexes, enrichies par l’approche intégrative de la médecine anthroposophique, que la capacité d’intuition des praticiens prend tout son sens.</w:t>
      </w:r>
    </w:p>
    <w:p>
      <w:pPr>
        <w:pStyle w:val="Body"/>
        <w:spacing w:lineRule="auto" w:line="288"/>
        <w:ind w:left="0" w:right="0" w:hanging="0"/>
        <w:jc w:val="right"/>
        <w:rPr/>
      </w:pPr>
      <w:r>
        <w:rPr>
          <w:rFonts w:ascii="Titillium-Regular" w:hAnsi="Titillium-Regular"/>
        </w:rPr>
        <w:t>(2270 caractères/Julia Demming; traduction :  Jean Pierre Ablard)</w:t>
      </w:r>
    </w:p>
    <w:p>
      <w:pPr>
        <w:pStyle w:val="Body"/>
        <w:spacing w:lineRule="auto" w:line="288" w:before="113" w:after="0"/>
        <w:ind w:left="0" w:right="0" w:hanging="0"/>
        <w:rPr/>
      </w:pPr>
      <w:r>
        <w:rPr>
          <w:rFonts w:ascii="Titillium-Bold" w:hAnsi="Titillium-Bold"/>
          <w:b/>
        </w:rPr>
        <w:t>Podcast (anglais)</w:t>
      </w:r>
      <w:r>
        <w:rPr>
          <w:rFonts w:ascii="Titillium-Regular" w:hAnsi="Titillium-Regular"/>
        </w:rPr>
        <w:t xml:space="preserve"> Therapeutic Intuition : Bridging between guidelines and the art of medicine, 47 min. env. (série ‹ Être humain et santé ›) </w:t>
      </w:r>
      <w:r>
        <w:rPr>
          <w:rFonts w:ascii="Titillium-Bold" w:hAnsi="Titillium-Bold"/>
          <w:b/>
        </w:rPr>
        <w:t>Web</w:t>
      </w:r>
      <w:r>
        <w:rPr>
          <w:rFonts w:ascii="Titillium-Regular" w:hAnsi="Titillium-Regular"/>
        </w:rPr>
        <w:t xml:space="preserve"> anthroposophie.transistor.fm/9</w:t>
      </w:r>
    </w:p>
    <w:p>
      <w:pPr>
        <w:pStyle w:val="Body"/>
        <w:spacing w:lineRule="auto" w:line="288" w:before="113" w:after="0"/>
        <w:ind w:left="0" w:right="0" w:hanging="0"/>
        <w:rPr/>
      </w:pPr>
      <w:r>
        <w:rPr>
          <w:rFonts w:ascii="Titillium-Bold" w:hAnsi="Titillium-Bold"/>
          <w:b/>
        </w:rPr>
        <w:t>Personne contact</w:t>
      </w:r>
      <w:r>
        <w:rPr>
          <w:rFonts w:ascii="Titillium-Regular" w:hAnsi="Titillium-Regular"/>
        </w:rPr>
        <w:t xml:space="preserve"> Julia Demming, julia.demming@medsektion-goetheanum.ch</w:t>
      </w:r>
    </w:p>
    <w:sectPr>
      <w:type w:val="nextPage"/>
      <w:pgSz w:w="11906" w:h="16838"/>
      <w:pgMar w:left="1984" w:right="198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MinionPro-Regular">
    <w:charset w:val="01"/>
    <w:family w:val="roman"/>
    <w:pitch w:val="variable"/>
  </w:font>
  <w:font w:name="Titillium-Semibold">
    <w:charset w:val="01"/>
    <w:family w:val="roman"/>
    <w:pitch w:val="variable"/>
  </w:font>
  <w:font w:name="Titillium-Light">
    <w:charset w:val="01"/>
    <w:family w:val="roman"/>
    <w:pitch w:val="variable"/>
  </w:font>
  <w:font w:name="Titillium">
    <w:charset w:val="01"/>
    <w:family w:val="auto"/>
    <w:pitch w:val="variable"/>
  </w:font>
  <w:font w:name="Titillium-Regular">
    <w:charset w:val="01"/>
    <w:family w:val="roman"/>
    <w:pitch w:val="variable"/>
  </w:font>
  <w:font w:name="Titillium-Bold">
    <w:charset w:val="01"/>
    <w:family w:val="roman"/>
    <w:pitch w:val="variable"/>
  </w:font>
</w:fonts>
</file>

<file path=word/settings.xml><?xml version="1.0" encoding="utf-8"?>
<w:settings xmlns:w="http://schemas.openxmlformats.org/wordprocessingml/2006/main">
  <w:zoom w:percent="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de-CH"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de-CH" w:eastAsia="zh-CN" w:bidi="hi-IN"/>
    </w:rPr>
  </w:style>
  <w:style w:type="character" w:styleId="Funotenzeichen">
    <w:name w:val="Fußnotenzeichen"/>
    <w:qFormat/>
    <w:rPr/>
  </w:style>
  <w:style w:type="paragraph" w:styleId="Berschrift">
    <w:name w:val="Überschrift"/>
    <w:basedOn w:val="Normal"/>
    <w:next w:val="Textkrper"/>
    <w:qFormat/>
    <w:pPr>
      <w:keepNext w:val="true"/>
      <w:spacing w:before="240" w:after="120"/>
    </w:pPr>
    <w:rPr>
      <w:rFonts w:ascii="Liberation Sans" w:hAnsi="Liberation Sans" w:eastAsia="PingFang SC"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paragraph" w:styleId="KeinAbsatzformat">
    <w:name w:val="[Kein Absatzformat]"/>
    <w:qFormat/>
    <w:pPr>
      <w:widowControl/>
      <w:suppressAutoHyphens w:val="false"/>
      <w:bidi w:val="0"/>
      <w:spacing w:lineRule="auto" w:line="288" w:before="0" w:after="0"/>
      <w:jc w:val="left"/>
      <w:textAlignment w:val="center"/>
    </w:pPr>
    <w:rPr>
      <w:rFonts w:ascii="MinionPro-Regular" w:hAnsi="MinionPro-Regular" w:eastAsia="Titillium-Semibold" w:cs="Titillium-Bold"/>
      <w:b w:val="false"/>
      <w:i w:val="false"/>
      <w:strike w:val="false"/>
      <w:dstrike w:val="false"/>
      <w:color w:val="000000"/>
      <w:spacing w:val="0"/>
      <w:w w:val="100"/>
      <w:kern w:val="2"/>
      <w:sz w:val="24"/>
      <w:szCs w:val="24"/>
      <w:u w:val="none"/>
      <w:em w:val="none"/>
      <w:lang w:val="de-DE" w:eastAsia="zh-CN" w:bidi="hi-IN"/>
    </w:rPr>
  </w:style>
  <w:style w:type="paragraph" w:styleId="Titel">
    <w:name w:val="titel"/>
    <w:basedOn w:val="KeinAbsatzformat"/>
    <w:qFormat/>
    <w:pPr>
      <w:spacing w:lineRule="atLeast" w:line="300"/>
    </w:pPr>
    <w:rPr>
      <w:rFonts w:ascii="Titillium-Semibold" w:hAnsi="Titillium-Semibold"/>
      <w:sz w:val="26"/>
    </w:rPr>
  </w:style>
  <w:style w:type="paragraph" w:styleId="Body">
    <w:name w:val="body"/>
    <w:basedOn w:val="KeinAbsatzformat"/>
    <w:qFormat/>
    <w:pPr/>
    <w:rPr>
      <w:rFonts w:ascii="Titillium-Light" w:hAnsi="Titillium-Light"/>
      <w:sz w:val="22"/>
    </w:rPr>
  </w:style>
  <w:style w:type="paragraph" w:styleId="EinfAbs">
    <w:name w:val="[Einf. Abs.]"/>
    <w:basedOn w:val="KeinAbsatzformat"/>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LibreOffice/7.2.5.2$MacOSX_AARCH64 LibreOffice_project/499f9727c189e6ef3471021d6132d4c694f357e5</Application>
  <AppVersion>15.0000</AppVersion>
  <Pages>1</Pages>
  <Words>403</Words>
  <Characters>2391</Characters>
  <CharactersWithSpaces>2786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2024-12-12T18:02:20Z</dcterms:created>
  <dc:creator/>
  <dc:description/>
  <dc:language>de-CH</dc:language>
  <cp:lastModifiedBy/>
  <dcterms:modified xsi:type="dcterms:W3CDTF">2024-12-12T18:06:06Z</dcterms:modified>
  <cp:revision>3</cp:revision>
  <dc:subject/>
  <dc:title/>
</cp:coreProperties>
</file>