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4" w:type="dxa"/>
        <w:tblInd w:w="-15" w:type="dxa"/>
        <w:tblLook w:val="04A0" w:firstRow="1" w:lastRow="0" w:firstColumn="1" w:lastColumn="0" w:noHBand="0" w:noVBand="1"/>
      </w:tblPr>
      <w:tblGrid>
        <w:gridCol w:w="10749"/>
        <w:gridCol w:w="45"/>
      </w:tblGrid>
      <w:tr w:rsidR="006C556A" w14:paraId="70002D5C" w14:textId="77777777">
        <w:trPr>
          <w:gridAfter w:val="1"/>
          <w:wAfter w:w="45" w:type="dxa"/>
        </w:trPr>
        <w:tc>
          <w:tcPr>
            <w:tcW w:w="1074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161C2" w14:textId="77777777" w:rsidR="006C556A" w:rsidRDefault="006C556A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9367170"/>
          </w:p>
        </w:tc>
      </w:tr>
      <w:tr w:rsidR="006C556A" w:rsidRPr="000467B1" w14:paraId="32513D22" w14:textId="77777777">
        <w:trPr>
          <w:trHeight w:val="720"/>
        </w:trPr>
        <w:tc>
          <w:tcPr>
            <w:tcW w:w="10794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9131D" w14:textId="77777777" w:rsidR="006C556A" w:rsidRPr="000467B1" w:rsidRDefault="004D43B8">
            <w:pPr>
              <w:spacing w:line="40" w:lineRule="atLeast"/>
              <w:jc w:val="center"/>
              <w:rPr>
                <w:rFonts w:ascii="Volvo Novum Light" w:hAnsi="Volvo Novum Light"/>
                <w:sz w:val="44"/>
                <w:szCs w:val="44"/>
                <w:lang w:val="en-US"/>
              </w:rPr>
            </w:pPr>
            <w:r w:rsidRPr="000467B1">
              <w:rPr>
                <w:rFonts w:ascii="Volvo Novum Light" w:hAnsi="Volvo Novum Light"/>
                <w:sz w:val="44"/>
                <w:szCs w:val="44"/>
                <w:lang w:val="en-US"/>
              </w:rPr>
              <w:t>Volvo Car Denmark A/S</w:t>
            </w:r>
          </w:p>
          <w:p w14:paraId="0FBF2092" w14:textId="77777777" w:rsidR="006C556A" w:rsidRPr="000467B1" w:rsidRDefault="006C556A">
            <w:pPr>
              <w:spacing w:line="40" w:lineRule="atLeast"/>
              <w:jc w:val="center"/>
              <w:rPr>
                <w:rFonts w:ascii="Volvo Novum Light" w:hAnsi="Volvo Novum Light" w:cs="Arial"/>
                <w:sz w:val="44"/>
                <w:szCs w:val="44"/>
                <w:lang w:val="en-US"/>
              </w:rPr>
            </w:pPr>
          </w:p>
        </w:tc>
      </w:tr>
      <w:tr w:rsidR="006C556A" w:rsidRPr="000467B1" w14:paraId="1779CDF2" w14:textId="77777777">
        <w:trPr>
          <w:trHeight w:val="540"/>
        </w:trPr>
        <w:tc>
          <w:tcPr>
            <w:tcW w:w="10794" w:type="dxa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0EC0" w14:textId="77777777" w:rsidR="006C556A" w:rsidRPr="000467B1" w:rsidRDefault="004D43B8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0467B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Pressemeddelelse </w:t>
            </w:r>
          </w:p>
        </w:tc>
      </w:tr>
    </w:tbl>
    <w:p w14:paraId="36DE697F" w14:textId="77777777" w:rsidR="006C556A" w:rsidRPr="000467B1" w:rsidRDefault="006C556A">
      <w:pPr>
        <w:spacing w:line="40" w:lineRule="atLeast"/>
        <w:rPr>
          <w:vanish/>
        </w:rPr>
      </w:pPr>
    </w:p>
    <w:tbl>
      <w:tblPr>
        <w:tblW w:w="5280" w:type="dxa"/>
        <w:tblInd w:w="-15" w:type="dxa"/>
        <w:tblLook w:val="04A0" w:firstRow="1" w:lastRow="0" w:firstColumn="1" w:lastColumn="0" w:noHBand="0" w:noVBand="1"/>
      </w:tblPr>
      <w:tblGrid>
        <w:gridCol w:w="5280"/>
      </w:tblGrid>
      <w:tr w:rsidR="006C556A" w:rsidRPr="000467B1" w14:paraId="470B6631" w14:textId="77777777">
        <w:tc>
          <w:tcPr>
            <w:tcW w:w="52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45" w:type="dxa"/>
            </w:tcMar>
          </w:tcPr>
          <w:p w14:paraId="0D8209E7" w14:textId="77777777" w:rsidR="006C556A" w:rsidRPr="000467B1" w:rsidRDefault="006C556A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50C29173" w14:textId="77777777" w:rsidR="006C556A" w:rsidRPr="000467B1" w:rsidRDefault="006C556A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5352BAE6" w14:textId="77777777" w:rsidR="006C556A" w:rsidRPr="000467B1" w:rsidRDefault="006C556A"/>
          <w:p w14:paraId="27D8E665" w14:textId="77777777" w:rsidR="006C556A" w:rsidRPr="000467B1" w:rsidRDefault="00E73A44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0467B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Dato</w:t>
            </w:r>
            <w:r w:rsidR="004D43B8" w:rsidRPr="000467B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 7. januar 2020</w:t>
            </w:r>
          </w:p>
        </w:tc>
      </w:tr>
    </w:tbl>
    <w:p w14:paraId="1B5C33CE" w14:textId="77777777" w:rsidR="00E73A44" w:rsidRPr="000467B1" w:rsidRDefault="00E73A44">
      <w:pPr>
        <w:pStyle w:val="v-heading2"/>
        <w:rPr>
          <w:bCs w:val="0"/>
          <w:color w:val="202124"/>
          <w:sz w:val="36"/>
          <w:szCs w:val="36"/>
          <w:lang w:eastAsia="da-DK"/>
        </w:rPr>
      </w:pPr>
    </w:p>
    <w:p w14:paraId="3B3C1CAF" w14:textId="77777777" w:rsidR="006C556A" w:rsidRPr="000467B1" w:rsidRDefault="004D43B8">
      <w:pPr>
        <w:pStyle w:val="v-heading2"/>
        <w:rPr>
          <w:color w:val="202124"/>
          <w:sz w:val="36"/>
          <w:szCs w:val="36"/>
          <w:lang w:eastAsia="da-DK"/>
        </w:rPr>
      </w:pPr>
      <w:r w:rsidRPr="000467B1">
        <w:rPr>
          <w:bCs w:val="0"/>
          <w:color w:val="202124"/>
          <w:sz w:val="36"/>
          <w:szCs w:val="36"/>
          <w:lang w:eastAsia="da-DK"/>
        </w:rPr>
        <w:t xml:space="preserve">SUV-succes giver Volvo </w:t>
      </w:r>
      <w:proofErr w:type="spellStart"/>
      <w:r w:rsidRPr="000467B1">
        <w:rPr>
          <w:bCs w:val="0"/>
          <w:color w:val="202124"/>
          <w:sz w:val="36"/>
          <w:szCs w:val="36"/>
          <w:lang w:eastAsia="da-DK"/>
        </w:rPr>
        <w:t>Cars</w:t>
      </w:r>
      <w:proofErr w:type="spellEnd"/>
      <w:r w:rsidRPr="000467B1">
        <w:rPr>
          <w:bCs w:val="0"/>
          <w:color w:val="202124"/>
          <w:sz w:val="36"/>
          <w:szCs w:val="36"/>
          <w:lang w:eastAsia="da-DK"/>
        </w:rPr>
        <w:t xml:space="preserve"> 6. rekord i træk med over 700.000 solgte biler</w:t>
      </w:r>
      <w:r w:rsidRPr="000467B1">
        <w:rPr>
          <w:color w:val="202124"/>
          <w:sz w:val="36"/>
          <w:szCs w:val="36"/>
          <w:lang w:eastAsia="da-DK"/>
        </w:rPr>
        <w:t> </w:t>
      </w:r>
    </w:p>
    <w:p w14:paraId="0C253DEB" w14:textId="77777777" w:rsidR="00E73A44" w:rsidRPr="000467B1" w:rsidRDefault="00E73A44">
      <w:pPr>
        <w:pStyle w:val="v-heading2"/>
        <w:rPr>
          <w:color w:val="202124"/>
          <w:sz w:val="36"/>
          <w:szCs w:val="36"/>
          <w:lang w:eastAsia="da-DK"/>
        </w:rPr>
      </w:pPr>
    </w:p>
    <w:p w14:paraId="0BC519C5" w14:textId="77777777" w:rsidR="006C556A" w:rsidRPr="000467B1" w:rsidRDefault="004D43B8">
      <w:pPr>
        <w:pStyle w:val="normaltm6"/>
        <w:rPr>
          <w:rFonts w:ascii="Arial" w:hAnsi="Arial" w:cs="Arial"/>
          <w:color w:val="202124"/>
          <w:kern w:val="0"/>
          <w:lang w:eastAsia="da-DK"/>
        </w:rPr>
      </w:pPr>
      <w:r w:rsidRPr="000467B1">
        <w:rPr>
          <w:rFonts w:ascii="Arial" w:hAnsi="Arial" w:cs="Arial"/>
          <w:color w:val="202124"/>
          <w:kern w:val="0"/>
          <w:lang w:eastAsia="da-DK"/>
        </w:rPr>
        <w:t>V</w:t>
      </w:r>
      <w:r w:rsidRPr="000467B1">
        <w:rPr>
          <w:rFonts w:ascii="Arial" w:hAnsi="Arial" w:cs="Arial"/>
          <w:color w:val="202124"/>
          <w:kern w:val="0"/>
          <w:lang w:eastAsia="da-DK"/>
        </w:rPr>
        <w:t>olvo</w:t>
      </w:r>
      <w:r w:rsidRPr="000467B1">
        <w:rPr>
          <w:rFonts w:ascii="Arial" w:hAnsi="Arial" w:cs="Arial"/>
          <w:color w:val="202124"/>
          <w:kern w:val="0"/>
          <w:lang w:eastAsia="da-DK"/>
        </w:rPr>
        <w:t> </w:t>
      </w:r>
      <w:proofErr w:type="spellStart"/>
      <w:r w:rsidRPr="000467B1">
        <w:rPr>
          <w:rFonts w:ascii="Arial" w:hAnsi="Arial" w:cs="Arial"/>
          <w:color w:val="202124"/>
          <w:kern w:val="0"/>
          <w:lang w:eastAsia="da-DK"/>
        </w:rPr>
        <w:t>Cars</w:t>
      </w:r>
      <w:proofErr w:type="spellEnd"/>
      <w:r w:rsidRPr="000467B1">
        <w:rPr>
          <w:rFonts w:ascii="Arial" w:hAnsi="Arial" w:cs="Arial"/>
          <w:color w:val="202124"/>
          <w:kern w:val="0"/>
          <w:lang w:eastAsia="da-DK"/>
        </w:rPr>
        <w:t xml:space="preserve"> har i 2019 sat en ny sjette, global salgsrekord i træk og bryder </w:t>
      </w:r>
      <w:r w:rsidRPr="000467B1">
        <w:rPr>
          <w:rFonts w:ascii="Arial" w:hAnsi="Arial" w:cs="Arial"/>
          <w:color w:val="202124"/>
          <w:kern w:val="0"/>
          <w:lang w:eastAsia="da-DK"/>
        </w:rPr>
        <w:t xml:space="preserve">dermed for første gang i sin 93-årige historie igennem 700.000-mærket for antallet af solgte biler. Virksomheden registrerede et salg på 705.452 biler i 2019, en stigning på 9,8 procent sammenlignet med 2018, og </w:t>
      </w:r>
      <w:proofErr w:type="spellStart"/>
      <w:r w:rsidRPr="000467B1">
        <w:rPr>
          <w:rFonts w:ascii="Arial" w:hAnsi="Arial" w:cs="Arial"/>
          <w:color w:val="202124"/>
          <w:kern w:val="0"/>
          <w:lang w:eastAsia="da-DK"/>
        </w:rPr>
        <w:t>vækstede</w:t>
      </w:r>
      <w:proofErr w:type="spellEnd"/>
      <w:r w:rsidRPr="000467B1">
        <w:rPr>
          <w:rFonts w:ascii="Arial" w:hAnsi="Arial" w:cs="Arial"/>
          <w:color w:val="202124"/>
          <w:kern w:val="0"/>
          <w:lang w:eastAsia="da-DK"/>
        </w:rPr>
        <w:t xml:space="preserve"> dermed mere end det samlede marked </w:t>
      </w:r>
      <w:r w:rsidRPr="000467B1">
        <w:rPr>
          <w:rFonts w:ascii="Arial" w:hAnsi="Arial" w:cs="Arial"/>
          <w:color w:val="202124"/>
          <w:kern w:val="0"/>
          <w:lang w:eastAsia="da-DK"/>
        </w:rPr>
        <w:t>på tværs af alle region</w:t>
      </w:r>
      <w:r w:rsidRPr="000467B1">
        <w:rPr>
          <w:rFonts w:ascii="Arial" w:hAnsi="Arial" w:cs="Arial"/>
          <w:color w:val="202124"/>
          <w:kern w:val="0"/>
          <w:lang w:eastAsia="da-DK"/>
        </w:rPr>
        <w:t>er.</w:t>
      </w:r>
      <w:r w:rsidRPr="000467B1">
        <w:rPr>
          <w:rFonts w:ascii="Arial" w:hAnsi="Arial" w:cs="Arial"/>
          <w:color w:val="202124"/>
          <w:kern w:val="0"/>
          <w:lang w:eastAsia="da-DK"/>
        </w:rPr>
        <w:t> </w:t>
      </w:r>
    </w:p>
    <w:p w14:paraId="237A534A" w14:textId="77777777" w:rsidR="00E73A44" w:rsidRPr="000467B1" w:rsidRDefault="00E73A44">
      <w:pPr>
        <w:pStyle w:val="normaltm6"/>
        <w:rPr>
          <w:rFonts w:ascii="Arial" w:hAnsi="Arial" w:cs="Arial"/>
          <w:color w:val="202124"/>
          <w:sz w:val="20"/>
          <w:szCs w:val="20"/>
        </w:rPr>
      </w:pPr>
    </w:p>
    <w:p w14:paraId="26DA049E" w14:textId="77777777" w:rsidR="006C556A" w:rsidRPr="000467B1" w:rsidRDefault="004D43B8">
      <w:pPr>
        <w:pStyle w:val="normaltm6"/>
        <w:rPr>
          <w:rFonts w:ascii="Arial" w:hAnsi="Arial" w:cs="Arial"/>
          <w:color w:val="202124"/>
          <w:sz w:val="20"/>
          <w:szCs w:val="20"/>
        </w:rPr>
      </w:pPr>
      <w:r w:rsidRPr="000467B1">
        <w:rPr>
          <w:rFonts w:ascii="Arial" w:hAnsi="Arial" w:cs="Arial"/>
          <w:color w:val="202124"/>
          <w:sz w:val="20"/>
          <w:szCs w:val="20"/>
        </w:rPr>
        <w:t>Den nye salgsrekord understøttes af fortsat stærk efterspørgsel efter Volvo </w:t>
      </w:r>
      <w:proofErr w:type="spellStart"/>
      <w:r w:rsidRPr="000467B1">
        <w:rPr>
          <w:rFonts w:ascii="Arial" w:hAnsi="Arial" w:cs="Arial"/>
          <w:color w:val="202124"/>
          <w:sz w:val="20"/>
          <w:szCs w:val="20"/>
        </w:rPr>
        <w:t>Cars</w:t>
      </w:r>
      <w:proofErr w:type="spellEnd"/>
      <w:r w:rsidRPr="000467B1">
        <w:rPr>
          <w:rFonts w:ascii="Arial" w:hAnsi="Arial" w:cs="Arial"/>
          <w:color w:val="202124"/>
          <w:sz w:val="20"/>
          <w:szCs w:val="20"/>
        </w:rPr>
        <w:t>' prisbelønnede modelrække. De tre SUV-modeller udgjorde et særligt højdepunkt, da virksomheden vandt markedsandele i Kina, USA og Europa midt i sta</w:t>
      </w:r>
      <w:r w:rsidRPr="000467B1">
        <w:rPr>
          <w:rFonts w:ascii="Arial" w:hAnsi="Arial" w:cs="Arial"/>
          <w:color w:val="202124"/>
          <w:sz w:val="20"/>
          <w:szCs w:val="20"/>
        </w:rPr>
        <w:t>gnerende bilmarkeder. </w:t>
      </w:r>
    </w:p>
    <w:p w14:paraId="14EFE6DC" w14:textId="77777777" w:rsidR="006C556A" w:rsidRPr="000467B1" w:rsidRDefault="004D43B8">
      <w:pPr>
        <w:pStyle w:val="normaltm6"/>
        <w:rPr>
          <w:rFonts w:ascii="Arial" w:hAnsi="Arial" w:cs="Arial"/>
          <w:sz w:val="20"/>
          <w:szCs w:val="20"/>
        </w:rPr>
      </w:pPr>
      <w:r w:rsidRPr="000467B1">
        <w:rPr>
          <w:rFonts w:ascii="Arial" w:hAnsi="Arial" w:cs="Arial"/>
          <w:color w:val="202124"/>
          <w:sz w:val="20"/>
          <w:szCs w:val="20"/>
        </w:rPr>
        <w:t>Virksomheden registrerede også en stærk efterspørgsel efter sine elbiler, både med hensyn til registreret salg og detailordrer. Samlet set solgte Volvo </w:t>
      </w:r>
      <w:proofErr w:type="spellStart"/>
      <w:r w:rsidRPr="000467B1">
        <w:rPr>
          <w:rFonts w:ascii="Arial" w:hAnsi="Arial" w:cs="Arial"/>
          <w:color w:val="202124"/>
          <w:sz w:val="20"/>
          <w:szCs w:val="20"/>
        </w:rPr>
        <w:t>Cars</w:t>
      </w:r>
      <w:proofErr w:type="spellEnd"/>
      <w:r w:rsidRPr="000467B1">
        <w:rPr>
          <w:rFonts w:ascii="Arial" w:hAnsi="Arial" w:cs="Arial"/>
          <w:color w:val="202124"/>
          <w:sz w:val="20"/>
          <w:szCs w:val="20"/>
        </w:rPr>
        <w:t xml:space="preserve"> 45.933 plug-in hybrid-modeller i 2019, en </w:t>
      </w:r>
      <w:r w:rsidRPr="000467B1">
        <w:rPr>
          <w:rStyle w:val="tm101"/>
          <w:rFonts w:ascii="Arial" w:hAnsi="Arial" w:cs="Arial"/>
          <w:sz w:val="20"/>
          <w:szCs w:val="20"/>
        </w:rPr>
        <w:t>s</w:t>
      </w:r>
      <w:r w:rsidRPr="000467B1">
        <w:rPr>
          <w:rFonts w:ascii="Arial" w:hAnsi="Arial" w:cs="Arial"/>
          <w:color w:val="202124"/>
          <w:sz w:val="20"/>
          <w:szCs w:val="20"/>
        </w:rPr>
        <w:t>tigning på 22,9 procent i forhold</w:t>
      </w:r>
      <w:r w:rsidRPr="000467B1">
        <w:rPr>
          <w:rFonts w:ascii="Arial" w:hAnsi="Arial" w:cs="Arial"/>
          <w:color w:val="202124"/>
          <w:sz w:val="20"/>
          <w:szCs w:val="20"/>
        </w:rPr>
        <w:t xml:space="preserve"> til 2018 og mere end det dobbelte af antallet i 2017. </w:t>
      </w:r>
    </w:p>
    <w:p w14:paraId="52784802" w14:textId="77777777" w:rsidR="006C556A" w:rsidRPr="000467B1" w:rsidRDefault="004D43B8">
      <w:pPr>
        <w:pStyle w:val="normaltm6"/>
        <w:rPr>
          <w:rFonts w:ascii="Arial" w:hAnsi="Arial" w:cs="Arial"/>
          <w:color w:val="202124"/>
          <w:sz w:val="20"/>
          <w:szCs w:val="20"/>
        </w:rPr>
      </w:pPr>
      <w:r w:rsidRPr="000467B1">
        <w:rPr>
          <w:rFonts w:ascii="Arial" w:hAnsi="Arial" w:cs="Arial"/>
          <w:color w:val="202124"/>
          <w:sz w:val="20"/>
          <w:szCs w:val="20"/>
        </w:rPr>
        <w:t xml:space="preserve">"Jeg er meget glad for at se, at vi for første gang i vores historie solgte mere end 700.000 biler, mens vi vandt markedsandele i alle vores vigtigste salgsregioner," siger Håkan Samuelsson, CEO. "Vi </w:t>
      </w:r>
      <w:r w:rsidRPr="000467B1">
        <w:rPr>
          <w:rFonts w:ascii="Arial" w:hAnsi="Arial" w:cs="Arial"/>
          <w:color w:val="202124"/>
          <w:sz w:val="20"/>
          <w:szCs w:val="20"/>
        </w:rPr>
        <w:t xml:space="preserve">tilstræber at bygge videre på denne positive trend i 2020, når vi begynder at udrulle vores </w:t>
      </w:r>
      <w:proofErr w:type="spellStart"/>
      <w:r w:rsidRPr="000467B1">
        <w:rPr>
          <w:rFonts w:ascii="Arial" w:hAnsi="Arial" w:cs="Arial"/>
          <w:color w:val="202124"/>
          <w:sz w:val="20"/>
          <w:szCs w:val="20"/>
        </w:rPr>
        <w:t>Recharge</w:t>
      </w:r>
      <w:proofErr w:type="spellEnd"/>
      <w:r w:rsidRPr="000467B1">
        <w:rPr>
          <w:rFonts w:ascii="Arial" w:hAnsi="Arial" w:cs="Arial"/>
          <w:color w:val="202124"/>
          <w:sz w:val="20"/>
          <w:szCs w:val="20"/>
        </w:rPr>
        <w:t xml:space="preserve">-serie af </w:t>
      </w:r>
      <w:r w:rsidR="008B5012" w:rsidRPr="000467B1">
        <w:rPr>
          <w:rStyle w:val="tm101"/>
          <w:rFonts w:ascii="Arial" w:eastAsia="Arial" w:hAnsi="Arial" w:cs="Arial"/>
          <w:sz w:val="20"/>
          <w:szCs w:val="20"/>
        </w:rPr>
        <w:t>genopladelige </w:t>
      </w:r>
      <w:r w:rsidRPr="000467B1">
        <w:rPr>
          <w:rFonts w:ascii="Arial" w:hAnsi="Arial" w:cs="Arial"/>
          <w:color w:val="202124"/>
          <w:sz w:val="20"/>
          <w:szCs w:val="20"/>
        </w:rPr>
        <w:t>Volvo-biler." </w:t>
      </w:r>
    </w:p>
    <w:p w14:paraId="6B6F5681" w14:textId="77777777" w:rsidR="006C556A" w:rsidRPr="000467B1" w:rsidRDefault="004D43B8">
      <w:pPr>
        <w:pStyle w:val="normaltm6"/>
        <w:rPr>
          <w:rFonts w:ascii="Arial" w:hAnsi="Arial" w:cs="Arial"/>
          <w:color w:val="202124"/>
          <w:sz w:val="20"/>
          <w:szCs w:val="20"/>
        </w:rPr>
      </w:pPr>
      <w:r w:rsidRPr="000467B1">
        <w:rPr>
          <w:rFonts w:ascii="Arial" w:hAnsi="Arial" w:cs="Arial"/>
          <w:color w:val="202124"/>
          <w:sz w:val="20"/>
          <w:szCs w:val="20"/>
        </w:rPr>
        <w:t xml:space="preserve">Kendetegnende for styrken af Volvo </w:t>
      </w:r>
      <w:proofErr w:type="spellStart"/>
      <w:r w:rsidRPr="000467B1">
        <w:rPr>
          <w:rFonts w:ascii="Arial" w:hAnsi="Arial" w:cs="Arial"/>
          <w:color w:val="202124"/>
          <w:sz w:val="20"/>
          <w:szCs w:val="20"/>
        </w:rPr>
        <w:t>Cars</w:t>
      </w:r>
      <w:proofErr w:type="spellEnd"/>
      <w:r w:rsidRPr="000467B1">
        <w:rPr>
          <w:rFonts w:ascii="Arial" w:hAnsi="Arial" w:cs="Arial"/>
          <w:color w:val="202124"/>
          <w:sz w:val="20"/>
          <w:szCs w:val="20"/>
        </w:rPr>
        <w:t>´ modelportefølje og salgsresultater i 2019 er, at virksomheden slog sin tidliger</w:t>
      </w:r>
      <w:r w:rsidRPr="000467B1">
        <w:rPr>
          <w:rFonts w:ascii="Arial" w:hAnsi="Arial" w:cs="Arial"/>
          <w:color w:val="202124"/>
          <w:sz w:val="20"/>
          <w:szCs w:val="20"/>
        </w:rPr>
        <w:t>e årlige salgsrekord på 642.253 biler, der blev sat i 2018, næsten en hel måned før årets udgang. December var virksomhedens bedste salgsmåned nogensinde i form af en 23,4 procents år-til-år stigning på 74.239 solgte biler. </w:t>
      </w:r>
    </w:p>
    <w:p w14:paraId="295694A4" w14:textId="77777777" w:rsidR="006C556A" w:rsidRPr="000467B1" w:rsidRDefault="004D43B8">
      <w:pPr>
        <w:pStyle w:val="normaltm6"/>
        <w:rPr>
          <w:rFonts w:ascii="Arial" w:hAnsi="Arial" w:cs="Arial"/>
          <w:color w:val="202124"/>
          <w:sz w:val="20"/>
          <w:szCs w:val="20"/>
        </w:rPr>
      </w:pPr>
      <w:r w:rsidRPr="000467B1">
        <w:rPr>
          <w:rFonts w:ascii="Arial" w:hAnsi="Arial" w:cs="Arial"/>
          <w:color w:val="202124"/>
          <w:sz w:val="20"/>
          <w:szCs w:val="20"/>
        </w:rPr>
        <w:t>I Kina solgte Volvo </w:t>
      </w:r>
      <w:proofErr w:type="spellStart"/>
      <w:r w:rsidRPr="000467B1">
        <w:rPr>
          <w:rFonts w:ascii="Arial" w:hAnsi="Arial" w:cs="Arial"/>
          <w:color w:val="202124"/>
          <w:sz w:val="20"/>
          <w:szCs w:val="20"/>
        </w:rPr>
        <w:t>Cars</w:t>
      </w:r>
      <w:proofErr w:type="spellEnd"/>
      <w:r w:rsidRPr="000467B1">
        <w:rPr>
          <w:rFonts w:ascii="Arial" w:hAnsi="Arial" w:cs="Arial"/>
          <w:color w:val="202124"/>
          <w:sz w:val="20"/>
          <w:szCs w:val="20"/>
        </w:rPr>
        <w:t> 154.96</w:t>
      </w:r>
      <w:r w:rsidRPr="000467B1">
        <w:rPr>
          <w:rFonts w:ascii="Arial" w:hAnsi="Arial" w:cs="Arial"/>
          <w:color w:val="202124"/>
          <w:sz w:val="20"/>
          <w:szCs w:val="20"/>
        </w:rPr>
        <w:t xml:space="preserve">1 biler i 2019, en stigning på 18,7 </w:t>
      </w:r>
      <w:r w:rsidR="000A01E6" w:rsidRPr="000467B1">
        <w:rPr>
          <w:rFonts w:ascii="Arial" w:hAnsi="Arial" w:cs="Arial"/>
          <w:color w:val="202124"/>
          <w:sz w:val="20"/>
          <w:szCs w:val="20"/>
        </w:rPr>
        <w:t>procent</w:t>
      </w:r>
      <w:r w:rsidRPr="000467B1">
        <w:rPr>
          <w:rFonts w:ascii="Arial" w:hAnsi="Arial" w:cs="Arial"/>
          <w:color w:val="202124"/>
          <w:sz w:val="20"/>
          <w:szCs w:val="20"/>
        </w:rPr>
        <w:t xml:space="preserve"> sammenlignet med 2018 - med komfortabel afstand til det samlede marked. Resultatet er en all-time rekord for Volvo </w:t>
      </w:r>
      <w:proofErr w:type="spellStart"/>
      <w:r w:rsidRPr="000467B1">
        <w:rPr>
          <w:rFonts w:ascii="Arial" w:hAnsi="Arial" w:cs="Arial"/>
          <w:color w:val="202124"/>
          <w:sz w:val="20"/>
          <w:szCs w:val="20"/>
        </w:rPr>
        <w:t>Cars</w:t>
      </w:r>
      <w:proofErr w:type="spellEnd"/>
      <w:r w:rsidRPr="000467B1">
        <w:rPr>
          <w:rFonts w:ascii="Arial" w:hAnsi="Arial" w:cs="Arial"/>
          <w:color w:val="202124"/>
          <w:sz w:val="20"/>
          <w:szCs w:val="20"/>
        </w:rPr>
        <w:t> i Kina og det højeste salgstal, virksomheden har opnået nogensinde på et enkelt marked. </w:t>
      </w:r>
    </w:p>
    <w:p w14:paraId="79912221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101"/>
          <w:rFonts w:ascii="Arial" w:eastAsia="Arial" w:hAnsi="Arial" w:cs="Arial"/>
          <w:sz w:val="20"/>
          <w:szCs w:val="20"/>
        </w:rPr>
        <w:t>I USA sol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gte Volvo 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> 108.234 biler og overskrider dermed for første gang siden 2007 100.000-tærsklen for solgte biler. Sammenlignet med 2018 steg salget med 10,1 procent.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4FD741ED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101"/>
          <w:rFonts w:ascii="Arial" w:eastAsia="Arial" w:hAnsi="Arial" w:cs="Arial"/>
          <w:sz w:val="20"/>
          <w:szCs w:val="20"/>
        </w:rPr>
        <w:lastRenderedPageBreak/>
        <w:t>I Europa var salget særlig stærkt i Tyskland, hvor virksomheden solgte mere end 50.000 bil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er for første gang i sin historie, mens </w:t>
      </w:r>
      <w:r w:rsidR="00400EC9" w:rsidRPr="000467B1">
        <w:rPr>
          <w:rStyle w:val="tm101"/>
          <w:rFonts w:ascii="Arial" w:eastAsia="Arial" w:hAnsi="Arial" w:cs="Arial"/>
          <w:sz w:val="20"/>
          <w:szCs w:val="20"/>
        </w:rPr>
        <w:t>Storbritannien</w:t>
      </w:r>
      <w:r w:rsidR="00400EC9" w:rsidRPr="000467B1">
        <w:rPr>
          <w:rStyle w:val="tm101"/>
          <w:rFonts w:ascii="Arial" w:eastAsia="Arial" w:hAnsi="Arial" w:cs="Arial"/>
          <w:sz w:val="20"/>
          <w:szCs w:val="20"/>
        </w:rPr>
        <w:t xml:space="preserve">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registrerede sit bedste salgsresultat siden 1990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1008F758" w14:textId="77777777" w:rsidR="006C556A" w:rsidRPr="000467B1" w:rsidRDefault="004D43B8">
      <w:pPr>
        <w:pStyle w:val="normaltm6"/>
        <w:rPr>
          <w:rFonts w:ascii="Arial" w:hAnsi="Arial" w:cs="Arial"/>
          <w:sz w:val="20"/>
          <w:szCs w:val="20"/>
        </w:rPr>
      </w:pPr>
      <w:r w:rsidRPr="000467B1">
        <w:rPr>
          <w:rStyle w:val="tm101"/>
          <w:rFonts w:ascii="Arial" w:eastAsia="Arial" w:hAnsi="Arial" w:cs="Arial"/>
          <w:sz w:val="20"/>
          <w:szCs w:val="20"/>
        </w:rPr>
        <w:t>Andre markeder, der kunne fremvise deres bedste salgsresultater i virksomhedens historie nogensinde, omfattede Australien,</w:t>
      </w:r>
      <w:r w:rsidR="00CE7E83" w:rsidRPr="000467B1">
        <w:rPr>
          <w:rStyle w:val="tm101"/>
          <w:rFonts w:ascii="Arial" w:eastAsia="Arial" w:hAnsi="Arial" w:cs="Arial"/>
          <w:sz w:val="20"/>
          <w:szCs w:val="20"/>
        </w:rPr>
        <w:t xml:space="preserve">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Belgien, Brasilien, T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jekkiet, Ungarn, </w:t>
      </w:r>
      <w:r w:rsidR="000467B1" w:rsidRPr="000467B1">
        <w:rPr>
          <w:rStyle w:val="tm101"/>
          <w:rFonts w:ascii="Arial" w:eastAsia="Arial" w:hAnsi="Arial" w:cs="Arial"/>
          <w:sz w:val="20"/>
          <w:szCs w:val="20"/>
        </w:rPr>
        <w:t>Syd</w:t>
      </w:r>
      <w:r w:rsidR="007F1B86">
        <w:rPr>
          <w:rStyle w:val="tm101"/>
          <w:rFonts w:ascii="Arial" w:eastAsia="Arial" w:hAnsi="Arial" w:cs="Arial"/>
          <w:sz w:val="20"/>
          <w:szCs w:val="20"/>
        </w:rPr>
        <w:t>k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orea, Polen og Portugal.</w:t>
      </w:r>
      <w:r w:rsidRPr="000467B1">
        <w:rPr>
          <w:rFonts w:ascii="Arial" w:hAnsi="Arial" w:cs="Arial"/>
          <w:sz w:val="20"/>
          <w:szCs w:val="20"/>
        </w:rPr>
        <w:t> </w:t>
      </w:r>
      <w:r w:rsidR="00C42F25">
        <w:rPr>
          <w:rFonts w:ascii="Arial" w:hAnsi="Arial" w:cs="Arial"/>
          <w:sz w:val="20"/>
          <w:szCs w:val="20"/>
        </w:rPr>
        <w:t xml:space="preserve">Volvo Car Denmark har haft sit bedste salgsresultat i </w:t>
      </w:r>
      <w:r w:rsidR="006D68BB" w:rsidRPr="000467B1">
        <w:rPr>
          <w:rFonts w:ascii="Arial" w:hAnsi="Arial" w:cs="Arial"/>
          <w:sz w:val="20"/>
          <w:szCs w:val="20"/>
        </w:rPr>
        <w:t>2019 siden 1986.</w:t>
      </w:r>
    </w:p>
    <w:p w14:paraId="4305A111" w14:textId="77777777" w:rsidR="006C556A" w:rsidRPr="000467B1" w:rsidRDefault="004D43B8">
      <w:pPr>
        <w:pStyle w:val="normaltm6"/>
        <w:rPr>
          <w:rStyle w:val="tm101"/>
          <w:rFonts w:ascii="Arial" w:eastAsia="Arial" w:hAnsi="Arial" w:cs="Arial"/>
          <w:sz w:val="20"/>
          <w:szCs w:val="20"/>
        </w:rPr>
      </w:pPr>
      <w:r w:rsidRPr="000467B1">
        <w:rPr>
          <w:rStyle w:val="tm111"/>
          <w:sz w:val="20"/>
          <w:szCs w:val="20"/>
        </w:rPr>
        <w:t>X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C60 SUV fortsætter med at være den bedst sælgende bil for virksomheden globalt, efterfulgt af 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SUV’erne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XC40 og XC90, mens sedanerne og stationcarene i 90- og 60-serien også bidrog til volumenvækst i henholdsvis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Kina og Europa. </w:t>
      </w:r>
    </w:p>
    <w:p w14:paraId="4A00E88F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101"/>
          <w:rFonts w:ascii="Arial" w:eastAsia="Arial" w:hAnsi="Arial" w:cs="Arial"/>
          <w:sz w:val="20"/>
          <w:szCs w:val="20"/>
        </w:rPr>
        <w:t>I år vil Volvo 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 begynde at udrulle sin 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Recharge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-modelrække på markeder over hele kloden. 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Recharge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vil være det overordnede navn for alle genopladelige Volvo</w:t>
      </w:r>
      <w:r w:rsidR="000467B1" w:rsidRPr="000467B1">
        <w:rPr>
          <w:rStyle w:val="tm101"/>
          <w:rFonts w:ascii="Arial" w:eastAsia="Arial" w:hAnsi="Arial" w:cs="Arial"/>
          <w:sz w:val="20"/>
          <w:szCs w:val="20"/>
        </w:rPr>
        <w:t>-biler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med fuldelektrisk og plug-in hybrid-drivline. </w:t>
      </w:r>
    </w:p>
    <w:p w14:paraId="1FE6988F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Recharge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>-modelserien har til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formål at øge salget af Volvo 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>' genopladelige biler og via incitamenter at tilskynde førere af plug-in hybrid-modeller til at bruge Pure-funktionen så meget som muligt.</w:t>
      </w:r>
      <w:r w:rsidR="008B5012" w:rsidRPr="000467B1">
        <w:rPr>
          <w:rStyle w:val="tm101"/>
          <w:rFonts w:ascii="Arial" w:eastAsia="Arial" w:hAnsi="Arial" w:cs="Arial"/>
          <w:sz w:val="20"/>
          <w:szCs w:val="20"/>
        </w:rPr>
        <w:t xml:space="preserve"> Dette blandt andet ved at tilbyde et års fri elektricitet ved køb af en ny Volvo plug-in hybrid, når føreren kører i Pure Mode.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Volvo 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> sigter imod, at plug-in hybrid-biler kommer til at udgøre 20% af det sa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mlede salg i 2020.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6C775AEC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Hver Volvo kan fås i </w:t>
      </w:r>
      <w:r w:rsidR="000467B1" w:rsidRPr="000467B1">
        <w:rPr>
          <w:rStyle w:val="tm101"/>
          <w:rFonts w:ascii="Arial" w:eastAsia="Arial" w:hAnsi="Arial" w:cs="Arial"/>
          <w:sz w:val="20"/>
          <w:szCs w:val="20"/>
        </w:rPr>
        <w:t xml:space="preserve">en 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Recharge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-udgave, fra den lille XC40 SUV </w:t>
      </w:r>
      <w:r w:rsidR="000467B1" w:rsidRPr="000467B1">
        <w:rPr>
          <w:rStyle w:val="tm101"/>
          <w:rFonts w:ascii="Arial" w:eastAsia="Arial" w:hAnsi="Arial" w:cs="Arial"/>
          <w:sz w:val="20"/>
          <w:szCs w:val="20"/>
        </w:rPr>
        <w:t>til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60-seriens biler </w:t>
      </w:r>
      <w:r w:rsidR="000467B1" w:rsidRPr="000467B1">
        <w:rPr>
          <w:rStyle w:val="tm101"/>
          <w:rFonts w:ascii="Arial" w:eastAsia="Arial" w:hAnsi="Arial" w:cs="Arial"/>
          <w:sz w:val="20"/>
          <w:szCs w:val="20"/>
        </w:rPr>
        <w:t xml:space="preserve">og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til det store XC90 SUV-flagskib. Volvo 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 er den eneste bilproducent, der tilbyder en plug-in-variant til hele sit modeludvalg. </w:t>
      </w:r>
      <w:r w:rsidR="008B5012" w:rsidRPr="000467B1">
        <w:rPr>
          <w:rStyle w:val="tm101"/>
          <w:rFonts w:ascii="Arial" w:eastAsia="Arial" w:hAnsi="Arial" w:cs="Arial"/>
          <w:sz w:val="20"/>
          <w:szCs w:val="20"/>
        </w:rPr>
        <w:t xml:space="preserve">Og fra efteråret 2020 starter salget i Danmark af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XC40 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Recharge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P8, Volvo </w:t>
      </w:r>
      <w:proofErr w:type="spellStart"/>
      <w:r w:rsidRPr="000467B1">
        <w:rPr>
          <w:rStyle w:val="tm10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101"/>
          <w:rFonts w:ascii="Arial" w:eastAsia="Arial" w:hAnsi="Arial" w:cs="Arial"/>
          <w:sz w:val="20"/>
          <w:szCs w:val="20"/>
        </w:rPr>
        <w:t>' første fuldelektriske bil.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39E7F9AF" w14:textId="77777777" w:rsidR="006C556A" w:rsidRPr="000467B1" w:rsidRDefault="004D43B8">
      <w:pPr>
        <w:pStyle w:val="normaltm6"/>
        <w:rPr>
          <w:rFonts w:ascii="Arial" w:eastAsia="Arial" w:hAnsi="Arial" w:cs="Arial"/>
          <w:color w:val="333333"/>
          <w:sz w:val="20"/>
          <w:szCs w:val="20"/>
        </w:rPr>
      </w:pPr>
      <w:r w:rsidRPr="000467B1">
        <w:rPr>
          <w:rStyle w:val="tm111"/>
          <w:sz w:val="20"/>
          <w:szCs w:val="20"/>
        </w:rPr>
        <w:t> 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Nedenfor ses e</w:t>
      </w:r>
      <w:r w:rsidR="000467B1" w:rsidRPr="000467B1">
        <w:rPr>
          <w:rStyle w:val="tm101"/>
          <w:rFonts w:ascii="Arial" w:eastAsia="Arial" w:hAnsi="Arial" w:cs="Arial"/>
          <w:sz w:val="20"/>
          <w:szCs w:val="20"/>
        </w:rPr>
        <w:t>n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 detaljeret opgørelse over salget fordelt på regioner.</w:t>
      </w:r>
      <w:r w:rsidRPr="000467B1">
        <w:rPr>
          <w:rFonts w:ascii="Arial" w:eastAsia="Arial" w:hAnsi="Arial" w:cs="Arial"/>
          <w:sz w:val="20"/>
          <w:szCs w:val="20"/>
          <w:lang w:val="en-GB"/>
        </w:rPr>
        <w:t> </w:t>
      </w:r>
      <w:r w:rsidRPr="000467B1">
        <w:rPr>
          <w:rFonts w:ascii="Arial" w:eastAsia="Calibri" w:hAnsi="Arial" w:cs="Arial"/>
          <w:color w:val="333333"/>
          <w:sz w:val="20"/>
          <w:szCs w:val="20"/>
        </w:rPr>
        <w:t> </w:t>
      </w:r>
    </w:p>
    <w:tbl>
      <w:tblPr>
        <w:tblStyle w:val="Normaltabel"/>
        <w:tblW w:w="9204" w:type="dxa"/>
        <w:tblLook w:val="0600" w:firstRow="0" w:lastRow="0" w:firstColumn="0" w:lastColumn="0" w:noHBand="1" w:noVBand="1"/>
      </w:tblPr>
      <w:tblGrid>
        <w:gridCol w:w="1408"/>
        <w:gridCol w:w="1417"/>
        <w:gridCol w:w="1134"/>
        <w:gridCol w:w="1430"/>
        <w:gridCol w:w="1413"/>
        <w:gridCol w:w="1271"/>
        <w:gridCol w:w="1131"/>
      </w:tblGrid>
      <w:tr w:rsidR="006C556A" w:rsidRPr="000467B1" w14:paraId="67EE2F43" w14:textId="77777777" w:rsidTr="00B41BB9">
        <w:trPr>
          <w:trHeight w:val="59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826C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2687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December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D2D9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A574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05B8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Januar-</w:t>
            </w:r>
          </w:p>
          <w:p w14:paraId="2DD92EA0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December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6E3D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0A42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6C556A" w:rsidRPr="000467B1" w14:paraId="5F50B1DF" w14:textId="77777777" w:rsidTr="00B41BB9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FA67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0BD2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5F4B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2019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7838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Ændring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CA1F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CF91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D261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Ændring</w:t>
            </w:r>
          </w:p>
        </w:tc>
      </w:tr>
      <w:tr w:rsidR="006C556A" w:rsidRPr="000467B1" w14:paraId="20FDF111" w14:textId="77777777" w:rsidTr="00B41BB9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A1A9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AE94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29.469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49F8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34.224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7FA5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16,1 %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9A89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317.838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3916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340.605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C721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7,2 %</w:t>
            </w:r>
          </w:p>
        </w:tc>
      </w:tr>
      <w:tr w:rsidR="006C556A" w:rsidRPr="000467B1" w14:paraId="35E995A6" w14:textId="77777777" w:rsidTr="00B41BB9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D5DE" w14:textId="77777777" w:rsidR="006C556A" w:rsidRPr="000467B1" w:rsidRDefault="000467B1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Kina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846E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11.868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678C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16.908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3BCD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42,5 %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0E6C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130.593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351A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154.961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078E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18,7 %</w:t>
            </w:r>
          </w:p>
        </w:tc>
      </w:tr>
      <w:tr w:rsidR="006C556A" w:rsidRPr="000467B1" w14:paraId="2EAC3976" w14:textId="77777777" w:rsidTr="00B41BB9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CA95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US</w:t>
            </w:r>
            <w:r w:rsidR="000467B1" w:rsidRPr="000467B1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A8B3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8.826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8417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12.360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2E83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40 %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39D2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98.263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0C27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108.234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E5FF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10,1 %</w:t>
            </w:r>
          </w:p>
        </w:tc>
      </w:tr>
      <w:tr w:rsidR="006C556A" w:rsidRPr="000467B1" w14:paraId="7A34D5DB" w14:textId="77777777" w:rsidTr="00B41BB9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24D5" w14:textId="2131E2B8" w:rsidR="006C556A" w:rsidRPr="000467B1" w:rsidRDefault="000467B1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Øvrig</w:t>
            </w:r>
            <w:r w:rsidR="004D43B8">
              <w:rPr>
                <w:rFonts w:ascii="Arial" w:eastAsia="Arial" w:hAnsi="Arial" w:cs="Arial"/>
                <w:sz w:val="20"/>
                <w:szCs w:val="20"/>
              </w:rPr>
              <w:t>e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C55D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9.994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4D4A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10.747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D4D2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7,5 %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33F6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95.559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3CA1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101.652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EBA4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6,4 %</w:t>
            </w:r>
          </w:p>
        </w:tc>
      </w:tr>
      <w:tr w:rsidR="006C556A" w:rsidRPr="000467B1" w14:paraId="59A5B63E" w14:textId="77777777" w:rsidTr="00B41BB9">
        <w:trPr>
          <w:trHeight w:val="473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263F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2A1C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60.157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4B3E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74.239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3F8C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23,4 %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B647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642.253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8229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705.452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137E" w14:textId="77777777" w:rsidR="006C556A" w:rsidRPr="000467B1" w:rsidRDefault="004D43B8" w:rsidP="00B41B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467B1">
              <w:rPr>
                <w:rFonts w:ascii="Arial" w:eastAsia="Arial" w:hAnsi="Arial" w:cs="Arial"/>
                <w:sz w:val="20"/>
                <w:szCs w:val="20"/>
              </w:rPr>
              <w:t>9,8 %</w:t>
            </w:r>
          </w:p>
        </w:tc>
      </w:tr>
    </w:tbl>
    <w:p w14:paraId="454D50E6" w14:textId="77777777" w:rsidR="006C556A" w:rsidRPr="000467B1" w:rsidRDefault="004D43B8">
      <w:pPr>
        <w:spacing w:line="288" w:lineRule="auto"/>
        <w:rPr>
          <w:rFonts w:ascii="Arial" w:eastAsia="Arial" w:hAnsi="Arial" w:cs="Arial"/>
          <w:color w:val="333333"/>
          <w:sz w:val="20"/>
          <w:szCs w:val="20"/>
        </w:rPr>
      </w:pPr>
      <w:r w:rsidRPr="000467B1">
        <w:rPr>
          <w:rFonts w:ascii="Arial" w:eastAsia="Arial" w:hAnsi="Arial" w:cs="Arial"/>
          <w:color w:val="333333"/>
          <w:sz w:val="20"/>
          <w:szCs w:val="20"/>
        </w:rPr>
        <w:t> </w:t>
      </w:r>
    </w:p>
    <w:p w14:paraId="4225625E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101"/>
          <w:rFonts w:ascii="Arial" w:eastAsia="Arial" w:hAnsi="Arial" w:cs="Arial"/>
          <w:sz w:val="20"/>
          <w:szCs w:val="20"/>
        </w:rPr>
        <w:t xml:space="preserve">I 2019 var XC60 den bedst 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sælgende model med et salg på 204.965 biler (2018: 187.339 biler), efterfulgt af XC40 på 139.847 biler (2018: 75.828 biler) og XC90 med 100.729 solgte biler (2018: 94.182 enheder).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2F3B8FAF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111"/>
          <w:sz w:val="20"/>
          <w:szCs w:val="20"/>
        </w:rPr>
        <w:t> </w:t>
      </w:r>
      <w:r w:rsidRPr="000467B1">
        <w:rPr>
          <w:rStyle w:val="tm101"/>
          <w:rFonts w:ascii="Arial" w:eastAsia="Arial" w:hAnsi="Arial" w:cs="Arial"/>
          <w:sz w:val="20"/>
          <w:szCs w:val="20"/>
        </w:rPr>
        <w:t>-------------------------------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1B03F6C1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211"/>
          <w:rFonts w:ascii="Arial" w:eastAsia="Arial" w:hAnsi="Arial" w:cs="Arial"/>
          <w:sz w:val="20"/>
          <w:szCs w:val="20"/>
        </w:rPr>
        <w:t>Volvo Car Group 2018</w:t>
      </w:r>
      <w:r w:rsidRPr="000467B1">
        <w:rPr>
          <w:rFonts w:ascii="Arial" w:eastAsia="Arial" w:hAnsi="Arial" w:cs="Arial"/>
          <w:sz w:val="20"/>
          <w:szCs w:val="20"/>
        </w:rPr>
        <w:t> </w:t>
      </w:r>
      <w:r w:rsidRPr="000467B1">
        <w:rPr>
          <w:rFonts w:ascii="Arial" w:eastAsia="Arial" w:hAnsi="Arial" w:cs="Arial"/>
          <w:sz w:val="20"/>
          <w:szCs w:val="20"/>
        </w:rPr>
        <w:br/>
      </w:r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I </w:t>
      </w:r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regnskabsåret 2018 registrerede Volvo Car Group et driftsoverskud på 14.185 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 SEK (14.061 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 SEK i 2017). Omsætningen i perioden beløb sig til 252.653 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 SEK (208.646 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 SEK). For hele året 2018 nåede det globale salg en rekord på 642.253 (571.577) bi</w:t>
      </w:r>
      <w:r w:rsidRPr="000467B1">
        <w:rPr>
          <w:rStyle w:val="tm221"/>
          <w:rFonts w:ascii="Arial" w:eastAsia="Arial" w:hAnsi="Arial" w:cs="Arial"/>
          <w:sz w:val="20"/>
          <w:szCs w:val="20"/>
        </w:rPr>
        <w:t>ler, en stigning på 12,4 procent mod 2017. Resultaterne understreger den omfattende transformering af Volvo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' finanser og drift i de seneste år og positionerer virksomheden til dens næste vækstfase.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021E1D36" w14:textId="77777777" w:rsidR="006C556A" w:rsidRPr="000467B1" w:rsidRDefault="004D43B8">
      <w:pPr>
        <w:pStyle w:val="normaltm6"/>
        <w:rPr>
          <w:sz w:val="20"/>
          <w:szCs w:val="20"/>
        </w:rPr>
      </w:pPr>
      <w:r w:rsidRPr="000467B1">
        <w:rPr>
          <w:rStyle w:val="tm211"/>
          <w:rFonts w:ascii="Arial" w:eastAsia="Arial" w:hAnsi="Arial" w:cs="Arial"/>
          <w:sz w:val="20"/>
          <w:szCs w:val="20"/>
        </w:rPr>
        <w:t>Om Volvo Car Group </w:t>
      </w:r>
      <w:r w:rsidRPr="000467B1">
        <w:rPr>
          <w:sz w:val="20"/>
          <w:szCs w:val="20"/>
        </w:rPr>
        <w:br/>
      </w:r>
      <w:r w:rsidRPr="000467B1">
        <w:rPr>
          <w:rStyle w:val="tm221"/>
          <w:rFonts w:ascii="Arial" w:eastAsia="Arial" w:hAnsi="Arial" w:cs="Arial"/>
          <w:sz w:val="20"/>
          <w:szCs w:val="20"/>
        </w:rPr>
        <w:t>Volvo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 blev grundlagt i 1927</w:t>
      </w:r>
      <w:r w:rsidRPr="000467B1">
        <w:rPr>
          <w:rStyle w:val="tm221"/>
          <w:rFonts w:ascii="Arial" w:eastAsia="Arial" w:hAnsi="Arial" w:cs="Arial"/>
          <w:sz w:val="20"/>
          <w:szCs w:val="20"/>
        </w:rPr>
        <w:t>. I dag er det et af verdens mest kendte og respekterede bilmærker i premium-segmentet med et salg på 642.253 biler i 2018 i ca. 100 lande. Volvo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 har været ejet af 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Zhejiang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Geely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 Holding of China siden</w:t>
      </w:r>
      <w:r w:rsidRPr="000467B1">
        <w:rPr>
          <w:rStyle w:val="tm231"/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467B1">
        <w:rPr>
          <w:rStyle w:val="tm201"/>
          <w:b w:val="0"/>
          <w:bCs w:val="0"/>
          <w:sz w:val="20"/>
          <w:szCs w:val="20"/>
        </w:rPr>
        <w:t>2010</w:t>
      </w:r>
      <w:r w:rsidRPr="000467B1">
        <w:rPr>
          <w:rStyle w:val="tm201"/>
          <w:sz w:val="20"/>
          <w:szCs w:val="20"/>
        </w:rPr>
        <w:t>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585364F3" w14:textId="77777777" w:rsidR="006C556A" w:rsidRPr="000467B1" w:rsidRDefault="004D43B8">
      <w:pPr>
        <w:pStyle w:val="normaltm6"/>
        <w:rPr>
          <w:rFonts w:ascii="Arial" w:eastAsia="Arial" w:hAnsi="Arial" w:cs="Arial"/>
          <w:sz w:val="20"/>
          <w:szCs w:val="20"/>
        </w:rPr>
      </w:pPr>
      <w:r w:rsidRPr="000467B1">
        <w:rPr>
          <w:rStyle w:val="tm221"/>
          <w:rFonts w:ascii="Arial" w:eastAsia="Arial" w:hAnsi="Arial" w:cs="Arial"/>
          <w:sz w:val="20"/>
          <w:szCs w:val="20"/>
        </w:rPr>
        <w:t xml:space="preserve">I 2018 beskæftigede </w:t>
      </w:r>
      <w:r w:rsidRPr="000467B1">
        <w:rPr>
          <w:rStyle w:val="tm221"/>
          <w:rFonts w:ascii="Arial" w:eastAsia="Arial" w:hAnsi="Arial" w:cs="Arial"/>
          <w:sz w:val="20"/>
          <w:szCs w:val="20"/>
        </w:rPr>
        <w:t>Volvo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 i gennemsnit ca. 43.000 (39.500) fuldtidsansatte. Volvo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´ hovedkontor, produktudvikling, markedsførings- og administrationsfunktioner er hovedsageligt placeret i Göteborg (Sverige). Volvo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` hovedkontor for APAC ligger i Shanghai. Virksom</w:t>
      </w:r>
      <w:r w:rsidRPr="000467B1">
        <w:rPr>
          <w:rStyle w:val="tm221"/>
          <w:rFonts w:ascii="Arial" w:eastAsia="Arial" w:hAnsi="Arial" w:cs="Arial"/>
          <w:sz w:val="20"/>
          <w:szCs w:val="20"/>
        </w:rPr>
        <w:t>hedens vigtigste bilfabrikker ligger i Göteborg (Sverige), Gent (Belgien), South Carolina (USA), Chengdu og </w:t>
      </w:r>
      <w:proofErr w:type="spellStart"/>
      <w:r w:rsidRPr="000467B1">
        <w:rPr>
          <w:rStyle w:val="tm221"/>
          <w:rFonts w:ascii="Arial" w:eastAsia="Arial" w:hAnsi="Arial" w:cs="Arial"/>
          <w:sz w:val="20"/>
          <w:szCs w:val="20"/>
        </w:rPr>
        <w:t>Daqing</w:t>
      </w:r>
      <w:proofErr w:type="spellEnd"/>
      <w:r w:rsidRPr="000467B1">
        <w:rPr>
          <w:rStyle w:val="tm221"/>
          <w:rFonts w:ascii="Arial" w:eastAsia="Arial" w:hAnsi="Arial" w:cs="Arial"/>
          <w:sz w:val="20"/>
          <w:szCs w:val="20"/>
        </w:rPr>
        <w:t> (Kina), mens motorerne fremstilles i Skövde (Sverige) og Zhangjiakou (Kina) og karrosserikomponenter i</w:t>
      </w:r>
      <w:r w:rsidRPr="000467B1">
        <w:rPr>
          <w:rStyle w:val="tm231"/>
          <w:rFonts w:ascii="Arial" w:eastAsia="Arial" w:hAnsi="Arial" w:cs="Arial"/>
          <w:sz w:val="20"/>
          <w:szCs w:val="20"/>
        </w:rPr>
        <w:t> </w:t>
      </w:r>
      <w:proofErr w:type="spellStart"/>
      <w:r w:rsidRPr="000467B1">
        <w:rPr>
          <w:rStyle w:val="tm241"/>
          <w:sz w:val="20"/>
          <w:szCs w:val="20"/>
        </w:rPr>
        <w:t>Olofström</w:t>
      </w:r>
      <w:proofErr w:type="spellEnd"/>
      <w:r w:rsidRPr="000467B1">
        <w:rPr>
          <w:rStyle w:val="tm241"/>
          <w:sz w:val="20"/>
          <w:szCs w:val="20"/>
        </w:rPr>
        <w:t> (Sverige).</w:t>
      </w:r>
      <w:r w:rsidRPr="000467B1">
        <w:rPr>
          <w:rFonts w:ascii="Arial" w:eastAsia="Arial" w:hAnsi="Arial" w:cs="Arial"/>
          <w:sz w:val="20"/>
          <w:szCs w:val="20"/>
        </w:rPr>
        <w:t> </w:t>
      </w:r>
    </w:p>
    <w:p w14:paraId="1254B14C" w14:textId="77777777" w:rsidR="006C556A" w:rsidRPr="00E73A44" w:rsidRDefault="004D43B8" w:rsidP="00E73A44">
      <w:pPr>
        <w:pStyle w:val="normaltm6"/>
        <w:rPr>
          <w:rStyle w:val="Emphasis"/>
          <w:rFonts w:ascii="Arial" w:eastAsia="Arial" w:hAnsi="Arial" w:cs="Arial"/>
          <w:i w:val="0"/>
          <w:iCs w:val="0"/>
          <w:sz w:val="20"/>
          <w:szCs w:val="20"/>
        </w:rPr>
      </w:pPr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>Med sin nye måls</w:t>
      </w:r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>ætning er det Volvo </w:t>
      </w:r>
      <w:proofErr w:type="spellStart"/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>´ hovedsigte at give kunderne friheden til at bevæge sig på en personlig, bæredygtig og sikker måde. Dette formål afspejles i en række forretningsmæssige ambitioner: Senest midt i 20’erne skal halvdelen af virksomhedens globale salg</w:t>
      </w:r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 xml:space="preserve"> bestå af fuldelektriske biler og halvdelen af alle biler tilbydes kunderne i en abonnementsordning. På det tidspunkt er det også hensigten, at en tredjedel af Volvo </w:t>
      </w:r>
      <w:proofErr w:type="spellStart"/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>Cars</w:t>
      </w:r>
      <w:proofErr w:type="spellEnd"/>
      <w:r w:rsidRPr="000467B1">
        <w:rPr>
          <w:rStyle w:val="tm221"/>
          <w:rFonts w:ascii="Arial" w:eastAsia="Arial" w:hAnsi="Arial" w:cs="Arial"/>
          <w:color w:val="auto"/>
          <w:sz w:val="20"/>
          <w:szCs w:val="20"/>
        </w:rPr>
        <w:t>´ solgte biler skal være selvkørende.</w:t>
      </w:r>
      <w:r>
        <w:rPr>
          <w:rStyle w:val="tm221"/>
          <w:rFonts w:ascii="Arial" w:eastAsia="Arial" w:hAnsi="Arial" w:cs="Arial"/>
          <w:color w:val="auto"/>
          <w:sz w:val="20"/>
          <w:szCs w:val="20"/>
        </w:rPr>
        <w:t> </w:t>
      </w:r>
      <w:r w:rsidRPr="00E73A44">
        <w:rPr>
          <w:rFonts w:ascii="Arial" w:eastAsia="Arial" w:hAnsi="Arial" w:cs="Arial"/>
          <w:sz w:val="20"/>
          <w:szCs w:val="20"/>
        </w:rPr>
        <w:t> </w:t>
      </w:r>
    </w:p>
    <w:bookmarkEnd w:id="0"/>
    <w:p w14:paraId="5622741E" w14:textId="77777777" w:rsidR="006C556A" w:rsidRDefault="006C556A">
      <w:pPr>
        <w:spacing w:line="24" w:lineRule="atLeast"/>
        <w:rPr>
          <w:rFonts w:ascii="Arial" w:eastAsia="Arial" w:hAnsi="Arial" w:cs="Arial"/>
          <w:color w:val="FF0000"/>
          <w:sz w:val="20"/>
          <w:szCs w:val="20"/>
        </w:rPr>
      </w:pPr>
    </w:p>
    <w:sectPr w:rsidR="006C556A" w:rsidSect="00E73A44">
      <w:endnotePr>
        <w:numFmt w:val="decimal"/>
      </w:endnotePr>
      <w:pgSz w:w="12240" w:h="15840"/>
      <w:pgMar w:top="1440" w:right="1440" w:bottom="1440" w:left="144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67B14" w14:textId="77777777" w:rsidR="00E73A44" w:rsidRDefault="00E73A44" w:rsidP="00E73A44">
      <w:r>
        <w:separator/>
      </w:r>
    </w:p>
  </w:endnote>
  <w:endnote w:type="continuationSeparator" w:id="0">
    <w:p w14:paraId="28895B56" w14:textId="77777777" w:rsidR="00E73A44" w:rsidRDefault="00E73A44" w:rsidP="00E7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olvo Novum Light">
    <w:panose1 w:val="020B0303040502060204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FBC56" w14:textId="77777777" w:rsidR="00E73A44" w:rsidRDefault="00E73A44" w:rsidP="00E73A44">
      <w:r>
        <w:separator/>
      </w:r>
    </w:p>
  </w:footnote>
  <w:footnote w:type="continuationSeparator" w:id="0">
    <w:p w14:paraId="21D19EB4" w14:textId="77777777" w:rsidR="00E73A44" w:rsidRDefault="00E73A44" w:rsidP="00E7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59C"/>
    <w:multiLevelType w:val="hybridMultilevel"/>
    <w:tmpl w:val="CBD2E39C"/>
    <w:name w:val="Numerisk liste 3"/>
    <w:lvl w:ilvl="0" w:tplc="5F00EAE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7D8E6D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5A7CD7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3F7CFF0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72684D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E1E2E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4F02C9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ADE3FA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58C21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92275B8"/>
    <w:multiLevelType w:val="hybridMultilevel"/>
    <w:tmpl w:val="AFFA78DE"/>
    <w:name w:val="Numerisk liste 1"/>
    <w:lvl w:ilvl="0" w:tplc="4B38049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60CB5E8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1F0C7298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A6A0F06E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6C6E3CBE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C714D900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4DA66B62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F5E4CA86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FAE81798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2" w15:restartNumberingAfterBreak="0">
    <w:nsid w:val="34834547"/>
    <w:multiLevelType w:val="hybridMultilevel"/>
    <w:tmpl w:val="DC044362"/>
    <w:name w:val="Numerisk liste 2"/>
    <w:lvl w:ilvl="0" w:tplc="9692D36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FFC32D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464826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B662DC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696FC7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DCEA0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8709D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6AA86A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BEC90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6CB6F5B"/>
    <w:multiLevelType w:val="hybridMultilevel"/>
    <w:tmpl w:val="65946B72"/>
    <w:name w:val="Numerisk liste 4"/>
    <w:lvl w:ilvl="0" w:tplc="51883E6E">
      <w:numFmt w:val="bullet"/>
      <w:lvlText w:val=""/>
      <w:lvlJc w:val="left"/>
      <w:pPr>
        <w:ind w:left="360" w:firstLine="0"/>
      </w:pPr>
      <w:rPr>
        <w:rFonts w:ascii="Symbol" w:eastAsia="Times New Roman" w:hAnsi="Symbol" w:cs="Arial"/>
      </w:rPr>
    </w:lvl>
    <w:lvl w:ilvl="1" w:tplc="7686700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D40D09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89E10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65C5EB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60404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ECAD2C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25026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3A479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660E7679"/>
    <w:multiLevelType w:val="hybridMultilevel"/>
    <w:tmpl w:val="9FF6472E"/>
    <w:lvl w:ilvl="0" w:tplc="3A9837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E7C041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84ADC6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506B1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4814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1BA2B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42694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5381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A7A121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A"/>
    <w:rsid w:val="000467B1"/>
    <w:rsid w:val="000743C8"/>
    <w:rsid w:val="000A01E6"/>
    <w:rsid w:val="001F513A"/>
    <w:rsid w:val="003C3CB8"/>
    <w:rsid w:val="00400EC9"/>
    <w:rsid w:val="004916B1"/>
    <w:rsid w:val="004D43B8"/>
    <w:rsid w:val="006C556A"/>
    <w:rsid w:val="006D68BB"/>
    <w:rsid w:val="006F137F"/>
    <w:rsid w:val="006F7121"/>
    <w:rsid w:val="007F1B86"/>
    <w:rsid w:val="008B5012"/>
    <w:rsid w:val="00AD4B9A"/>
    <w:rsid w:val="00B41BB9"/>
    <w:rsid w:val="00C42F25"/>
    <w:rsid w:val="00CE7E83"/>
    <w:rsid w:val="00DA1A0B"/>
    <w:rsid w:val="00E73A44"/>
    <w:rsid w:val="00F7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78B76"/>
  <w15:docId w15:val="{76A0A11D-13AD-4039-99A2-E2D3BB44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rFonts w:ascii="Arial" w:hAnsi="Arial" w:cs="Arial"/>
      <w:color w:val="333333"/>
      <w:sz w:val="22"/>
      <w:szCs w:val="22"/>
    </w:rPr>
  </w:style>
  <w:style w:type="paragraph" w:customStyle="1" w:styleId="v-heading1">
    <w:name w:val="v-heading1"/>
    <w:basedOn w:val="Normal"/>
    <w:qFormat/>
    <w:rPr>
      <w:rFonts w:ascii="Arial" w:hAnsi="Arial" w:cs="Arial"/>
      <w:b/>
      <w:bCs/>
      <w:color w:val="333333"/>
      <w:sz w:val="26"/>
      <w:szCs w:val="26"/>
    </w:rPr>
  </w:style>
  <w:style w:type="paragraph" w:customStyle="1" w:styleId="v-introduction">
    <w:name w:val="v-introduction"/>
    <w:basedOn w:val="Normal"/>
    <w:qFormat/>
    <w:rPr>
      <w:rFonts w:ascii="Arial" w:hAnsi="Arial" w:cs="Arial"/>
      <w:color w:val="333333"/>
      <w:sz w:val="22"/>
      <w:szCs w:val="22"/>
    </w:rPr>
  </w:style>
  <w:style w:type="paragraph" w:customStyle="1" w:styleId="v-heading2">
    <w:name w:val="v-heading2"/>
    <w:basedOn w:val="Normal"/>
    <w:qFormat/>
    <w:rPr>
      <w:rFonts w:ascii="Arial" w:hAnsi="Arial" w:cs="Arial"/>
      <w:b/>
      <w:bCs/>
      <w:color w:val="333333"/>
      <w:sz w:val="22"/>
      <w:szCs w:val="22"/>
    </w:rPr>
  </w:style>
  <w:style w:type="paragraph" w:customStyle="1" w:styleId="inline-image">
    <w:name w:val="inline-image"/>
    <w:basedOn w:val="Normal"/>
    <w:qFormat/>
    <w:pPr>
      <w:jc w:val="center"/>
    </w:pPr>
    <w:rPr>
      <w:rFonts w:ascii="Arial" w:hAnsi="Arial" w:cs="Arial"/>
      <w:color w:val="333333"/>
      <w:sz w:val="22"/>
      <w:szCs w:val="22"/>
    </w:rPr>
  </w:style>
  <w:style w:type="paragraph" w:customStyle="1" w:styleId="v-heading11">
    <w:name w:val="v-heading11"/>
    <w:basedOn w:val="Normal"/>
    <w:qFormat/>
    <w:pPr>
      <w:spacing w:line="288" w:lineRule="auto"/>
    </w:pPr>
    <w:rPr>
      <w:rFonts w:ascii="Arial" w:hAnsi="Arial" w:cs="Arial"/>
      <w:b/>
      <w:bCs/>
      <w:color w:val="161618"/>
    </w:rPr>
  </w:style>
  <w:style w:type="paragraph" w:customStyle="1" w:styleId="v-introduction1">
    <w:name w:val="v-introduction1"/>
    <w:basedOn w:val="Normal"/>
    <w:qFormat/>
    <w:pPr>
      <w:spacing w:line="288" w:lineRule="auto"/>
    </w:pPr>
    <w:rPr>
      <w:rFonts w:ascii="Arial" w:hAnsi="Arial" w:cs="Arial"/>
      <w:color w:val="333333"/>
      <w:sz w:val="22"/>
      <w:szCs w:val="22"/>
    </w:r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</w:style>
  <w:style w:type="paragraph" w:customStyle="1" w:styleId="Volvoheadline">
    <w:name w:val="Volvo headline"/>
    <w:qFormat/>
    <w:pPr>
      <w:spacing w:line="400" w:lineRule="exact"/>
    </w:pPr>
    <w:rPr>
      <w:rFonts w:ascii="Arial" w:hAnsi="Arial"/>
      <w:b/>
      <w:sz w:val="36"/>
      <w:lang w:val="sv-S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elindhold">
    <w:name w:val="Tabelindhold"/>
    <w:basedOn w:val="Normal"/>
    <w:qFormat/>
    <w:pPr>
      <w:widowControl w:val="0"/>
      <w:suppressLineNumbers/>
      <w:suppressAutoHyphens/>
    </w:pPr>
    <w:rPr>
      <w:rFonts w:eastAsia="Lucida Sans Unicode"/>
      <w:kern w:val="1"/>
      <w:lang w:val="en-US"/>
    </w:rPr>
  </w:style>
  <w:style w:type="paragraph" w:customStyle="1" w:styleId="normaltm6">
    <w:name w:val="normal tm6"/>
    <w:basedOn w:val="Normal"/>
    <w:qFormat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kern w:val="1"/>
    </w:rPr>
  </w:style>
  <w:style w:type="character" w:styleId="Strong">
    <w:name w:val="Strong"/>
    <w:rPr>
      <w:b/>
      <w:bCs/>
    </w:rPr>
  </w:style>
  <w:style w:type="character" w:styleId="Emphasis">
    <w:name w:val="Emphasis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idehovedTegn">
    <w:name w:val="Sidehoved Tegn"/>
    <w:rPr>
      <w:sz w:val="24"/>
      <w:szCs w:val="24"/>
    </w:rPr>
  </w:style>
  <w:style w:type="character" w:customStyle="1" w:styleId="SidefodTegn">
    <w:name w:val="Sidefod Tegn"/>
    <w:rPr>
      <w:sz w:val="24"/>
      <w:szCs w:val="24"/>
    </w:rPr>
  </w:style>
  <w:style w:type="character" w:customStyle="1" w:styleId="MarkeringsbobletekstTegn">
    <w:name w:val="Markeringsbobletekst Tegn"/>
    <w:basedOn w:val="DefaultParagraphFont"/>
    <w:rPr>
      <w:rFonts w:ascii="Segoe UI" w:hAnsi="Segoe UI" w:cs="Segoe UI"/>
      <w:sz w:val="18"/>
      <w:szCs w:val="18"/>
      <w:lang w:val="da-DK"/>
    </w:rPr>
  </w:style>
  <w:style w:type="character" w:customStyle="1" w:styleId="tm81">
    <w:name w:val="tm81"/>
    <w:basedOn w:val="DefaultParagraphFont"/>
    <w:rPr>
      <w:b/>
      <w:bCs/>
      <w:color w:val="333333"/>
      <w:sz w:val="26"/>
      <w:szCs w:val="26"/>
    </w:rPr>
  </w:style>
  <w:style w:type="character" w:customStyle="1" w:styleId="tm91">
    <w:name w:val="tm91"/>
    <w:basedOn w:val="DefaultParagraphFont"/>
    <w:rPr>
      <w:sz w:val="26"/>
      <w:szCs w:val="26"/>
    </w:rPr>
  </w:style>
  <w:style w:type="character" w:customStyle="1" w:styleId="tm101">
    <w:name w:val="tm101"/>
    <w:basedOn w:val="DefaultParagraphFont"/>
    <w:rPr>
      <w:color w:val="333333"/>
    </w:rPr>
  </w:style>
  <w:style w:type="character" w:customStyle="1" w:styleId="tm111">
    <w:name w:val="tm111"/>
    <w:basedOn w:val="DefaultParagraphFont"/>
    <w:rPr>
      <w:rFonts w:ascii="Arial" w:eastAsia="Arial" w:hAnsi="Arial" w:cs="Arial"/>
      <w:color w:val="333333"/>
    </w:rPr>
  </w:style>
  <w:style w:type="character" w:customStyle="1" w:styleId="tm121">
    <w:name w:val="tm121"/>
    <w:basedOn w:val="DefaultParagraphFont"/>
    <w:rPr>
      <w:rFonts w:ascii="Arial" w:eastAsia="Arial" w:hAnsi="Arial" w:cs="Arial"/>
    </w:rPr>
  </w:style>
  <w:style w:type="character" w:customStyle="1" w:styleId="tm201">
    <w:name w:val="tm201"/>
    <w:basedOn w:val="DefaultParagraphFont"/>
    <w:rPr>
      <w:rFonts w:ascii="Arial" w:eastAsia="Arial" w:hAnsi="Arial" w:cs="Arial"/>
      <w:b/>
      <w:bCs/>
      <w:i/>
      <w:iCs/>
      <w:color w:val="333333"/>
    </w:rPr>
  </w:style>
  <w:style w:type="character" w:customStyle="1" w:styleId="tm211">
    <w:name w:val="tm211"/>
    <w:basedOn w:val="DefaultParagraphFont"/>
    <w:rPr>
      <w:b/>
      <w:bCs/>
      <w:i/>
      <w:iCs/>
      <w:color w:val="333333"/>
    </w:rPr>
  </w:style>
  <w:style w:type="character" w:customStyle="1" w:styleId="tm221">
    <w:name w:val="tm221"/>
    <w:basedOn w:val="DefaultParagraphFont"/>
    <w:rPr>
      <w:i/>
      <w:iCs/>
      <w:color w:val="333333"/>
    </w:rPr>
  </w:style>
  <w:style w:type="character" w:customStyle="1" w:styleId="tm231">
    <w:name w:val="tm231"/>
    <w:basedOn w:val="DefaultParagraphFont"/>
    <w:rPr>
      <w:sz w:val="24"/>
      <w:szCs w:val="24"/>
    </w:rPr>
  </w:style>
  <w:style w:type="character" w:customStyle="1" w:styleId="tm241">
    <w:name w:val="tm241"/>
    <w:basedOn w:val="DefaultParagraphFont"/>
    <w:rPr>
      <w:rFonts w:ascii="Arial" w:eastAsia="Arial" w:hAnsi="Arial" w:cs="Arial"/>
      <w:i/>
      <w:iCs/>
      <w:color w:val="333333"/>
    </w:rPr>
  </w:style>
  <w:style w:type="character" w:customStyle="1" w:styleId="tm311">
    <w:name w:val="tm311"/>
    <w:basedOn w:val="DefaultParagraphFont"/>
    <w:rPr>
      <w:b/>
      <w:bCs/>
      <w:color w:val="333333"/>
      <w:sz w:val="22"/>
      <w:szCs w:val="22"/>
    </w:rPr>
  </w:style>
  <w:style w:type="character" w:customStyle="1" w:styleId="tm321">
    <w:name w:val="tm321"/>
    <w:basedOn w:val="DefaultParagraphFont"/>
    <w:rPr>
      <w:sz w:val="22"/>
      <w:szCs w:val="22"/>
    </w:rPr>
  </w:style>
  <w:style w:type="character" w:customStyle="1" w:styleId="tm501">
    <w:name w:val="tm501"/>
    <w:basedOn w:val="DefaultParagraphFont"/>
    <w:rPr>
      <w:rFonts w:ascii="Arial" w:eastAsia="Arial" w:hAnsi="Arial" w:cs="Arial"/>
      <w:i/>
      <w:iCs/>
      <w:color w:val="666666"/>
      <w:sz w:val="22"/>
      <w:szCs w:val="22"/>
    </w:rPr>
  </w:style>
  <w:style w:type="character" w:customStyle="1" w:styleId="tm361">
    <w:name w:val="tm361"/>
    <w:basedOn w:val="DefaultParagraphFont"/>
    <w:rPr>
      <w:rFonts w:ascii="Arial" w:eastAsia="Arial" w:hAnsi="Arial" w:cs="Arial"/>
      <w:color w:val="333333"/>
      <w:sz w:val="22"/>
      <w:szCs w:val="22"/>
    </w:rPr>
  </w:style>
  <w:style w:type="table" w:customStyle="1" w:styleId="Normaltabel">
    <w:name w:val="Normal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878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Volvo Car Sverige AB</vt:lpstr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Car Sverige AB</dc:title>
  <dc:subject/>
  <dc:creator>Oest Reklame</dc:creator>
  <cp:keywords/>
  <dc:description/>
  <cp:lastModifiedBy>Elleby Heilmeier, Mia</cp:lastModifiedBy>
  <cp:revision>23</cp:revision>
  <cp:lastPrinted>2020-01-08T10:03:00Z</cp:lastPrinted>
  <dcterms:created xsi:type="dcterms:W3CDTF">2020-01-08T08:15:00Z</dcterms:created>
  <dcterms:modified xsi:type="dcterms:W3CDTF">2020-01-08T10:04:00Z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MELLEBY@volvocars.com</vt:lpwstr>
  </property>
  <property fmtid="{D5CDD505-2E9C-101B-9397-08002B2CF9AE}" pid="5" name="MSIP_Label_7fea2623-af8f-4fb8-b1cf-b63cc8e496aa_SetDate">
    <vt:lpwstr>2020-01-08T08:12:12.3335440Z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82a2e8d3-32b8-4bbb-9fc3-18ad45254bf5</vt:lpwstr>
  </property>
  <property fmtid="{D5CDD505-2E9C-101B-9397-08002B2CF9AE}" pid="9" name="MSIP_Label_7fea2623-af8f-4fb8-b1cf-b63cc8e496aa_Extended_MSFT_Method">
    <vt:lpwstr>Manual</vt:lpwstr>
  </property>
  <property fmtid="{D5CDD505-2E9C-101B-9397-08002B2CF9AE}" pid="10" name="Sensitivity">
    <vt:lpwstr>Proprietary</vt:lpwstr>
  </property>
</Properties>
</file>