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8DA" w:rsidRPr="009E58DA" w:rsidRDefault="009E58DA" w:rsidP="009E58DA">
      <w:pPr>
        <w:rPr>
          <w:rFonts w:ascii="Arial" w:hAnsi="Arial" w:cs="Arial"/>
          <w:b/>
          <w:sz w:val="24"/>
          <w:szCs w:val="20"/>
          <w:lang w:val="en-GB"/>
        </w:rPr>
      </w:pPr>
      <w:r w:rsidRPr="009E58DA">
        <w:rPr>
          <w:rFonts w:ascii="Arial" w:hAnsi="Arial" w:cs="Arial"/>
          <w:b/>
          <w:bCs/>
          <w:sz w:val="24"/>
          <w:szCs w:val="20"/>
          <w:lang w:val="en-GB"/>
        </w:rPr>
        <w:t>Third quarter 2017: Solid growth in operating revenues and improved profits</w:t>
      </w:r>
    </w:p>
    <w:p w:rsidR="009E58DA" w:rsidRPr="009E58DA" w:rsidRDefault="009E58DA" w:rsidP="009E58DA">
      <w:pPr>
        <w:rPr>
          <w:rFonts w:ascii="Arial" w:hAnsi="Arial" w:cs="Arial"/>
          <w:b/>
          <w:bCs/>
          <w:sz w:val="20"/>
          <w:szCs w:val="20"/>
          <w:lang w:val="en-GB"/>
        </w:rPr>
      </w:pPr>
      <w:r w:rsidRPr="009E58DA">
        <w:rPr>
          <w:rFonts w:ascii="Arial" w:hAnsi="Arial" w:cs="Arial"/>
          <w:b/>
          <w:bCs/>
          <w:sz w:val="20"/>
          <w:szCs w:val="20"/>
          <w:lang w:val="en-GB"/>
        </w:rPr>
        <w:t>Gross operating revenues increased by 9</w:t>
      </w:r>
      <w:proofErr w:type="gramStart"/>
      <w:r w:rsidRPr="009E58DA">
        <w:rPr>
          <w:rFonts w:ascii="Arial" w:hAnsi="Arial" w:cs="Arial"/>
          <w:b/>
          <w:bCs/>
          <w:sz w:val="20"/>
          <w:szCs w:val="20"/>
          <w:lang w:val="en-GB"/>
        </w:rPr>
        <w:t>,7</w:t>
      </w:r>
      <w:proofErr w:type="gramEnd"/>
      <w:r w:rsidRPr="009E58DA">
        <w:rPr>
          <w:rFonts w:ascii="Arial" w:hAnsi="Arial" w:cs="Arial"/>
          <w:b/>
          <w:bCs/>
          <w:sz w:val="20"/>
          <w:szCs w:val="20"/>
          <w:lang w:val="en-GB"/>
        </w:rPr>
        <w:t xml:space="preserve"> % to NOK 913 million compared to the same quarter last year. The operating profit for the quarter was NOK 101 million (NOK 82 million), while the operating margin closed on 11.1 %. During the third quarter, the company completed three acquisitions: </w:t>
      </w:r>
      <w:proofErr w:type="spellStart"/>
      <w:r w:rsidRPr="009E58DA">
        <w:rPr>
          <w:rFonts w:ascii="Arial" w:hAnsi="Arial" w:cs="Arial"/>
          <w:b/>
          <w:bCs/>
          <w:sz w:val="20"/>
          <w:szCs w:val="20"/>
          <w:lang w:val="en-GB"/>
        </w:rPr>
        <w:t>Skovhus</w:t>
      </w:r>
      <w:proofErr w:type="spellEnd"/>
      <w:r w:rsidRPr="009E58DA">
        <w:rPr>
          <w:rFonts w:ascii="Arial" w:hAnsi="Arial" w:cs="Arial"/>
          <w:b/>
          <w:bCs/>
          <w:sz w:val="20"/>
          <w:szCs w:val="20"/>
          <w:lang w:val="en-GB"/>
        </w:rPr>
        <w:t xml:space="preserve"> </w:t>
      </w:r>
      <w:proofErr w:type="spellStart"/>
      <w:r w:rsidRPr="009E58DA">
        <w:rPr>
          <w:rFonts w:ascii="Arial" w:hAnsi="Arial" w:cs="Arial"/>
          <w:b/>
          <w:bCs/>
          <w:sz w:val="20"/>
          <w:szCs w:val="20"/>
          <w:lang w:val="en-GB"/>
        </w:rPr>
        <w:t>Arkitekter</w:t>
      </w:r>
      <w:proofErr w:type="spellEnd"/>
      <w:r w:rsidRPr="009E58DA">
        <w:rPr>
          <w:rFonts w:ascii="Arial" w:hAnsi="Arial" w:cs="Arial"/>
          <w:b/>
          <w:bCs/>
          <w:sz w:val="20"/>
          <w:szCs w:val="20"/>
          <w:lang w:val="en-GB"/>
        </w:rPr>
        <w:t xml:space="preserve">, </w:t>
      </w:r>
      <w:proofErr w:type="spellStart"/>
      <w:r w:rsidRPr="009E58DA">
        <w:rPr>
          <w:rFonts w:ascii="Arial" w:hAnsi="Arial" w:cs="Arial"/>
          <w:b/>
          <w:bCs/>
          <w:sz w:val="20"/>
          <w:szCs w:val="20"/>
          <w:lang w:val="en-GB"/>
        </w:rPr>
        <w:t>BrannSafe</w:t>
      </w:r>
      <w:proofErr w:type="spellEnd"/>
      <w:r w:rsidRPr="009E58DA">
        <w:rPr>
          <w:rFonts w:ascii="Arial" w:hAnsi="Arial" w:cs="Arial"/>
          <w:b/>
          <w:bCs/>
          <w:sz w:val="20"/>
          <w:szCs w:val="20"/>
          <w:lang w:val="en-GB"/>
        </w:rPr>
        <w:t xml:space="preserve"> and ARA Engineering.</w:t>
      </w:r>
    </w:p>
    <w:p w:rsidR="009E58DA" w:rsidRPr="009E58DA" w:rsidRDefault="009E58DA" w:rsidP="009E58DA">
      <w:pPr>
        <w:rPr>
          <w:rFonts w:ascii="Arial" w:hAnsi="Arial" w:cs="Arial"/>
          <w:sz w:val="20"/>
          <w:szCs w:val="20"/>
          <w:lang w:val="en-GB"/>
        </w:rPr>
      </w:pPr>
      <w:r w:rsidRPr="009E58DA">
        <w:rPr>
          <w:rFonts w:ascii="Arial" w:hAnsi="Arial" w:cs="Arial"/>
          <w:sz w:val="20"/>
          <w:szCs w:val="20"/>
          <w:lang w:val="en-GB"/>
        </w:rPr>
        <w:t>Year to date Gross operating revenues was NOK 3.2 billion, an increase of 6.9 % compared to the same period last year. The total operating profit to date this year comes in at NOK 286 million (compared to NOK 254 million in 2016). The YTD operating margin is 8.9 %, up from 8.5 % over the same period in 2016.</w:t>
      </w:r>
      <w:bookmarkStart w:id="0" w:name="_GoBack"/>
      <w:bookmarkEnd w:id="0"/>
    </w:p>
    <w:p w:rsidR="009E58DA" w:rsidRPr="009E58DA" w:rsidRDefault="009E58DA" w:rsidP="009E58DA">
      <w:pPr>
        <w:rPr>
          <w:rFonts w:ascii="Arial" w:hAnsi="Arial" w:cs="Arial"/>
          <w:sz w:val="20"/>
          <w:szCs w:val="20"/>
          <w:lang w:val="en-GB"/>
        </w:rPr>
      </w:pPr>
      <w:r w:rsidRPr="009E58DA">
        <w:rPr>
          <w:rFonts w:ascii="Arial" w:hAnsi="Arial" w:cs="Arial"/>
          <w:sz w:val="20"/>
          <w:szCs w:val="20"/>
          <w:lang w:val="en-GB"/>
        </w:rPr>
        <w:t xml:space="preserve">“We are pleased to have achieved solid growth in earnings in a market where the competition is tough and the hourly rates are under pressure. We are experiencing high activity levels in many of our market areas,” says Per Kristian Jacobsen, CEO of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w:t>
      </w:r>
    </w:p>
    <w:p w:rsidR="009E58DA" w:rsidRPr="009E58DA" w:rsidRDefault="009E58DA" w:rsidP="009E58DA">
      <w:pPr>
        <w:rPr>
          <w:rFonts w:ascii="Arial" w:hAnsi="Arial" w:cs="Arial"/>
          <w:sz w:val="20"/>
          <w:szCs w:val="20"/>
          <w:lang w:val="en-GB"/>
        </w:rPr>
      </w:pPr>
      <w:r w:rsidRPr="009E58DA">
        <w:rPr>
          <w:rFonts w:ascii="Arial" w:hAnsi="Arial" w:cs="Arial"/>
          <w:b/>
          <w:bCs/>
          <w:sz w:val="20"/>
          <w:szCs w:val="20"/>
          <w:lang w:val="en-GB"/>
        </w:rPr>
        <w:t>Three acquisitions</w:t>
      </w:r>
      <w:r w:rsidRPr="009E58DA">
        <w:rPr>
          <w:rFonts w:ascii="Arial" w:hAnsi="Arial" w:cs="Arial"/>
          <w:b/>
          <w:bCs/>
          <w:sz w:val="20"/>
          <w:szCs w:val="20"/>
          <w:lang w:val="en-GB"/>
        </w:rPr>
        <w:br/>
      </w:r>
      <w:proofErr w:type="gramStart"/>
      <w:r w:rsidRPr="009E58DA">
        <w:rPr>
          <w:rFonts w:ascii="Arial" w:hAnsi="Arial" w:cs="Arial"/>
          <w:sz w:val="20"/>
          <w:szCs w:val="20"/>
          <w:lang w:val="en-GB"/>
        </w:rPr>
        <w:t>During</w:t>
      </w:r>
      <w:proofErr w:type="gramEnd"/>
      <w:r w:rsidRPr="009E58DA">
        <w:rPr>
          <w:rFonts w:ascii="Arial" w:hAnsi="Arial" w:cs="Arial"/>
          <w:sz w:val="20"/>
          <w:szCs w:val="20"/>
          <w:lang w:val="en-GB"/>
        </w:rPr>
        <w:t xml:space="preserve"> the third quarter,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acquired the consultancy company </w:t>
      </w:r>
      <w:proofErr w:type="spellStart"/>
      <w:r w:rsidRPr="009E58DA">
        <w:rPr>
          <w:rFonts w:ascii="Arial" w:hAnsi="Arial" w:cs="Arial"/>
          <w:sz w:val="20"/>
          <w:szCs w:val="20"/>
          <w:lang w:val="en-GB"/>
        </w:rPr>
        <w:t>BrannSafe</w:t>
      </w:r>
      <w:proofErr w:type="spellEnd"/>
      <w:r w:rsidRPr="009E58DA">
        <w:rPr>
          <w:rFonts w:ascii="Arial" w:hAnsi="Arial" w:cs="Arial"/>
          <w:sz w:val="20"/>
          <w:szCs w:val="20"/>
          <w:lang w:val="en-GB"/>
        </w:rPr>
        <w:t xml:space="preserve"> AS, thus reinforcing its skill base in the field of fire protection advisory services. In addition, the company acquired ARA Engineering, and strengthened its position in the energy and power transmission market. ARA Engineering supplies services in the field of high voltage technology, comprising power cables, cable installations and transformer stations. With the acquisition of ARA Engineering,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w:t>
      </w:r>
      <w:proofErr w:type="gramStart"/>
      <w:r w:rsidRPr="009E58DA">
        <w:rPr>
          <w:rFonts w:ascii="Arial" w:hAnsi="Arial" w:cs="Arial"/>
          <w:sz w:val="20"/>
          <w:szCs w:val="20"/>
          <w:lang w:val="en-GB"/>
        </w:rPr>
        <w:t>is now represented</w:t>
      </w:r>
      <w:proofErr w:type="gramEnd"/>
      <w:r w:rsidRPr="009E58DA">
        <w:rPr>
          <w:rFonts w:ascii="Arial" w:hAnsi="Arial" w:cs="Arial"/>
          <w:sz w:val="20"/>
          <w:szCs w:val="20"/>
          <w:lang w:val="en-GB"/>
        </w:rPr>
        <w:t xml:space="preserve"> on Iceland and in Poland. The third quarter also saw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complete its acquisition of </w:t>
      </w:r>
      <w:proofErr w:type="spellStart"/>
      <w:r w:rsidRPr="009E58DA">
        <w:rPr>
          <w:rFonts w:ascii="Arial" w:hAnsi="Arial" w:cs="Arial"/>
          <w:sz w:val="20"/>
          <w:szCs w:val="20"/>
          <w:lang w:val="en-GB"/>
        </w:rPr>
        <w:t>Skovhus</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Arkitekter</w:t>
      </w:r>
      <w:proofErr w:type="spellEnd"/>
      <w:r w:rsidRPr="009E58DA">
        <w:rPr>
          <w:rFonts w:ascii="Arial" w:hAnsi="Arial" w:cs="Arial"/>
          <w:sz w:val="20"/>
          <w:szCs w:val="20"/>
          <w:lang w:val="en-GB"/>
        </w:rPr>
        <w:t xml:space="preserve">, a Danish firm of architects. Adding </w:t>
      </w:r>
      <w:proofErr w:type="spellStart"/>
      <w:r w:rsidRPr="009E58DA">
        <w:rPr>
          <w:rFonts w:ascii="Arial" w:hAnsi="Arial" w:cs="Arial"/>
          <w:sz w:val="20"/>
          <w:szCs w:val="20"/>
          <w:lang w:val="en-GB"/>
        </w:rPr>
        <w:t>Skovhus</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Arkitekter</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strengthen’s</w:t>
      </w:r>
      <w:proofErr w:type="spellEnd"/>
      <w:r w:rsidRPr="009E58DA">
        <w:rPr>
          <w:rFonts w:ascii="Arial" w:hAnsi="Arial" w:cs="Arial"/>
          <w:sz w:val="20"/>
          <w:szCs w:val="20"/>
          <w:lang w:val="en-GB"/>
        </w:rPr>
        <w:t xml:space="preserve"> its position providing interdisciplinary consultancy in the Danish market.</w:t>
      </w:r>
    </w:p>
    <w:p w:rsidR="009E58DA" w:rsidRPr="009E58DA" w:rsidRDefault="009E58DA" w:rsidP="009E58DA">
      <w:pPr>
        <w:spacing w:after="0" w:line="240" w:lineRule="auto"/>
        <w:rPr>
          <w:rFonts w:ascii="Arial" w:hAnsi="Arial" w:cs="Arial"/>
          <w:b/>
          <w:sz w:val="20"/>
          <w:szCs w:val="20"/>
          <w:lang w:val="en-GB"/>
        </w:rPr>
      </w:pPr>
      <w:r w:rsidRPr="009E58DA">
        <w:rPr>
          <w:rFonts w:ascii="Arial" w:hAnsi="Arial" w:cs="Arial"/>
          <w:b/>
          <w:bCs/>
          <w:sz w:val="20"/>
          <w:szCs w:val="20"/>
          <w:lang w:val="en-GB"/>
        </w:rPr>
        <w:t>Many new projects</w:t>
      </w:r>
    </w:p>
    <w:p w:rsidR="009E58DA" w:rsidRPr="009E58DA" w:rsidRDefault="009E58DA" w:rsidP="009E58DA">
      <w:pPr>
        <w:spacing w:after="0" w:line="240" w:lineRule="auto"/>
        <w:rPr>
          <w:rFonts w:ascii="Arial" w:hAnsi="Arial" w:cs="Arial"/>
          <w:sz w:val="20"/>
          <w:szCs w:val="20"/>
          <w:lang w:val="en-GB"/>
        </w:rPr>
      </w:pPr>
      <w:r w:rsidRPr="009E58DA">
        <w:rPr>
          <w:rFonts w:ascii="Arial" w:hAnsi="Arial" w:cs="Arial"/>
          <w:sz w:val="20"/>
          <w:szCs w:val="20"/>
          <w:lang w:val="en-GB"/>
        </w:rPr>
        <w:t xml:space="preserve">Even though the market is demanding, </w:t>
      </w:r>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won many new contracts the last </w:t>
      </w:r>
      <w:proofErr w:type="spellStart"/>
      <w:r w:rsidRPr="009E58DA">
        <w:rPr>
          <w:rFonts w:ascii="Arial" w:hAnsi="Arial" w:cs="Arial"/>
          <w:sz w:val="20"/>
          <w:szCs w:val="20"/>
          <w:lang w:val="en-GB"/>
        </w:rPr>
        <w:t>monts</w:t>
      </w:r>
      <w:proofErr w:type="spellEnd"/>
      <w:r w:rsidRPr="009E58DA">
        <w:rPr>
          <w:rFonts w:ascii="Arial" w:hAnsi="Arial" w:cs="Arial"/>
          <w:sz w:val="20"/>
          <w:szCs w:val="20"/>
          <w:lang w:val="en-GB"/>
        </w:rPr>
        <w:t xml:space="preserve">. For example, the company won a contract with Asker </w:t>
      </w:r>
      <w:proofErr w:type="spellStart"/>
      <w:r w:rsidRPr="009E58DA">
        <w:rPr>
          <w:rFonts w:ascii="Arial" w:hAnsi="Arial" w:cs="Arial"/>
          <w:sz w:val="20"/>
          <w:szCs w:val="20"/>
          <w:lang w:val="en-GB"/>
        </w:rPr>
        <w:t>og</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Bærum</w:t>
      </w:r>
      <w:proofErr w:type="spellEnd"/>
      <w:r w:rsidRPr="009E58DA">
        <w:rPr>
          <w:rFonts w:ascii="Arial" w:hAnsi="Arial" w:cs="Arial"/>
          <w:sz w:val="20"/>
          <w:szCs w:val="20"/>
          <w:lang w:val="en-GB"/>
        </w:rPr>
        <w:t xml:space="preserve"> </w:t>
      </w:r>
      <w:proofErr w:type="spellStart"/>
      <w:r w:rsidRPr="009E58DA">
        <w:rPr>
          <w:rFonts w:ascii="Arial" w:hAnsi="Arial" w:cs="Arial"/>
          <w:sz w:val="20"/>
          <w:szCs w:val="20"/>
          <w:lang w:val="en-GB"/>
        </w:rPr>
        <w:t>Vannverk</w:t>
      </w:r>
      <w:proofErr w:type="spellEnd"/>
      <w:r w:rsidRPr="009E58DA">
        <w:rPr>
          <w:rFonts w:ascii="Arial" w:hAnsi="Arial" w:cs="Arial"/>
          <w:sz w:val="20"/>
          <w:szCs w:val="20"/>
          <w:lang w:val="en-GB"/>
        </w:rPr>
        <w:t xml:space="preserve"> IKS (ABV) regarding execution of a preliminary project for a new water treatment plant, and project planning responsibility for AF </w:t>
      </w:r>
      <w:proofErr w:type="spellStart"/>
      <w:r w:rsidRPr="009E58DA">
        <w:rPr>
          <w:rFonts w:ascii="Arial" w:hAnsi="Arial" w:cs="Arial"/>
          <w:sz w:val="20"/>
          <w:szCs w:val="20"/>
          <w:lang w:val="en-GB"/>
        </w:rPr>
        <w:t>Gruppen</w:t>
      </w:r>
      <w:proofErr w:type="spellEnd"/>
      <w:r w:rsidRPr="009E58DA">
        <w:rPr>
          <w:rFonts w:ascii="Arial" w:hAnsi="Arial" w:cs="Arial"/>
          <w:sz w:val="20"/>
          <w:szCs w:val="20"/>
          <w:lang w:val="en-GB"/>
        </w:rPr>
        <w:t xml:space="preserve"> for its project in </w:t>
      </w:r>
      <w:proofErr w:type="spellStart"/>
      <w:r w:rsidRPr="009E58DA">
        <w:rPr>
          <w:rFonts w:ascii="Arial" w:hAnsi="Arial" w:cs="Arial"/>
          <w:sz w:val="20"/>
          <w:szCs w:val="20"/>
          <w:lang w:val="en-GB"/>
        </w:rPr>
        <w:t>Bispevika</w:t>
      </w:r>
      <w:proofErr w:type="spellEnd"/>
      <w:r w:rsidRPr="009E58DA">
        <w:rPr>
          <w:rFonts w:ascii="Arial" w:hAnsi="Arial" w:cs="Arial"/>
          <w:sz w:val="20"/>
          <w:szCs w:val="20"/>
          <w:lang w:val="en-GB"/>
        </w:rPr>
        <w:t xml:space="preserve"> in Oslo. </w:t>
      </w:r>
      <w:bookmarkStart w:id="1" w:name="_Hlk496538550"/>
      <w:proofErr w:type="spellStart"/>
      <w:r w:rsidRPr="009E58DA">
        <w:rPr>
          <w:rFonts w:ascii="Arial" w:hAnsi="Arial" w:cs="Arial"/>
          <w:sz w:val="20"/>
          <w:szCs w:val="20"/>
          <w:lang w:val="en-GB"/>
        </w:rPr>
        <w:t>Norconsult</w:t>
      </w:r>
      <w:proofErr w:type="spellEnd"/>
      <w:r w:rsidRPr="009E58DA">
        <w:rPr>
          <w:rFonts w:ascii="Arial" w:hAnsi="Arial" w:cs="Arial"/>
          <w:sz w:val="20"/>
          <w:szCs w:val="20"/>
          <w:lang w:val="en-GB"/>
        </w:rPr>
        <w:t xml:space="preserve"> </w:t>
      </w:r>
      <w:proofErr w:type="gramStart"/>
      <w:r w:rsidRPr="009E58DA">
        <w:rPr>
          <w:rFonts w:ascii="Arial" w:hAnsi="Arial" w:cs="Arial"/>
          <w:sz w:val="20"/>
          <w:szCs w:val="20"/>
          <w:lang w:val="en-GB"/>
        </w:rPr>
        <w:t>has also been commissioned</w:t>
      </w:r>
      <w:proofErr w:type="gramEnd"/>
      <w:r w:rsidRPr="009E58DA">
        <w:rPr>
          <w:rFonts w:ascii="Arial" w:hAnsi="Arial" w:cs="Arial"/>
          <w:sz w:val="20"/>
          <w:szCs w:val="20"/>
          <w:lang w:val="en-GB"/>
        </w:rPr>
        <w:t xml:space="preserve"> to work on water treatment plants for the Municipality of </w:t>
      </w:r>
      <w:proofErr w:type="spellStart"/>
      <w:r w:rsidRPr="009E58DA">
        <w:rPr>
          <w:rFonts w:ascii="Arial" w:hAnsi="Arial" w:cs="Arial"/>
          <w:sz w:val="20"/>
          <w:szCs w:val="20"/>
          <w:lang w:val="en-GB"/>
        </w:rPr>
        <w:t>Ringsaker</w:t>
      </w:r>
      <w:proofErr w:type="spellEnd"/>
      <w:r w:rsidRPr="009E58DA">
        <w:rPr>
          <w:rFonts w:ascii="Arial" w:hAnsi="Arial" w:cs="Arial"/>
          <w:sz w:val="20"/>
          <w:szCs w:val="20"/>
          <w:lang w:val="en-GB"/>
        </w:rPr>
        <w:t xml:space="preserve"> – </w:t>
      </w:r>
      <w:proofErr w:type="spellStart"/>
      <w:r w:rsidRPr="009E58DA">
        <w:rPr>
          <w:rFonts w:ascii="Arial" w:hAnsi="Arial" w:cs="Arial"/>
          <w:sz w:val="20"/>
          <w:szCs w:val="20"/>
          <w:lang w:val="en-GB"/>
        </w:rPr>
        <w:t>Mesna</w:t>
      </w:r>
      <w:proofErr w:type="spellEnd"/>
      <w:r w:rsidRPr="009E58DA">
        <w:rPr>
          <w:rFonts w:ascii="Arial" w:hAnsi="Arial" w:cs="Arial"/>
          <w:sz w:val="20"/>
          <w:szCs w:val="20"/>
          <w:lang w:val="en-GB"/>
        </w:rPr>
        <w:t xml:space="preserve"> and </w:t>
      </w:r>
      <w:proofErr w:type="spellStart"/>
      <w:r w:rsidRPr="009E58DA">
        <w:rPr>
          <w:rFonts w:ascii="Arial" w:hAnsi="Arial" w:cs="Arial"/>
          <w:sz w:val="20"/>
          <w:szCs w:val="20"/>
          <w:lang w:val="en-GB"/>
        </w:rPr>
        <w:t>Moelv</w:t>
      </w:r>
      <w:proofErr w:type="spellEnd"/>
      <w:r w:rsidRPr="009E58DA">
        <w:rPr>
          <w:rFonts w:ascii="Arial" w:hAnsi="Arial" w:cs="Arial"/>
          <w:sz w:val="20"/>
          <w:szCs w:val="20"/>
          <w:lang w:val="en-GB"/>
        </w:rPr>
        <w:t xml:space="preserve"> – as well as to handle electrification of ferry terminals in Western Norway for Fjord 1, and to participate in the </w:t>
      </w:r>
      <w:proofErr w:type="spellStart"/>
      <w:r w:rsidRPr="009E58DA">
        <w:rPr>
          <w:rFonts w:ascii="Arial" w:hAnsi="Arial" w:cs="Arial"/>
          <w:sz w:val="20"/>
          <w:szCs w:val="20"/>
          <w:lang w:val="en-GB"/>
        </w:rPr>
        <w:t>Sjøfronten</w:t>
      </w:r>
      <w:proofErr w:type="spellEnd"/>
      <w:r w:rsidRPr="009E58DA">
        <w:rPr>
          <w:rFonts w:ascii="Arial" w:hAnsi="Arial" w:cs="Arial"/>
          <w:sz w:val="20"/>
          <w:szCs w:val="20"/>
          <w:lang w:val="en-GB"/>
        </w:rPr>
        <w:t xml:space="preserve"> 1 project in </w:t>
      </w:r>
      <w:proofErr w:type="spellStart"/>
      <w:r w:rsidRPr="009E58DA">
        <w:rPr>
          <w:rFonts w:ascii="Arial" w:hAnsi="Arial" w:cs="Arial"/>
          <w:sz w:val="20"/>
          <w:szCs w:val="20"/>
          <w:lang w:val="en-GB"/>
        </w:rPr>
        <w:t>Molde</w:t>
      </w:r>
      <w:proofErr w:type="spellEnd"/>
      <w:r w:rsidRPr="009E58DA">
        <w:rPr>
          <w:rFonts w:ascii="Arial" w:hAnsi="Arial" w:cs="Arial"/>
          <w:sz w:val="20"/>
          <w:szCs w:val="20"/>
          <w:lang w:val="en-GB"/>
        </w:rPr>
        <w:t>.</w:t>
      </w:r>
    </w:p>
    <w:bookmarkEnd w:id="1"/>
    <w:p w:rsidR="009E58DA" w:rsidRPr="009E58DA" w:rsidRDefault="009E58DA" w:rsidP="009E58DA">
      <w:pPr>
        <w:spacing w:after="0" w:line="240" w:lineRule="auto"/>
        <w:rPr>
          <w:rFonts w:ascii="Arial" w:eastAsia="Times New Roman" w:hAnsi="Arial" w:cs="Arial"/>
          <w:sz w:val="20"/>
          <w:szCs w:val="20"/>
          <w:lang w:val="en-GB"/>
        </w:rPr>
      </w:pPr>
    </w:p>
    <w:p w:rsidR="009E58DA" w:rsidRPr="009E58DA" w:rsidRDefault="009E58DA" w:rsidP="009E58DA">
      <w:pPr>
        <w:spacing w:after="0" w:line="240" w:lineRule="auto"/>
        <w:rPr>
          <w:rFonts w:ascii="Arial" w:eastAsia="Times New Roman" w:hAnsi="Arial" w:cs="Arial"/>
          <w:b/>
          <w:sz w:val="20"/>
          <w:szCs w:val="20"/>
          <w:lang w:val="en-GB"/>
        </w:rPr>
      </w:pPr>
      <w:proofErr w:type="gramStart"/>
      <w:r w:rsidRPr="009E58DA">
        <w:rPr>
          <w:rFonts w:ascii="Arial" w:eastAsia="Times New Roman" w:hAnsi="Arial" w:cs="Arial"/>
          <w:b/>
          <w:bCs/>
          <w:sz w:val="20"/>
          <w:szCs w:val="20"/>
          <w:lang w:val="en-GB"/>
        </w:rPr>
        <w:t>More skilled staff</w:t>
      </w:r>
      <w:proofErr w:type="gramEnd"/>
    </w:p>
    <w:p w:rsidR="009E58DA" w:rsidRPr="009E58DA" w:rsidRDefault="009E58DA" w:rsidP="009E58DA">
      <w:pPr>
        <w:spacing w:after="0" w:line="240" w:lineRule="auto"/>
        <w:rPr>
          <w:rFonts w:ascii="Arial" w:eastAsia="Times New Roman" w:hAnsi="Arial" w:cs="Arial"/>
          <w:sz w:val="20"/>
          <w:szCs w:val="20"/>
          <w:lang w:val="en-GB"/>
        </w:rPr>
      </w:pPr>
      <w:proofErr w:type="spellStart"/>
      <w:r w:rsidRPr="009E58DA">
        <w:rPr>
          <w:rFonts w:ascii="Arial" w:eastAsia="Times New Roman" w:hAnsi="Arial" w:cs="Arial"/>
          <w:sz w:val="20"/>
          <w:szCs w:val="20"/>
          <w:lang w:val="en-GB"/>
        </w:rPr>
        <w:t>Norconsult</w:t>
      </w:r>
      <w:proofErr w:type="spellEnd"/>
      <w:r w:rsidRPr="009E58DA">
        <w:rPr>
          <w:rFonts w:ascii="Arial" w:eastAsia="Times New Roman" w:hAnsi="Arial" w:cs="Arial"/>
          <w:sz w:val="20"/>
          <w:szCs w:val="20"/>
          <w:lang w:val="en-GB"/>
        </w:rPr>
        <w:t xml:space="preserve"> recruits more than 250 new employees annually, and currently provides full-time employment for over 3,100 people. The company recently organised the “Heads for Tomorrow” recruitment campaign in Trondheim in Norway. The campaign </w:t>
      </w:r>
      <w:proofErr w:type="gramStart"/>
      <w:r w:rsidRPr="009E58DA">
        <w:rPr>
          <w:rFonts w:ascii="Arial" w:eastAsia="Times New Roman" w:hAnsi="Arial" w:cs="Arial"/>
          <w:sz w:val="20"/>
          <w:szCs w:val="20"/>
          <w:lang w:val="en-GB"/>
        </w:rPr>
        <w:t>is designed</w:t>
      </w:r>
      <w:proofErr w:type="gramEnd"/>
      <w:r w:rsidRPr="009E58DA">
        <w:rPr>
          <w:rFonts w:ascii="Arial" w:eastAsia="Times New Roman" w:hAnsi="Arial" w:cs="Arial"/>
          <w:sz w:val="20"/>
          <w:szCs w:val="20"/>
          <w:lang w:val="en-GB"/>
        </w:rPr>
        <w:t xml:space="preserve"> to help boost </w:t>
      </w:r>
      <w:proofErr w:type="spellStart"/>
      <w:r w:rsidRPr="009E58DA">
        <w:rPr>
          <w:rFonts w:ascii="Arial" w:eastAsia="Times New Roman" w:hAnsi="Arial" w:cs="Arial"/>
          <w:sz w:val="20"/>
          <w:szCs w:val="20"/>
          <w:lang w:val="en-GB"/>
        </w:rPr>
        <w:t>Norconsult’s</w:t>
      </w:r>
      <w:proofErr w:type="spellEnd"/>
      <w:r w:rsidRPr="009E58DA">
        <w:rPr>
          <w:rFonts w:ascii="Arial" w:eastAsia="Times New Roman" w:hAnsi="Arial" w:cs="Arial"/>
          <w:sz w:val="20"/>
          <w:szCs w:val="20"/>
          <w:lang w:val="en-GB"/>
        </w:rPr>
        <w:t xml:space="preserve"> reputation and to increase interest in the company among recently graduated students. In addition, </w:t>
      </w:r>
      <w:proofErr w:type="spellStart"/>
      <w:r w:rsidRPr="009E58DA">
        <w:rPr>
          <w:rFonts w:ascii="Arial" w:eastAsia="Times New Roman" w:hAnsi="Arial" w:cs="Arial"/>
          <w:sz w:val="20"/>
          <w:szCs w:val="20"/>
          <w:lang w:val="en-GB"/>
        </w:rPr>
        <w:t>Universum</w:t>
      </w:r>
      <w:proofErr w:type="spellEnd"/>
      <w:r w:rsidRPr="009E58DA">
        <w:rPr>
          <w:rFonts w:ascii="Arial" w:eastAsia="Times New Roman" w:hAnsi="Arial" w:cs="Arial"/>
          <w:sz w:val="20"/>
          <w:szCs w:val="20"/>
          <w:lang w:val="en-GB"/>
        </w:rPr>
        <w:t xml:space="preserve"> has named </w:t>
      </w:r>
      <w:proofErr w:type="spellStart"/>
      <w:r w:rsidRPr="009E58DA">
        <w:rPr>
          <w:rFonts w:ascii="Arial" w:eastAsia="Times New Roman" w:hAnsi="Arial" w:cs="Arial"/>
          <w:sz w:val="20"/>
          <w:szCs w:val="20"/>
          <w:lang w:val="en-GB"/>
        </w:rPr>
        <w:t>Norconsult</w:t>
      </w:r>
      <w:proofErr w:type="spellEnd"/>
      <w:r w:rsidRPr="009E58DA">
        <w:rPr>
          <w:rFonts w:ascii="Arial" w:eastAsia="Times New Roman" w:hAnsi="Arial" w:cs="Arial"/>
          <w:sz w:val="20"/>
          <w:szCs w:val="20"/>
          <w:lang w:val="en-GB"/>
        </w:rPr>
        <w:t xml:space="preserve"> one of the most attractive workplaces in Norway among engineers. </w:t>
      </w:r>
    </w:p>
    <w:p w:rsidR="009E58DA" w:rsidRPr="009E58DA" w:rsidRDefault="009E58DA" w:rsidP="009E58DA">
      <w:pPr>
        <w:spacing w:after="0" w:line="240" w:lineRule="auto"/>
        <w:rPr>
          <w:rFonts w:ascii="Arial" w:eastAsia="Times New Roman" w:hAnsi="Arial" w:cs="Arial"/>
          <w:sz w:val="20"/>
          <w:szCs w:val="20"/>
          <w:lang w:val="en-GB"/>
        </w:rPr>
      </w:pPr>
    </w:p>
    <w:p w:rsidR="009E58DA" w:rsidRPr="009E58DA" w:rsidRDefault="009E58DA" w:rsidP="009E58DA">
      <w:pPr>
        <w:spacing w:after="0" w:line="240" w:lineRule="auto"/>
        <w:rPr>
          <w:rFonts w:ascii="Arial" w:eastAsia="Times New Roman" w:hAnsi="Arial" w:cs="Arial"/>
          <w:b/>
          <w:sz w:val="20"/>
          <w:szCs w:val="20"/>
          <w:lang w:val="en-GB"/>
        </w:rPr>
      </w:pPr>
    </w:p>
    <w:tbl>
      <w:tblPr>
        <w:tblW w:w="8960" w:type="dxa"/>
        <w:tblCellMar>
          <w:left w:w="0" w:type="dxa"/>
          <w:right w:w="0" w:type="dxa"/>
        </w:tblCellMar>
        <w:tblLook w:val="0420" w:firstRow="1" w:lastRow="0" w:firstColumn="0" w:lastColumn="0" w:noHBand="0" w:noVBand="1"/>
      </w:tblPr>
      <w:tblGrid>
        <w:gridCol w:w="3008"/>
        <w:gridCol w:w="1488"/>
        <w:gridCol w:w="1488"/>
        <w:gridCol w:w="1488"/>
        <w:gridCol w:w="1488"/>
      </w:tblGrid>
      <w:tr w:rsidR="009E58DA" w:rsidRPr="009E58DA" w:rsidTr="00DD0FE7">
        <w:trPr>
          <w:trHeight w:val="124"/>
        </w:trPr>
        <w:tc>
          <w:tcPr>
            <w:tcW w:w="3008" w:type="dxa"/>
            <w:tcBorders>
              <w:top w:val="single" w:sz="8" w:space="0" w:color="FFFFFF"/>
              <w:left w:val="single" w:sz="8" w:space="0" w:color="FFFFFF"/>
              <w:bottom w:val="single" w:sz="24" w:space="0" w:color="FFFFFF"/>
              <w:right w:val="single" w:sz="8" w:space="0" w:color="FFFFFF"/>
            </w:tcBorders>
            <w:shd w:val="clear" w:color="auto" w:fill="000000"/>
            <w:tcMar>
              <w:top w:w="70" w:type="dxa"/>
              <w:left w:w="141" w:type="dxa"/>
              <w:bottom w:w="70" w:type="dxa"/>
              <w:right w:w="141" w:type="dxa"/>
            </w:tcMar>
            <w:hideMark/>
          </w:tcPr>
          <w:p w:rsidR="009E58DA" w:rsidRPr="009E58DA" w:rsidRDefault="009E58DA" w:rsidP="00DD0FE7">
            <w:pPr>
              <w:spacing w:after="0" w:line="240" w:lineRule="auto"/>
              <w:rPr>
                <w:rFonts w:ascii="Arial" w:eastAsia="Times New Roman" w:hAnsi="Arial" w:cs="Arial"/>
                <w:sz w:val="20"/>
                <w:szCs w:val="20"/>
                <w:lang w:val="en-GB" w:eastAsia="nb-NO"/>
              </w:rPr>
            </w:pPr>
            <w:r w:rsidRPr="009E58DA">
              <w:rPr>
                <w:rFonts w:ascii="Arial" w:eastAsia="Times New Roman" w:hAnsi="Arial" w:cs="Arial"/>
                <w:b/>
                <w:bCs/>
                <w:color w:val="FFFFFF" w:themeColor="light1"/>
                <w:sz w:val="20"/>
                <w:szCs w:val="20"/>
                <w:lang w:val="en-GB" w:eastAsia="nb-NO"/>
              </w:rPr>
              <w:t>All figures in NOK ’000.</w:t>
            </w:r>
          </w:p>
        </w:tc>
        <w:tc>
          <w:tcPr>
            <w:tcW w:w="1488" w:type="dxa"/>
            <w:tcBorders>
              <w:top w:val="single" w:sz="8" w:space="0" w:color="FFFFFF"/>
              <w:left w:val="single" w:sz="8" w:space="0" w:color="FFFFFF"/>
              <w:bottom w:val="single" w:sz="24" w:space="0" w:color="FFFFFF"/>
              <w:right w:val="single" w:sz="8" w:space="0" w:color="FFFFFF"/>
            </w:tcBorders>
            <w:shd w:val="clear" w:color="auto" w:fill="000000"/>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FFFFFF" w:themeColor="light1"/>
                <w:sz w:val="20"/>
                <w:szCs w:val="20"/>
                <w:lang w:val="en-GB" w:eastAsia="nb-NO"/>
              </w:rPr>
              <w:t>Q3 2017</w:t>
            </w:r>
          </w:p>
        </w:tc>
        <w:tc>
          <w:tcPr>
            <w:tcW w:w="1488" w:type="dxa"/>
            <w:tcBorders>
              <w:top w:val="single" w:sz="8" w:space="0" w:color="FFFFFF"/>
              <w:left w:val="single" w:sz="8" w:space="0" w:color="FFFFFF"/>
              <w:bottom w:val="single" w:sz="24" w:space="0" w:color="FFFFFF"/>
              <w:right w:val="single" w:sz="8" w:space="0" w:color="FFFFFF"/>
            </w:tcBorders>
            <w:shd w:val="clear" w:color="auto" w:fill="000000"/>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FFFFFF" w:themeColor="light1"/>
                <w:sz w:val="20"/>
                <w:szCs w:val="20"/>
                <w:lang w:val="en-GB" w:eastAsia="nb-NO"/>
              </w:rPr>
              <w:t>YTD 2017</w:t>
            </w:r>
          </w:p>
        </w:tc>
        <w:tc>
          <w:tcPr>
            <w:tcW w:w="1488" w:type="dxa"/>
            <w:tcBorders>
              <w:top w:val="single" w:sz="8" w:space="0" w:color="FFFFFF"/>
              <w:left w:val="single" w:sz="8" w:space="0" w:color="FFFFFF"/>
              <w:bottom w:val="single" w:sz="24" w:space="0" w:color="FFFFFF"/>
              <w:right w:val="single" w:sz="8" w:space="0" w:color="FFFFFF"/>
            </w:tcBorders>
            <w:shd w:val="clear" w:color="auto" w:fill="000000"/>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FFFFFF" w:themeColor="light1"/>
                <w:sz w:val="20"/>
                <w:szCs w:val="20"/>
                <w:lang w:val="en-GB" w:eastAsia="nb-NO"/>
              </w:rPr>
              <w:t>Q3 2016</w:t>
            </w:r>
          </w:p>
        </w:tc>
        <w:tc>
          <w:tcPr>
            <w:tcW w:w="1488" w:type="dxa"/>
            <w:tcBorders>
              <w:top w:val="single" w:sz="8" w:space="0" w:color="FFFFFF"/>
              <w:left w:val="single" w:sz="8" w:space="0" w:color="FFFFFF"/>
              <w:bottom w:val="single" w:sz="24" w:space="0" w:color="FFFFFF"/>
              <w:right w:val="single" w:sz="8" w:space="0" w:color="FFFFFF"/>
            </w:tcBorders>
            <w:shd w:val="clear" w:color="auto" w:fill="000000"/>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FFFFFF" w:themeColor="light1"/>
                <w:sz w:val="20"/>
                <w:szCs w:val="20"/>
                <w:lang w:val="en-GB" w:eastAsia="nb-NO"/>
              </w:rPr>
              <w:t>YTD 2016</w:t>
            </w:r>
          </w:p>
        </w:tc>
      </w:tr>
      <w:tr w:rsidR="009E58DA" w:rsidRPr="009E58DA" w:rsidTr="00DD0FE7">
        <w:trPr>
          <w:trHeight w:val="124"/>
        </w:trPr>
        <w:tc>
          <w:tcPr>
            <w:tcW w:w="3008" w:type="dxa"/>
            <w:tcBorders>
              <w:top w:val="single" w:sz="24"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rPr>
                <w:rFonts w:ascii="Arial" w:eastAsia="Times New Roman" w:hAnsi="Arial" w:cs="Arial"/>
                <w:sz w:val="20"/>
                <w:szCs w:val="20"/>
                <w:lang w:val="en-GB" w:eastAsia="nb-NO"/>
              </w:rPr>
            </w:pPr>
            <w:r w:rsidRPr="009E58DA">
              <w:rPr>
                <w:rFonts w:ascii="Arial" w:eastAsia="Times New Roman" w:hAnsi="Arial" w:cs="Arial"/>
                <w:color w:val="000000" w:themeColor="dark1"/>
                <w:sz w:val="20"/>
                <w:szCs w:val="20"/>
                <w:lang w:val="en-GB" w:eastAsia="nb-NO"/>
              </w:rPr>
              <w:t>Sales</w:t>
            </w:r>
          </w:p>
        </w:tc>
        <w:tc>
          <w:tcPr>
            <w:tcW w:w="1488" w:type="dxa"/>
            <w:tcBorders>
              <w:top w:val="single" w:sz="24"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913</w:t>
            </w:r>
          </w:p>
        </w:tc>
        <w:tc>
          <w:tcPr>
            <w:tcW w:w="1488" w:type="dxa"/>
            <w:tcBorders>
              <w:top w:val="single" w:sz="24"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3,206</w:t>
            </w:r>
          </w:p>
        </w:tc>
        <w:tc>
          <w:tcPr>
            <w:tcW w:w="1488" w:type="dxa"/>
            <w:tcBorders>
              <w:top w:val="single" w:sz="24"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832</w:t>
            </w:r>
          </w:p>
        </w:tc>
        <w:tc>
          <w:tcPr>
            <w:tcW w:w="1488" w:type="dxa"/>
            <w:tcBorders>
              <w:top w:val="single" w:sz="24"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2,998</w:t>
            </w:r>
          </w:p>
        </w:tc>
      </w:tr>
      <w:tr w:rsidR="009E58DA" w:rsidRPr="009E58DA" w:rsidTr="00DD0FE7">
        <w:trPr>
          <w:trHeight w:val="124"/>
        </w:trPr>
        <w:tc>
          <w:tcPr>
            <w:tcW w:w="3008" w:type="dxa"/>
            <w:tcBorders>
              <w:top w:val="single" w:sz="8" w:space="0" w:color="FFFFFF"/>
              <w:left w:val="single" w:sz="8" w:space="0" w:color="FFFFFF"/>
              <w:bottom w:val="single" w:sz="8" w:space="0" w:color="FFFFFF"/>
              <w:right w:val="single" w:sz="8" w:space="0" w:color="FFFFFF"/>
            </w:tcBorders>
            <w:shd w:val="clear" w:color="auto" w:fill="E7E7E7"/>
            <w:tcMar>
              <w:top w:w="70" w:type="dxa"/>
              <w:left w:w="141" w:type="dxa"/>
              <w:bottom w:w="70" w:type="dxa"/>
              <w:right w:w="141" w:type="dxa"/>
            </w:tcMar>
            <w:hideMark/>
          </w:tcPr>
          <w:p w:rsidR="009E58DA" w:rsidRPr="009E58DA" w:rsidRDefault="009E58DA" w:rsidP="00DD0FE7">
            <w:pPr>
              <w:spacing w:after="0" w:line="240" w:lineRule="auto"/>
              <w:rPr>
                <w:rFonts w:ascii="Arial" w:eastAsia="Times New Roman" w:hAnsi="Arial" w:cs="Arial"/>
                <w:sz w:val="20"/>
                <w:szCs w:val="20"/>
                <w:lang w:val="en-GB" w:eastAsia="nb-NO"/>
              </w:rPr>
            </w:pPr>
            <w:r w:rsidRPr="009E58DA">
              <w:rPr>
                <w:rFonts w:ascii="Arial" w:eastAsia="Times New Roman" w:hAnsi="Arial" w:cs="Arial"/>
                <w:color w:val="000000" w:themeColor="dark1"/>
                <w:sz w:val="20"/>
                <w:szCs w:val="20"/>
                <w:lang w:val="en-GB" w:eastAsia="nb-NO"/>
              </w:rPr>
              <w:t>Operating profit</w:t>
            </w:r>
          </w:p>
        </w:tc>
        <w:tc>
          <w:tcPr>
            <w:tcW w:w="1488" w:type="dxa"/>
            <w:tcBorders>
              <w:top w:val="single" w:sz="8" w:space="0" w:color="FFFFFF"/>
              <w:left w:val="single" w:sz="8" w:space="0" w:color="FFFFFF"/>
              <w:bottom w:val="single" w:sz="8" w:space="0" w:color="FFFFFF"/>
              <w:right w:val="single" w:sz="8" w:space="0" w:color="FFFFFF"/>
            </w:tcBorders>
            <w:shd w:val="clear" w:color="auto" w:fill="E7E7E7"/>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101</w:t>
            </w:r>
          </w:p>
        </w:tc>
        <w:tc>
          <w:tcPr>
            <w:tcW w:w="1488" w:type="dxa"/>
            <w:tcBorders>
              <w:top w:val="single" w:sz="8" w:space="0" w:color="FFFFFF"/>
              <w:left w:val="single" w:sz="8" w:space="0" w:color="FFFFFF"/>
              <w:bottom w:val="single" w:sz="8" w:space="0" w:color="FFFFFF"/>
              <w:right w:val="single" w:sz="8" w:space="0" w:color="FFFFFF"/>
            </w:tcBorders>
            <w:shd w:val="clear" w:color="auto" w:fill="E7E7E7"/>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286</w:t>
            </w:r>
          </w:p>
        </w:tc>
        <w:tc>
          <w:tcPr>
            <w:tcW w:w="1488" w:type="dxa"/>
            <w:tcBorders>
              <w:top w:val="single" w:sz="8" w:space="0" w:color="FFFFFF"/>
              <w:left w:val="single" w:sz="8" w:space="0" w:color="FFFFFF"/>
              <w:bottom w:val="single" w:sz="8" w:space="0" w:color="FFFFFF"/>
              <w:right w:val="single" w:sz="8" w:space="0" w:color="FFFFFF"/>
            </w:tcBorders>
            <w:shd w:val="clear" w:color="auto" w:fill="E7E7E7"/>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82</w:t>
            </w:r>
          </w:p>
        </w:tc>
        <w:tc>
          <w:tcPr>
            <w:tcW w:w="1488" w:type="dxa"/>
            <w:tcBorders>
              <w:top w:val="single" w:sz="8" w:space="0" w:color="FFFFFF"/>
              <w:left w:val="single" w:sz="8" w:space="0" w:color="FFFFFF"/>
              <w:bottom w:val="single" w:sz="8" w:space="0" w:color="FFFFFF"/>
              <w:right w:val="single" w:sz="8" w:space="0" w:color="FFFFFF"/>
            </w:tcBorders>
            <w:shd w:val="clear" w:color="auto" w:fill="E7E7E7"/>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254</w:t>
            </w:r>
          </w:p>
        </w:tc>
      </w:tr>
      <w:tr w:rsidR="009E58DA" w:rsidRPr="009E58DA" w:rsidTr="00DD0FE7">
        <w:trPr>
          <w:trHeight w:val="21"/>
        </w:trPr>
        <w:tc>
          <w:tcPr>
            <w:tcW w:w="3008" w:type="dxa"/>
            <w:tcBorders>
              <w:top w:val="single" w:sz="8"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rPr>
                <w:rFonts w:ascii="Arial" w:eastAsia="Times New Roman" w:hAnsi="Arial" w:cs="Arial"/>
                <w:sz w:val="20"/>
                <w:szCs w:val="20"/>
                <w:lang w:val="en-GB" w:eastAsia="nb-NO"/>
              </w:rPr>
            </w:pPr>
            <w:r w:rsidRPr="009E58DA">
              <w:rPr>
                <w:rFonts w:ascii="Arial" w:eastAsia="Times New Roman" w:hAnsi="Arial" w:cs="Arial"/>
                <w:color w:val="000000" w:themeColor="dark1"/>
                <w:sz w:val="20"/>
                <w:szCs w:val="20"/>
                <w:lang w:val="en-GB" w:eastAsia="nb-NO"/>
              </w:rPr>
              <w:t>Operating margin in %</w:t>
            </w:r>
          </w:p>
        </w:tc>
        <w:tc>
          <w:tcPr>
            <w:tcW w:w="1488" w:type="dxa"/>
            <w:tcBorders>
              <w:top w:val="single" w:sz="8"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11.1%</w:t>
            </w:r>
          </w:p>
        </w:tc>
        <w:tc>
          <w:tcPr>
            <w:tcW w:w="1488" w:type="dxa"/>
            <w:tcBorders>
              <w:top w:val="single" w:sz="8"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8.9%</w:t>
            </w:r>
          </w:p>
        </w:tc>
        <w:tc>
          <w:tcPr>
            <w:tcW w:w="1488" w:type="dxa"/>
            <w:tcBorders>
              <w:top w:val="single" w:sz="8"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9.8%</w:t>
            </w:r>
          </w:p>
        </w:tc>
        <w:tc>
          <w:tcPr>
            <w:tcW w:w="1488" w:type="dxa"/>
            <w:tcBorders>
              <w:top w:val="single" w:sz="8" w:space="0" w:color="FFFFFF"/>
              <w:left w:val="single" w:sz="8" w:space="0" w:color="FFFFFF"/>
              <w:bottom w:val="single" w:sz="8" w:space="0" w:color="FFFFFF"/>
              <w:right w:val="single" w:sz="8" w:space="0" w:color="FFFFFF"/>
            </w:tcBorders>
            <w:shd w:val="clear" w:color="auto" w:fill="CBCBCB"/>
            <w:tcMar>
              <w:top w:w="70" w:type="dxa"/>
              <w:left w:w="141" w:type="dxa"/>
              <w:bottom w:w="70" w:type="dxa"/>
              <w:right w:w="141" w:type="dxa"/>
            </w:tcMar>
            <w:hideMark/>
          </w:tcPr>
          <w:p w:rsidR="009E58DA" w:rsidRPr="009E58DA" w:rsidRDefault="009E58DA" w:rsidP="00DD0FE7">
            <w:pPr>
              <w:spacing w:after="0" w:line="240" w:lineRule="auto"/>
              <w:jc w:val="center"/>
              <w:rPr>
                <w:rFonts w:ascii="Arial" w:eastAsia="Times New Roman" w:hAnsi="Arial" w:cs="Arial"/>
                <w:sz w:val="20"/>
                <w:szCs w:val="20"/>
                <w:lang w:val="en-GB" w:eastAsia="nb-NO"/>
              </w:rPr>
            </w:pPr>
            <w:r w:rsidRPr="009E58DA">
              <w:rPr>
                <w:rFonts w:ascii="Arial" w:eastAsia="Times New Roman" w:hAnsi="Arial" w:cs="Arial"/>
                <w:b/>
                <w:bCs/>
                <w:color w:val="000000" w:themeColor="dark1"/>
                <w:sz w:val="20"/>
                <w:szCs w:val="20"/>
                <w:lang w:val="en-GB" w:eastAsia="nb-NO"/>
              </w:rPr>
              <w:t>8.5%</w:t>
            </w:r>
          </w:p>
        </w:tc>
      </w:tr>
    </w:tbl>
    <w:p w:rsidR="00E30DEE" w:rsidRPr="009E58DA" w:rsidRDefault="00E30DEE" w:rsidP="00713E6B">
      <w:pPr>
        <w:rPr>
          <w:rFonts w:ascii="Arial" w:hAnsi="Arial" w:cs="Arial"/>
          <w:lang w:val="en-US"/>
        </w:rPr>
      </w:pPr>
    </w:p>
    <w:sectPr w:rsidR="00E30DEE" w:rsidRPr="009E58DA" w:rsidSect="00DA3455">
      <w:headerReference w:type="default" r:id="rId7"/>
      <w:footerReference w:type="even" r:id="rId8"/>
      <w:footerReference w:type="default" r:id="rId9"/>
      <w:headerReference w:type="first" r:id="rId10"/>
      <w:footerReference w:type="first" r:id="rId11"/>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8DA" w:rsidRDefault="009E58DA">
      <w:r>
        <w:separator/>
      </w:r>
    </w:p>
  </w:endnote>
  <w:endnote w:type="continuationSeparator" w:id="0">
    <w:p w:rsidR="009E58DA" w:rsidRDefault="009E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9E58DA">
      <w:rPr>
        <w:noProof/>
      </w:rPr>
      <w:t>2</w:t>
    </w:r>
    <w:r w:rsidRPr="00202B3F">
      <w:fldChar w:fldCharType="end"/>
    </w:r>
    <w:r w:rsidRPr="00202B3F">
      <w:t xml:space="preserve"> (</w:t>
    </w:r>
    <w:r w:rsidR="009E58DA">
      <w:fldChar w:fldCharType="begin"/>
    </w:r>
    <w:r w:rsidR="009E58DA">
      <w:instrText xml:space="preserve"> NUMPAGES  \* LOWER </w:instrText>
    </w:r>
    <w:r w:rsidR="009E58DA">
      <w:fldChar w:fldCharType="separate"/>
    </w:r>
    <w:r w:rsidR="009E58DA">
      <w:rPr>
        <w:noProof/>
      </w:rPr>
      <w:t>2</w:t>
    </w:r>
    <w:r w:rsidR="009E58DA">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FC634"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p>
  <w:p w:rsidR="00CA714A" w:rsidRPr="0046158D" w:rsidRDefault="00CA714A" w:rsidP="00D74567">
    <w:pPr>
      <w:pStyle w:val="Sparadre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8DA" w:rsidRDefault="009E58DA">
      <w:r>
        <w:separator/>
      </w:r>
    </w:p>
  </w:footnote>
  <w:footnote w:type="continuationSeparator" w:id="0">
    <w:p w:rsidR="009E58DA" w:rsidRDefault="009E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Pr="009E58DA" w:rsidRDefault="00CA714A" w:rsidP="00410E92">
    <w:pPr>
      <w:pStyle w:val="Sidhuvud"/>
      <w:rPr>
        <w:rFonts w:ascii="Arial" w:hAnsi="Arial" w:cs="Arial"/>
        <w:sz w:val="12"/>
      </w:rPr>
    </w:pPr>
  </w:p>
  <w:p w:rsidR="00CA714A" w:rsidRPr="009E58DA" w:rsidRDefault="009E58DA" w:rsidP="009E58DA">
    <w:pPr>
      <w:spacing w:after="0" w:line="240" w:lineRule="auto"/>
      <w:rPr>
        <w:rFonts w:ascii="Arial" w:hAnsi="Arial" w:cs="Arial"/>
        <w:sz w:val="18"/>
      </w:rPr>
    </w:pPr>
    <w:r>
      <w:rPr>
        <w:rFonts w:ascii="Arial" w:hAnsi="Arial" w:cs="Arial"/>
        <w:sz w:val="18"/>
      </w:rPr>
      <w:br/>
    </w:r>
    <w:proofErr w:type="spellStart"/>
    <w:r w:rsidRPr="009E58DA">
      <w:rPr>
        <w:rFonts w:ascii="Arial" w:hAnsi="Arial" w:cs="Arial"/>
        <w:sz w:val="18"/>
      </w:rPr>
      <w:t>Pressrelease</w:t>
    </w:r>
    <w:proofErr w:type="spellEnd"/>
    <w:r w:rsidRPr="009E58DA">
      <w:rPr>
        <w:rFonts w:ascii="Arial" w:hAnsi="Arial" w:cs="Arial"/>
        <w:sz w:val="18"/>
      </w:rPr>
      <w:t xml:space="preserve"> </w:t>
    </w:r>
  </w:p>
  <w:p w:rsidR="009E58DA" w:rsidRPr="009E58DA" w:rsidRDefault="009E58DA" w:rsidP="009E58DA">
    <w:pPr>
      <w:spacing w:after="0" w:line="240" w:lineRule="auto"/>
      <w:rPr>
        <w:rFonts w:ascii="Arial" w:hAnsi="Arial" w:cs="Arial"/>
        <w:sz w:val="18"/>
      </w:rPr>
    </w:pPr>
    <w:r w:rsidRPr="009E58DA">
      <w:rPr>
        <w:rFonts w:ascii="Arial" w:hAnsi="Arial" w:cs="Arial"/>
        <w:sz w:val="18"/>
      </w:rPr>
      <w:t>2017-11-20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DA"/>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E58DA"/>
    <w:rsid w:val="009F719A"/>
    <w:rsid w:val="00AA2435"/>
    <w:rsid w:val="00B01626"/>
    <w:rsid w:val="00B63495"/>
    <w:rsid w:val="00B755BD"/>
    <w:rsid w:val="00BA4B17"/>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FBEA6303-7455-47B6-8C9F-E1AA10A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9E58DA"/>
    <w:pPr>
      <w:spacing w:after="160" w:line="259" w:lineRule="auto"/>
    </w:pPr>
    <w:rPr>
      <w:rFonts w:asciiTheme="minorHAnsi" w:eastAsiaTheme="minorHAnsi" w:hAnsiTheme="minorHAnsi" w:cstheme="minorBidi"/>
      <w:sz w:val="22"/>
      <w:szCs w:val="22"/>
      <w:lang w:val="nb-NO"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2</TotalTime>
  <Pages>2</Pages>
  <Words>486</Words>
  <Characters>2580</Characters>
  <Application>Microsoft Office Word</Application>
  <DocSecurity>0</DocSecurity>
  <Lines>21</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1</cp:revision>
  <cp:lastPrinted>2012-04-12T07:51:00Z</cp:lastPrinted>
  <dcterms:created xsi:type="dcterms:W3CDTF">2017-11-20T15:25:00Z</dcterms:created>
  <dcterms:modified xsi:type="dcterms:W3CDTF">2017-11-20T15:27:00Z</dcterms:modified>
</cp:coreProperties>
</file>