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EE" w:rsidRPr="00A13DEB" w:rsidRDefault="00D24F72" w:rsidP="0065474D">
      <w:pPr>
        <w:spacing w:line="240" w:lineRule="auto"/>
      </w:pPr>
      <w:r w:rsidRPr="00D24F72">
        <w:rPr>
          <w:sz w:val="32"/>
          <w:szCs w:val="32"/>
        </w:rPr>
        <w:t>Pressmeddelande</w:t>
      </w:r>
      <w:r w:rsidR="006F716C" w:rsidRPr="006F716C">
        <w:t xml:space="preserve"> </w:t>
      </w:r>
      <w:r w:rsidR="006F716C">
        <w:tab/>
      </w:r>
      <w:r w:rsidR="006F716C">
        <w:tab/>
      </w:r>
      <w:r w:rsidR="006F716C">
        <w:tab/>
      </w:r>
      <w:r w:rsidR="006F716C">
        <w:tab/>
        <w:t xml:space="preserve">Stockholm </w:t>
      </w:r>
      <w:r w:rsidR="008453F2">
        <w:t>2015-12-07</w:t>
      </w:r>
    </w:p>
    <w:p w:rsidR="00122310" w:rsidRPr="00D70619" w:rsidRDefault="001F3DB3" w:rsidP="0065474D">
      <w:pPr>
        <w:pStyle w:val="Brdtext"/>
        <w:spacing w:after="240"/>
        <w:rPr>
          <w:rFonts w:ascii="Calibri" w:hAnsi="Calibri" w:cs="Calibri"/>
          <w:sz w:val="32"/>
          <w:szCs w:val="32"/>
          <w:lang w:val="sv-SE"/>
        </w:rPr>
      </w:pPr>
      <w:r>
        <w:rPr>
          <w:rFonts w:ascii="Calibri" w:hAnsi="Calibri" w:cs="Calibri"/>
          <w:sz w:val="32"/>
          <w:szCs w:val="32"/>
          <w:lang w:val="sv-SE"/>
        </w:rPr>
        <w:t>Den</w:t>
      </w:r>
      <w:r w:rsidR="00834114">
        <w:rPr>
          <w:rFonts w:ascii="Calibri" w:hAnsi="Calibri" w:cs="Calibri"/>
          <w:sz w:val="32"/>
          <w:szCs w:val="32"/>
          <w:lang w:val="sv-SE"/>
        </w:rPr>
        <w:t xml:space="preserve"> E</w:t>
      </w:r>
      <w:r w:rsidR="00777A40">
        <w:rPr>
          <w:rFonts w:ascii="Calibri" w:hAnsi="Calibri" w:cs="Calibri"/>
          <w:sz w:val="32"/>
          <w:szCs w:val="32"/>
          <w:lang w:val="sv-SE"/>
        </w:rPr>
        <w:t>uropeiska</w:t>
      </w:r>
      <w:r w:rsidR="003E6F4D">
        <w:rPr>
          <w:rFonts w:ascii="Calibri" w:hAnsi="Calibri" w:cs="Calibri"/>
          <w:sz w:val="32"/>
          <w:szCs w:val="32"/>
          <w:lang w:val="sv-SE"/>
        </w:rPr>
        <w:t xml:space="preserve"> </w:t>
      </w:r>
      <w:r>
        <w:rPr>
          <w:rFonts w:ascii="Calibri" w:hAnsi="Calibri" w:cs="Calibri"/>
          <w:sz w:val="32"/>
          <w:szCs w:val="32"/>
          <w:lang w:val="sv-SE"/>
        </w:rPr>
        <w:t xml:space="preserve">byggbranschen </w:t>
      </w:r>
      <w:r w:rsidR="000D41AF">
        <w:rPr>
          <w:rFonts w:ascii="Calibri" w:hAnsi="Calibri" w:cs="Calibri"/>
          <w:sz w:val="32"/>
          <w:szCs w:val="32"/>
          <w:lang w:val="sv-SE"/>
        </w:rPr>
        <w:t>ser ljuset i tunneln</w:t>
      </w:r>
    </w:p>
    <w:p w:rsidR="00164170" w:rsidRPr="00164170" w:rsidRDefault="00164170" w:rsidP="00164170">
      <w:pPr>
        <w:pStyle w:val="Brdtext"/>
        <w:spacing w:after="240"/>
        <w:rPr>
          <w:rFonts w:ascii="Calibri" w:hAnsi="Calibri" w:cs="Calibri"/>
          <w:sz w:val="20"/>
          <w:szCs w:val="20"/>
          <w:lang w:val="sv-SE"/>
        </w:rPr>
      </w:pPr>
      <w:r w:rsidRPr="00164170">
        <w:rPr>
          <w:rFonts w:ascii="Calibri" w:hAnsi="Calibri" w:cs="Calibri"/>
          <w:sz w:val="20"/>
          <w:szCs w:val="20"/>
          <w:lang w:val="sv-SE"/>
        </w:rPr>
        <w:t xml:space="preserve">De europeiska bygginvesteringarna vände upp förra året efter en period på sex år med kontinuerligt minskad aktivitet. Vid </w:t>
      </w:r>
      <w:proofErr w:type="spellStart"/>
      <w:r w:rsidRPr="00164170">
        <w:rPr>
          <w:rFonts w:ascii="Calibri" w:hAnsi="Calibri" w:cs="Calibri"/>
          <w:sz w:val="20"/>
          <w:szCs w:val="20"/>
          <w:lang w:val="sv-SE"/>
        </w:rPr>
        <w:t>Euroconstructkonferensen</w:t>
      </w:r>
      <w:proofErr w:type="spellEnd"/>
      <w:r w:rsidRPr="00164170">
        <w:rPr>
          <w:rFonts w:ascii="Calibri" w:hAnsi="Calibri" w:cs="Calibri"/>
          <w:sz w:val="20"/>
          <w:szCs w:val="20"/>
          <w:lang w:val="sv-SE"/>
        </w:rPr>
        <w:t xml:space="preserve"> i Budapest den 4 december kunde man konstatera att uppgången hållit i sig i år och</w:t>
      </w:r>
      <w:r w:rsidR="003339F2">
        <w:rPr>
          <w:rFonts w:ascii="Calibri" w:hAnsi="Calibri" w:cs="Calibri"/>
          <w:sz w:val="20"/>
          <w:szCs w:val="20"/>
          <w:lang w:val="sv-SE"/>
        </w:rPr>
        <w:t xml:space="preserve"> att</w:t>
      </w:r>
      <w:r w:rsidRPr="00164170">
        <w:rPr>
          <w:rFonts w:ascii="Calibri" w:hAnsi="Calibri" w:cs="Calibri"/>
          <w:sz w:val="20"/>
          <w:szCs w:val="20"/>
          <w:lang w:val="sv-SE"/>
        </w:rPr>
        <w:t xml:space="preserve"> byggaktiviteten väntas fortsätta återhämta sig de närmaste åren men tillväxt</w:t>
      </w:r>
      <w:r w:rsidR="003339F2">
        <w:rPr>
          <w:rFonts w:ascii="Calibri" w:hAnsi="Calibri" w:cs="Calibri"/>
          <w:sz w:val="20"/>
          <w:szCs w:val="20"/>
          <w:lang w:val="sv-SE"/>
        </w:rPr>
        <w:t>-</w:t>
      </w:r>
      <w:r w:rsidRPr="00164170">
        <w:rPr>
          <w:rFonts w:ascii="Calibri" w:hAnsi="Calibri" w:cs="Calibri"/>
          <w:sz w:val="20"/>
          <w:szCs w:val="20"/>
          <w:lang w:val="sv-SE"/>
        </w:rPr>
        <w:t>potentialen är alltjämt svag.</w:t>
      </w:r>
      <w:r>
        <w:rPr>
          <w:rFonts w:ascii="Calibri" w:hAnsi="Calibri" w:cs="Calibri"/>
          <w:sz w:val="20"/>
          <w:szCs w:val="20"/>
          <w:lang w:val="sv-SE"/>
        </w:rPr>
        <w:t xml:space="preserve"> </w:t>
      </w:r>
      <w:bookmarkStart w:id="0" w:name="_GoBack"/>
      <w:bookmarkEnd w:id="0"/>
    </w:p>
    <w:p w:rsidR="00164170" w:rsidRPr="00164170" w:rsidRDefault="00164170" w:rsidP="00164170">
      <w:pPr>
        <w:pStyle w:val="Brdtext"/>
        <w:spacing w:after="240"/>
        <w:rPr>
          <w:rFonts w:ascii="Calibri" w:hAnsi="Calibri" w:cs="Calibri"/>
          <w:b w:val="0"/>
          <w:sz w:val="20"/>
          <w:szCs w:val="20"/>
          <w:lang w:val="sv-SE"/>
        </w:rPr>
      </w:pPr>
      <w:r>
        <w:rPr>
          <w:rFonts w:ascii="Calibri" w:hAnsi="Calibri" w:cs="Calibri"/>
          <w:b w:val="0"/>
          <w:noProof/>
          <w:sz w:val="20"/>
          <w:szCs w:val="20"/>
          <w:lang w:val="sv-SE" w:eastAsia="sv-SE"/>
        </w:rPr>
        <w:drawing>
          <wp:anchor distT="0" distB="0" distL="114300" distR="114300" simplePos="0" relativeHeight="251658240" behindDoc="1" locked="0" layoutInCell="1" allowOverlap="1" wp14:anchorId="35216B2D" wp14:editId="5E197BFB">
            <wp:simplePos x="0" y="0"/>
            <wp:positionH relativeFrom="column">
              <wp:posOffset>3042920</wp:posOffset>
            </wp:positionH>
            <wp:positionV relativeFrom="paragraph">
              <wp:posOffset>504825</wp:posOffset>
            </wp:positionV>
            <wp:extent cx="2714625" cy="2310765"/>
            <wp:effectExtent l="0" t="0" r="9525" b="0"/>
            <wp:wrapTight wrapText="bothSides">
              <wp:wrapPolygon edited="0">
                <wp:start x="0" y="0"/>
                <wp:lineTo x="0" y="21012"/>
                <wp:lineTo x="21524" y="21012"/>
                <wp:lineTo x="2152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310765"/>
                    </a:xfrm>
                    <a:prstGeom prst="rect">
                      <a:avLst/>
                    </a:prstGeom>
                    <a:noFill/>
                  </pic:spPr>
                </pic:pic>
              </a:graphicData>
            </a:graphic>
            <wp14:sizeRelH relativeFrom="page">
              <wp14:pctWidth>0</wp14:pctWidth>
            </wp14:sizeRelH>
            <wp14:sizeRelV relativeFrom="page">
              <wp14:pctHeight>0</wp14:pctHeight>
            </wp14:sizeRelV>
          </wp:anchor>
        </w:drawing>
      </w:r>
      <w:r w:rsidRPr="00164170">
        <w:rPr>
          <w:rFonts w:ascii="Calibri" w:hAnsi="Calibri" w:cs="Calibri"/>
          <w:b w:val="0"/>
          <w:sz w:val="20"/>
          <w:szCs w:val="20"/>
          <w:lang w:val="sv-SE"/>
        </w:rPr>
        <w:t>Det var framförallt renoveringsaktiviteten som bidrog till uppgången</w:t>
      </w:r>
      <w:r w:rsidR="005E4BCD">
        <w:rPr>
          <w:rFonts w:ascii="Calibri" w:hAnsi="Calibri" w:cs="Calibri"/>
          <w:b w:val="0"/>
          <w:sz w:val="20"/>
          <w:szCs w:val="20"/>
          <w:lang w:val="sv-SE"/>
        </w:rPr>
        <w:t xml:space="preserve"> i Europa</w:t>
      </w:r>
      <w:r w:rsidRPr="00164170">
        <w:rPr>
          <w:rFonts w:ascii="Calibri" w:hAnsi="Calibri" w:cs="Calibri"/>
          <w:b w:val="0"/>
          <w:sz w:val="20"/>
          <w:szCs w:val="20"/>
          <w:lang w:val="sv-SE"/>
        </w:rPr>
        <w:t xml:space="preserve"> under förra året, ett resultat av att fler fasti</w:t>
      </w:r>
      <w:r w:rsidR="005E4BCD">
        <w:rPr>
          <w:rFonts w:ascii="Calibri" w:hAnsi="Calibri" w:cs="Calibri"/>
          <w:b w:val="0"/>
          <w:sz w:val="20"/>
          <w:szCs w:val="20"/>
          <w:lang w:val="sv-SE"/>
        </w:rPr>
        <w:t>ghetsägare utnyttjat låga kapitalkostnader</w:t>
      </w:r>
      <w:r w:rsidRPr="00164170">
        <w:rPr>
          <w:rFonts w:ascii="Calibri" w:hAnsi="Calibri" w:cs="Calibri"/>
          <w:b w:val="0"/>
          <w:sz w:val="20"/>
          <w:szCs w:val="20"/>
          <w:lang w:val="sv-SE"/>
        </w:rPr>
        <w:t xml:space="preserve"> och tillgänglig kapacitet för att ta sig an ett eftersatt underhåll. ROT-sektorns tillväxt mattas något under de kommande åren </w:t>
      </w:r>
      <w:r>
        <w:rPr>
          <w:rFonts w:ascii="Calibri" w:hAnsi="Calibri" w:cs="Calibri"/>
          <w:b w:val="0"/>
          <w:sz w:val="20"/>
          <w:szCs w:val="20"/>
          <w:lang w:val="sv-SE"/>
        </w:rPr>
        <w:t xml:space="preserve">vilket visar att </w:t>
      </w:r>
      <w:r w:rsidRPr="00164170">
        <w:rPr>
          <w:rFonts w:ascii="Calibri" w:hAnsi="Calibri" w:cs="Calibri"/>
          <w:b w:val="0"/>
          <w:sz w:val="20"/>
          <w:szCs w:val="20"/>
          <w:lang w:val="sv-SE"/>
        </w:rPr>
        <w:t xml:space="preserve">medlemsländerna i </w:t>
      </w:r>
      <w:proofErr w:type="spellStart"/>
      <w:r w:rsidRPr="00164170">
        <w:rPr>
          <w:rFonts w:ascii="Calibri" w:hAnsi="Calibri" w:cs="Calibri"/>
          <w:b w:val="0"/>
          <w:sz w:val="20"/>
          <w:szCs w:val="20"/>
          <w:lang w:val="sv-SE"/>
        </w:rPr>
        <w:t>Euroconstruct</w:t>
      </w:r>
      <w:proofErr w:type="spellEnd"/>
      <w:r w:rsidRPr="00164170">
        <w:rPr>
          <w:rFonts w:ascii="Calibri" w:hAnsi="Calibri" w:cs="Calibri"/>
          <w:b w:val="0"/>
          <w:sz w:val="20"/>
          <w:szCs w:val="20"/>
          <w:lang w:val="sv-SE"/>
        </w:rPr>
        <w:t xml:space="preserve"> inte förväntar sig att klimat</w:t>
      </w:r>
      <w:r w:rsidR="00AA20BD">
        <w:rPr>
          <w:rFonts w:ascii="Calibri" w:hAnsi="Calibri" w:cs="Calibri"/>
          <w:b w:val="0"/>
          <w:sz w:val="20"/>
          <w:szCs w:val="20"/>
          <w:lang w:val="sv-SE"/>
        </w:rPr>
        <w:t>-</w:t>
      </w:r>
      <w:r w:rsidRPr="00164170">
        <w:rPr>
          <w:rFonts w:ascii="Calibri" w:hAnsi="Calibri" w:cs="Calibri"/>
          <w:b w:val="0"/>
          <w:sz w:val="20"/>
          <w:szCs w:val="20"/>
          <w:lang w:val="sv-SE"/>
        </w:rPr>
        <w:t>förhandlingarna i Paris</w:t>
      </w:r>
      <w:r w:rsidR="00DB4CF2">
        <w:rPr>
          <w:rFonts w:ascii="Calibri" w:hAnsi="Calibri" w:cs="Calibri"/>
          <w:b w:val="0"/>
          <w:sz w:val="20"/>
          <w:szCs w:val="20"/>
          <w:lang w:val="sv-SE"/>
        </w:rPr>
        <w:t xml:space="preserve"> ska</w:t>
      </w:r>
      <w:r w:rsidRPr="00164170">
        <w:rPr>
          <w:rFonts w:ascii="Calibri" w:hAnsi="Calibri" w:cs="Calibri"/>
          <w:b w:val="0"/>
          <w:sz w:val="20"/>
          <w:szCs w:val="20"/>
          <w:lang w:val="sv-SE"/>
        </w:rPr>
        <w:t xml:space="preserve"> hinna få någon positiv effekt på ROT-investeringarna under prognosperioden. Från och med 2016 är det främst nya bostäder som bidrar till en fortsatt uppgång. Bostadsbyggandet väntas stiga med 6.1 procent nästa år men tillväxttakten mattas stegvis av till omkring 2.5 procent under 2018. Byggandet a</w:t>
      </w:r>
      <w:r w:rsidR="005E4BCD">
        <w:rPr>
          <w:rFonts w:ascii="Calibri" w:hAnsi="Calibri" w:cs="Calibri"/>
          <w:b w:val="0"/>
          <w:sz w:val="20"/>
          <w:szCs w:val="20"/>
          <w:lang w:val="sv-SE"/>
        </w:rPr>
        <w:t>v nya lokaler ökar något långsammare</w:t>
      </w:r>
      <w:r w:rsidRPr="00164170">
        <w:rPr>
          <w:rFonts w:ascii="Calibri" w:hAnsi="Calibri" w:cs="Calibri"/>
          <w:b w:val="0"/>
          <w:sz w:val="20"/>
          <w:szCs w:val="20"/>
          <w:lang w:val="sv-SE"/>
        </w:rPr>
        <w:t xml:space="preserve"> och utvecklingen följer samma trend som bostäder, med en tillväxt på 3.8 procent 2016 och 2.1 procent vid slutet av prognosperioden. Även anläggningssektorn återhämtar sig efter några svåra år med en genomsnittlig tillväxttakt på 3.3 procent under åren 2015 tom 2018. Uppgången drivs främst av ökade investeringar i vägar/broar och energi/vattentransport. </w:t>
      </w:r>
    </w:p>
    <w:p w:rsidR="003A7A1D" w:rsidRPr="00F34923" w:rsidRDefault="00164170" w:rsidP="00F34923">
      <w:pPr>
        <w:pStyle w:val="Brdtext"/>
        <w:spacing w:after="240"/>
        <w:rPr>
          <w:rFonts w:ascii="Calibri" w:hAnsi="Calibri" w:cs="Calibri"/>
          <w:b w:val="0"/>
          <w:sz w:val="20"/>
          <w:szCs w:val="20"/>
          <w:lang w:val="sv-SE"/>
        </w:rPr>
      </w:pPr>
      <w:r w:rsidRPr="00164170">
        <w:rPr>
          <w:rFonts w:ascii="Calibri" w:hAnsi="Calibri" w:cs="Calibri"/>
          <w:b w:val="0"/>
          <w:sz w:val="20"/>
          <w:szCs w:val="20"/>
          <w:lang w:val="sv-SE"/>
        </w:rPr>
        <w:t>Den uppgång vi nu ser</w:t>
      </w:r>
      <w:r w:rsidR="00AA20BD">
        <w:rPr>
          <w:rFonts w:ascii="Calibri" w:hAnsi="Calibri" w:cs="Calibri"/>
          <w:b w:val="0"/>
          <w:sz w:val="20"/>
          <w:szCs w:val="20"/>
          <w:lang w:val="sv-SE"/>
        </w:rPr>
        <w:t>,</w:t>
      </w:r>
      <w:r w:rsidRPr="00164170">
        <w:rPr>
          <w:rFonts w:ascii="Calibri" w:hAnsi="Calibri" w:cs="Calibri"/>
          <w:b w:val="0"/>
          <w:sz w:val="20"/>
          <w:szCs w:val="20"/>
          <w:lang w:val="sv-SE"/>
        </w:rPr>
        <w:t xml:space="preserve"> aggregerat</w:t>
      </w:r>
      <w:r w:rsidR="00AA20BD">
        <w:rPr>
          <w:rFonts w:ascii="Calibri" w:hAnsi="Calibri" w:cs="Calibri"/>
          <w:b w:val="0"/>
          <w:sz w:val="20"/>
          <w:szCs w:val="20"/>
          <w:lang w:val="sv-SE"/>
        </w:rPr>
        <w:t>,</w:t>
      </w:r>
      <w:r w:rsidRPr="00164170">
        <w:rPr>
          <w:rFonts w:ascii="Calibri" w:hAnsi="Calibri" w:cs="Calibri"/>
          <w:b w:val="0"/>
          <w:sz w:val="20"/>
          <w:szCs w:val="20"/>
          <w:lang w:val="sv-SE"/>
        </w:rPr>
        <w:t xml:space="preserve"> kommer från historiskt låga nivåer. Nybyggnationen i Europa har minskat med totalt 41 procent sedan 2007 och bostadsbyggandet med hela 48 procent. Man kan tycka att återhämtningen borde vara starkare efter så många år med kraftig nedgång. För Europa som helhet saknas tyvärr förutsättningar för det. Många länder lider fortfarande av ett bostadsöverskott, en neddragen offentlig konsumtion, hög arbetslöshet och ett lågt kapacitetsutnyttjande i ekonomin. Det geopolitiska läget, regionalt potentiellt överhettade bostadsmarknader, finansiell instabilitet och stora utmaningar bland de mest skuldsatta länderna skapar</w:t>
      </w:r>
      <w:r w:rsidR="00DB4CF2">
        <w:rPr>
          <w:rFonts w:ascii="Calibri" w:hAnsi="Calibri" w:cs="Calibri"/>
          <w:b w:val="0"/>
          <w:sz w:val="20"/>
          <w:szCs w:val="20"/>
          <w:lang w:val="sv-SE"/>
        </w:rPr>
        <w:t xml:space="preserve"> dessutom</w:t>
      </w:r>
      <w:r w:rsidRPr="00164170">
        <w:rPr>
          <w:rFonts w:ascii="Calibri" w:hAnsi="Calibri" w:cs="Calibri"/>
          <w:b w:val="0"/>
          <w:sz w:val="20"/>
          <w:szCs w:val="20"/>
          <w:lang w:val="sv-SE"/>
        </w:rPr>
        <w:t xml:space="preserve"> jordmå</w:t>
      </w:r>
      <w:r w:rsidR="00AA20BD">
        <w:rPr>
          <w:rFonts w:ascii="Calibri" w:hAnsi="Calibri" w:cs="Calibri"/>
          <w:b w:val="0"/>
          <w:sz w:val="20"/>
          <w:szCs w:val="20"/>
          <w:lang w:val="sv-SE"/>
        </w:rPr>
        <w:t>n för negativa överraskningar under</w:t>
      </w:r>
      <w:r w:rsidRPr="00164170">
        <w:rPr>
          <w:rFonts w:ascii="Calibri" w:hAnsi="Calibri" w:cs="Calibri"/>
          <w:b w:val="0"/>
          <w:sz w:val="20"/>
          <w:szCs w:val="20"/>
          <w:lang w:val="sv-SE"/>
        </w:rPr>
        <w:t xml:space="preserve"> </w:t>
      </w:r>
      <w:r w:rsidR="00AA20BD">
        <w:rPr>
          <w:rFonts w:ascii="Calibri" w:hAnsi="Calibri" w:cs="Calibri"/>
          <w:b w:val="0"/>
          <w:sz w:val="20"/>
          <w:szCs w:val="20"/>
          <w:lang w:val="sv-SE"/>
        </w:rPr>
        <w:t>kommande år</w:t>
      </w:r>
      <w:r w:rsidRPr="00164170">
        <w:rPr>
          <w:rFonts w:ascii="Calibri" w:hAnsi="Calibri" w:cs="Calibri"/>
          <w:b w:val="0"/>
          <w:sz w:val="20"/>
          <w:szCs w:val="20"/>
          <w:lang w:val="sv-SE"/>
        </w:rPr>
        <w:t xml:space="preserve">. Den svenska marknaden har gått emot strömmen sedan 2013 och det är bostadsbyggandet som agerat draglok. Tillväxten mattas dock av och drivs mer av transportinfrastruktur under den andra halvan av prognosperioden. Osäkerheterna </w:t>
      </w:r>
      <w:r w:rsidR="00E41258">
        <w:rPr>
          <w:rFonts w:ascii="Calibri" w:hAnsi="Calibri" w:cs="Calibri"/>
          <w:b w:val="0"/>
          <w:sz w:val="20"/>
          <w:szCs w:val="20"/>
          <w:lang w:val="sv-SE"/>
        </w:rPr>
        <w:t xml:space="preserve">i Sverige </w:t>
      </w:r>
      <w:r w:rsidRPr="00164170">
        <w:rPr>
          <w:rFonts w:ascii="Calibri" w:hAnsi="Calibri" w:cs="Calibri"/>
          <w:b w:val="0"/>
          <w:sz w:val="20"/>
          <w:szCs w:val="20"/>
          <w:lang w:val="sv-SE"/>
        </w:rPr>
        <w:t>vilar främst på effekterna av det försämrade ROT-avdraget, bostadsprisutvecklingen, byggkostnadstillväxten och i vilken utsträckning regeringens ambitioner om ett ökat hyresrättsbyggande kan förverkligas. Vi är nära kapacitetstaket och pensionsavgångarna börjar bli kännbara samtidigt som efterfrågan på både material och arbetskraft ökar i Europa.</w:t>
      </w:r>
      <w:r>
        <w:rPr>
          <w:rFonts w:ascii="Calibri" w:hAnsi="Calibri" w:cs="Calibri"/>
          <w:b w:val="0"/>
          <w:sz w:val="22"/>
          <w:szCs w:val="22"/>
          <w:lang w:val="sv-SE"/>
        </w:rPr>
        <w:t xml:space="preserve"> </w:t>
      </w:r>
    </w:p>
    <w:p w:rsidR="00493482" w:rsidRPr="00621FB7" w:rsidRDefault="00621FB7" w:rsidP="00C075C3">
      <w:pPr>
        <w:spacing w:line="240" w:lineRule="auto"/>
        <w:rPr>
          <w:b/>
          <w:sz w:val="20"/>
          <w:szCs w:val="20"/>
        </w:rPr>
      </w:pPr>
      <w:r w:rsidRPr="00621FB7">
        <w:rPr>
          <w:b/>
          <w:sz w:val="20"/>
          <w:szCs w:val="20"/>
        </w:rPr>
        <w:t>Om ni önskar</w:t>
      </w:r>
      <w:r w:rsidR="00493482" w:rsidRPr="00621FB7">
        <w:rPr>
          <w:b/>
          <w:sz w:val="20"/>
          <w:szCs w:val="20"/>
        </w:rPr>
        <w:t xml:space="preserve"> mer information</w:t>
      </w:r>
      <w:r w:rsidRPr="00621FB7">
        <w:rPr>
          <w:b/>
          <w:sz w:val="20"/>
          <w:szCs w:val="20"/>
        </w:rPr>
        <w:t xml:space="preserve"> eller vill ta del av rapporten</w:t>
      </w:r>
      <w:r w:rsidR="00493482" w:rsidRPr="00621FB7">
        <w:rPr>
          <w:b/>
          <w:sz w:val="20"/>
          <w:szCs w:val="20"/>
        </w:rPr>
        <w:t xml:space="preserve"> </w:t>
      </w:r>
      <w:r w:rsidR="00364A28" w:rsidRPr="00621FB7">
        <w:rPr>
          <w:b/>
          <w:sz w:val="20"/>
          <w:szCs w:val="20"/>
        </w:rPr>
        <w:t>är ni välkommen att kontakta</w:t>
      </w:r>
      <w:r w:rsidR="00493482" w:rsidRPr="00621FB7">
        <w:rPr>
          <w:b/>
          <w:sz w:val="20"/>
          <w:szCs w:val="20"/>
        </w:rPr>
        <w:t xml:space="preserve"> Ben</w:t>
      </w:r>
      <w:r w:rsidR="009A4EFC">
        <w:rPr>
          <w:b/>
          <w:sz w:val="20"/>
          <w:szCs w:val="20"/>
        </w:rPr>
        <w:t>gt Henricson</w:t>
      </w:r>
      <w:r w:rsidR="00493482" w:rsidRPr="00621FB7">
        <w:rPr>
          <w:b/>
          <w:sz w:val="20"/>
          <w:szCs w:val="20"/>
        </w:rPr>
        <w:t xml:space="preserve">, Prognoscentret AB: 08-440 93 66, Mail: </w:t>
      </w:r>
      <w:hyperlink r:id="rId9" w:history="1">
        <w:r w:rsidR="00493482" w:rsidRPr="00621FB7">
          <w:rPr>
            <w:b/>
            <w:sz w:val="20"/>
            <w:szCs w:val="20"/>
          </w:rPr>
          <w:t>bengt.henricson@prognoscentret.se</w:t>
        </w:r>
      </w:hyperlink>
    </w:p>
    <w:p w:rsidR="00C05DC2" w:rsidRPr="00FB049A" w:rsidRDefault="00493482" w:rsidP="00C675E2">
      <w:pPr>
        <w:pStyle w:val="Default"/>
        <w:shd w:val="clear" w:color="auto" w:fill="D9D9D9" w:themeFill="background1" w:themeFillShade="D9"/>
        <w:jc w:val="both"/>
        <w:rPr>
          <w:rFonts w:asciiTheme="minorHAnsi" w:hAnsiTheme="minorHAnsi" w:cs="Arial"/>
          <w:sz w:val="20"/>
          <w:szCs w:val="20"/>
        </w:rPr>
      </w:pPr>
      <w:r w:rsidRPr="00AE7631">
        <w:rPr>
          <w:rFonts w:asciiTheme="minorHAnsi" w:eastAsiaTheme="minorEastAsia" w:hAnsiTheme="minorHAnsi" w:cstheme="minorBidi"/>
          <w:b/>
          <w:color w:val="auto"/>
          <w:sz w:val="20"/>
          <w:szCs w:val="20"/>
        </w:rPr>
        <w:t>Prognoscentret AB</w:t>
      </w:r>
      <w:r w:rsidRPr="00AE7631">
        <w:rPr>
          <w:rFonts w:asciiTheme="minorHAnsi" w:eastAsiaTheme="minorEastAsia" w:hAnsiTheme="minorHAnsi" w:cstheme="minorBidi"/>
          <w:color w:val="auto"/>
          <w:sz w:val="20"/>
          <w:szCs w:val="20"/>
        </w:rPr>
        <w:t xml:space="preserve"> har sedan starten 1978 utvecklats till att idag vara Nordens ledande leverantör av högkvalitativa marknadsanalyser inom bygg, bostads- och fastighetsmarknaderna. </w:t>
      </w:r>
      <w:r w:rsidR="00C56BAD" w:rsidRPr="00AE7631">
        <w:rPr>
          <w:rFonts w:asciiTheme="minorHAnsi" w:eastAsiaTheme="minorEastAsia" w:hAnsiTheme="minorHAnsi" w:cstheme="minorBidi"/>
          <w:color w:val="auto"/>
          <w:sz w:val="20"/>
          <w:szCs w:val="20"/>
        </w:rPr>
        <w:t>Med utgångspunkt i välutvecklade analysverktyg, ett stort nätverk och kompetenta medarbetare erbjuder vi många typer av analyser som ger stöd i taktiska, strategiska och operationella val. Prognoscentret representerar både Norge och Sverige i Euroconstruct, ett europeiskt nätverk bestående av de 19 ledande</w:t>
      </w:r>
      <w:r w:rsidR="007725AA" w:rsidRPr="00AE7631">
        <w:rPr>
          <w:rFonts w:asciiTheme="minorHAnsi" w:eastAsiaTheme="minorEastAsia" w:hAnsiTheme="minorHAnsi" w:cstheme="minorBidi"/>
          <w:color w:val="auto"/>
          <w:sz w:val="20"/>
          <w:szCs w:val="20"/>
        </w:rPr>
        <w:t xml:space="preserve"> analysinstitutionern</w:t>
      </w:r>
      <w:r w:rsidR="00C56BAD" w:rsidRPr="00AE7631">
        <w:rPr>
          <w:rFonts w:asciiTheme="minorHAnsi" w:eastAsiaTheme="minorEastAsia" w:hAnsiTheme="minorHAnsi" w:cstheme="minorBidi"/>
          <w:color w:val="auto"/>
          <w:sz w:val="20"/>
          <w:szCs w:val="20"/>
        </w:rPr>
        <w:t>a i EU-området</w:t>
      </w:r>
      <w:r w:rsidR="00401EC1" w:rsidRPr="00AE7631">
        <w:rPr>
          <w:rFonts w:asciiTheme="minorHAnsi" w:eastAsiaTheme="minorEastAsia" w:hAnsiTheme="minorHAnsi" w:cstheme="minorBidi"/>
          <w:color w:val="auto"/>
          <w:sz w:val="20"/>
          <w:szCs w:val="20"/>
        </w:rPr>
        <w:t>,</w:t>
      </w:r>
      <w:r w:rsidR="00401EC1">
        <w:rPr>
          <w:rFonts w:asciiTheme="minorHAnsi" w:hAnsiTheme="minorHAnsi" w:cs="Arial"/>
          <w:sz w:val="20"/>
          <w:szCs w:val="20"/>
        </w:rPr>
        <w:t xml:space="preserve"> (</w:t>
      </w:r>
      <w:hyperlink r:id="rId10" w:history="1">
        <w:r w:rsidR="00401EC1" w:rsidRPr="008440A3">
          <w:rPr>
            <w:rStyle w:val="Hyperlnk"/>
            <w:rFonts w:asciiTheme="minorHAnsi" w:hAnsiTheme="minorHAnsi" w:cs="Arial"/>
            <w:sz w:val="20"/>
            <w:szCs w:val="20"/>
          </w:rPr>
          <w:t>www.euroconstruct.org</w:t>
        </w:r>
      </w:hyperlink>
      <w:r w:rsidR="005D4E64">
        <w:rPr>
          <w:rFonts w:asciiTheme="minorHAnsi" w:hAnsiTheme="minorHAnsi" w:cs="Arial"/>
          <w:sz w:val="20"/>
          <w:szCs w:val="20"/>
        </w:rPr>
        <w:t>).</w:t>
      </w:r>
    </w:p>
    <w:sectPr w:rsidR="00C05DC2" w:rsidRPr="00FB049A" w:rsidSect="007B78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60" w:rsidRDefault="001E1A60" w:rsidP="00C675E2">
      <w:pPr>
        <w:spacing w:after="0" w:line="240" w:lineRule="auto"/>
      </w:pPr>
      <w:r>
        <w:separator/>
      </w:r>
    </w:p>
  </w:endnote>
  <w:endnote w:type="continuationSeparator" w:id="0">
    <w:p w:rsidR="001E1A60" w:rsidRDefault="001E1A60" w:rsidP="00C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BC" w:rsidRDefault="009E44BC">
    <w:pPr>
      <w:pStyle w:val="Sidfot"/>
    </w:pPr>
    <w:r>
      <w:rPr>
        <w:noProof/>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line">
                <wp:align>top</wp:align>
              </wp:positionV>
              <wp:extent cx="7247890" cy="347345"/>
              <wp:effectExtent l="0" t="0" r="10160" b="14605"/>
              <wp:wrapTopAndBottom/>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347345"/>
                        <a:chOff x="321" y="14850"/>
                        <a:chExt cx="11601" cy="547"/>
                      </a:xfrm>
                    </wpg:grpSpPr>
                    <wps:wsp>
                      <wps:cNvPr id="5" name="Rectangle 2"/>
                      <wps:cNvSpPr>
                        <a:spLocks noChangeArrowheads="1"/>
                      </wps:cNvSpPr>
                      <wps:spPr bwMode="auto">
                        <a:xfrm>
                          <a:off x="374" y="14903"/>
                          <a:ext cx="9346" cy="432"/>
                        </a:xfrm>
                        <a:prstGeom prst="rect">
                          <a:avLst/>
                        </a:prstGeom>
                        <a:solidFill>
                          <a:srgbClr val="446EB5"/>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9E44BC" w:rsidRPr="00EB23EC" w:rsidRDefault="001E1A60"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EB23EC">
                                  <w:rPr>
                                    <w:color w:val="FFFFFF" w:themeColor="background1"/>
                                    <w:spacing w:val="60"/>
                                  </w:rPr>
                                  <w:t>Tulegatan 11 11353</w:t>
                                </w:r>
                              </w:sdtContent>
                            </w:sdt>
                            <w:r w:rsidR="009E44BC" w:rsidRPr="00EB23EC">
                              <w:rPr>
                                <w:color w:val="FFFFFF" w:themeColor="background1"/>
                                <w:spacing w:val="60"/>
                              </w:rPr>
                              <w:t xml:space="preserve"> Stockholm www.prognoscentret.se</w:t>
                            </w:r>
                          </w:p>
                          <w:p w:rsidR="009E44BC" w:rsidRPr="00EB23EC" w:rsidRDefault="009E44BC" w:rsidP="00C675E2">
                            <w:pPr>
                              <w:pStyle w:val="Sidhuvud"/>
                              <w:rPr>
                                <w:color w:val="FFFFFF" w:themeColor="background1"/>
                              </w:rPr>
                            </w:pPr>
                          </w:p>
                        </w:txbxContent>
                      </wps:txbx>
                      <wps:bodyPr rot="0" vert="horz" wrap="square" lIns="91440" tIns="45720" rIns="91440" bIns="45720" anchor="t" anchorCtr="0" upright="1">
                        <a:noAutofit/>
                      </wps:bodyPr>
                    </wps:wsp>
                    <wps:wsp>
                      <wps:cNvPr id="6" name="Rectangle 3"/>
                      <wps:cNvSpPr>
                        <a:spLocks noChangeArrowheads="1"/>
                      </wps:cNvSpPr>
                      <wps:spPr bwMode="auto">
                        <a:xfrm>
                          <a:off x="9763" y="14903"/>
                          <a:ext cx="2102" cy="432"/>
                        </a:xfrm>
                        <a:prstGeom prst="rect">
                          <a:avLst/>
                        </a:prstGeom>
                        <a:solidFill>
                          <a:srgbClr val="446E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4BC" w:rsidRPr="00A23732" w:rsidRDefault="009E44BC" w:rsidP="00C675E2"/>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70.7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HocEA&#10;AADaAAAADwAAAGRycy9kb3ducmV2LnhtbESPQYvCMBSE7wv+h/AEb2uqoCzVKCIURPSwrsXro3m2&#10;1ealNFFbf/1GEDwOM/MNM1+2phJ3alxpWcFoGIEgzqwuOVdw/Eu+f0A4j6yxskwKOnKwXPS+5hhr&#10;++Bfuh98LgKEXYwKCu/rWEqXFWTQDW1NHLyzbQz6IJtc6gYfAW4qOY6iqTRYclgosKZ1Qdn1cDMK&#10;XLdbbbt9lz5PlB4vMkkm5pwqNei3qxkIT63/hN/tjVYwgd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R6HBAAAA2gAAAA8AAAAAAAAAAAAAAAAAmAIAAGRycy9kb3du&#10;cmV2LnhtbFBLBQYAAAAABAAEAPUAAACGAwAAAAA=&#10;" fillcolor="#446eb5" stroked="f" strokecolor="#943634 [2405]">
                <v:textbox>
                  <w:txbxContent>
                    <w:p w:rsidR="009E44BC" w:rsidRPr="00EB23EC" w:rsidRDefault="008B1D7C"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EB23EC">
                            <w:rPr>
                              <w:color w:val="FFFFFF" w:themeColor="background1"/>
                              <w:spacing w:val="60"/>
                            </w:rPr>
                            <w:t>Tulegatan 11 11353</w:t>
                          </w:r>
                        </w:sdtContent>
                      </w:sdt>
                      <w:r w:rsidR="009E44BC" w:rsidRPr="00EB23EC">
                        <w:rPr>
                          <w:color w:val="FFFFFF" w:themeColor="background1"/>
                          <w:spacing w:val="60"/>
                        </w:rPr>
                        <w:t xml:space="preserve"> Stockholm www.prognoscentret.se</w:t>
                      </w:r>
                    </w:p>
                    <w:p w:rsidR="009E44BC" w:rsidRPr="00EB23EC" w:rsidRDefault="009E44BC" w:rsidP="00C675E2">
                      <w:pPr>
                        <w:pStyle w:val="Sidhuvud"/>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WscQA&#10;AADaAAAADwAAAGRycy9kb3ducmV2LnhtbESPQWsCMRSE74L/IbxCb5ptKVZWo6jQ0h48uHrQ22Pz&#10;3EQ3L8sm1W1/vREKHoeZ+YaZzjtXiwu1wXpW8DLMQBCXXluuFOy2H4MxiBCRNdaeScEvBZjP+r0p&#10;5tpfeUOXIlYiQTjkqMDE2ORShtKQwzD0DXHyjr51GJNsK6lbvCa4q+Vrlo2kQ8tpwWBDK0Plufhx&#10;CvZ0Mt+83Nq3v8+13ayKA6/fD0o9P3WLCYhIXXyE/9tfWsEI7lfS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FrHEAAAA2gAAAA8AAAAAAAAAAAAAAAAAmAIAAGRycy9k&#10;b3ducmV2LnhtbFBLBQYAAAAABAAEAPUAAACJAwAAAAA=&#10;" fillcolor="#446eb5" stroked="f">
                <v:textbox>
                  <w:txbxContent>
                    <w:p w:rsidR="009E44BC" w:rsidRPr="00A23732" w:rsidRDefault="009E44BC" w:rsidP="00C675E2"/>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60" w:rsidRDefault="001E1A60" w:rsidP="00C675E2">
      <w:pPr>
        <w:spacing w:after="0" w:line="240" w:lineRule="auto"/>
      </w:pPr>
      <w:r>
        <w:separator/>
      </w:r>
    </w:p>
  </w:footnote>
  <w:footnote w:type="continuationSeparator" w:id="0">
    <w:p w:rsidR="001E1A60" w:rsidRDefault="001E1A60" w:rsidP="00C6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69" w:rsidRDefault="00FE6A69">
    <w:pPr>
      <w:pStyle w:val="Sidhuvud"/>
    </w:pPr>
    <w:r>
      <w:rPr>
        <w:noProof/>
      </w:rPr>
      <w:drawing>
        <wp:anchor distT="0" distB="0" distL="114300" distR="114300" simplePos="0" relativeHeight="251659264" behindDoc="1" locked="0" layoutInCell="1" allowOverlap="1" wp14:anchorId="1E8AD514" wp14:editId="4F1D3130">
          <wp:simplePos x="0" y="0"/>
          <wp:positionH relativeFrom="column">
            <wp:posOffset>4820794</wp:posOffset>
          </wp:positionH>
          <wp:positionV relativeFrom="paragraph">
            <wp:posOffset>398145</wp:posOffset>
          </wp:positionV>
          <wp:extent cx="1027430" cy="369570"/>
          <wp:effectExtent l="0" t="0" r="127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FFF535" wp14:editId="516EB10B">
          <wp:extent cx="4848225" cy="1085850"/>
          <wp:effectExtent l="0" t="0" r="9525" b="0"/>
          <wp:docPr id="8" name="Bildobjekt 19" descr="Nya bostäder 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19" descr="Nya bostäder PPT.jpg"/>
                  <pic:cNvPicPr>
                    <a:picLocks noChangeAspect="1"/>
                  </pic:cNvPicPr>
                </pic:nvPicPr>
                <pic:blipFill rotWithShape="1">
                  <a:blip r:embed="rId2"/>
                  <a:srcRect t="42510" b="14603"/>
                  <a:stretch/>
                </pic:blipFill>
                <pic:spPr bwMode="auto">
                  <a:xfrm>
                    <a:off x="0" y="0"/>
                    <a:ext cx="4848225" cy="108585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304"/>
  <w:hyphenationZone w:val="425"/>
  <w:characterSpacingControl w:val="doNotCompress"/>
  <w:hdrShapeDefaults>
    <o:shapedefaults v:ext="edit" spidmax="2049">
      <o:colormru v:ext="edit" colors="#09b2e7"/>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2"/>
    <w:rsid w:val="00000D1B"/>
    <w:rsid w:val="000019B5"/>
    <w:rsid w:val="00006F7F"/>
    <w:rsid w:val="00010A19"/>
    <w:rsid w:val="00013254"/>
    <w:rsid w:val="00017863"/>
    <w:rsid w:val="00034680"/>
    <w:rsid w:val="00054B74"/>
    <w:rsid w:val="00060B60"/>
    <w:rsid w:val="00060F0A"/>
    <w:rsid w:val="00061311"/>
    <w:rsid w:val="000618D8"/>
    <w:rsid w:val="000708C1"/>
    <w:rsid w:val="00075BFD"/>
    <w:rsid w:val="00076393"/>
    <w:rsid w:val="000800BC"/>
    <w:rsid w:val="00082907"/>
    <w:rsid w:val="00085B7B"/>
    <w:rsid w:val="000919A5"/>
    <w:rsid w:val="00091F7C"/>
    <w:rsid w:val="0009331F"/>
    <w:rsid w:val="00093F60"/>
    <w:rsid w:val="000A401D"/>
    <w:rsid w:val="000C4543"/>
    <w:rsid w:val="000C515E"/>
    <w:rsid w:val="000D2006"/>
    <w:rsid w:val="000D41AF"/>
    <w:rsid w:val="000D78CB"/>
    <w:rsid w:val="000E47D2"/>
    <w:rsid w:val="000F3EEC"/>
    <w:rsid w:val="000F4412"/>
    <w:rsid w:val="001219A9"/>
    <w:rsid w:val="00122310"/>
    <w:rsid w:val="00130814"/>
    <w:rsid w:val="00143413"/>
    <w:rsid w:val="00146E54"/>
    <w:rsid w:val="00147322"/>
    <w:rsid w:val="00164170"/>
    <w:rsid w:val="001706D5"/>
    <w:rsid w:val="001843FB"/>
    <w:rsid w:val="00195F2C"/>
    <w:rsid w:val="00197A0D"/>
    <w:rsid w:val="001B0EC0"/>
    <w:rsid w:val="001B2E52"/>
    <w:rsid w:val="001C6391"/>
    <w:rsid w:val="001C6750"/>
    <w:rsid w:val="001E0DA3"/>
    <w:rsid w:val="001E1A60"/>
    <w:rsid w:val="001E29DB"/>
    <w:rsid w:val="001F3DB3"/>
    <w:rsid w:val="001F7822"/>
    <w:rsid w:val="00203254"/>
    <w:rsid w:val="00210BCE"/>
    <w:rsid w:val="002153F9"/>
    <w:rsid w:val="0021571E"/>
    <w:rsid w:val="002254D5"/>
    <w:rsid w:val="00234EDB"/>
    <w:rsid w:val="002367C9"/>
    <w:rsid w:val="002412CC"/>
    <w:rsid w:val="00242248"/>
    <w:rsid w:val="0025307B"/>
    <w:rsid w:val="00257D86"/>
    <w:rsid w:val="00257FF7"/>
    <w:rsid w:val="002663BE"/>
    <w:rsid w:val="00281E2A"/>
    <w:rsid w:val="00292FB3"/>
    <w:rsid w:val="002A47FD"/>
    <w:rsid w:val="002C71F1"/>
    <w:rsid w:val="002D2B20"/>
    <w:rsid w:val="002D6539"/>
    <w:rsid w:val="002E476D"/>
    <w:rsid w:val="002E5EF4"/>
    <w:rsid w:val="002F0116"/>
    <w:rsid w:val="002F0412"/>
    <w:rsid w:val="00301F67"/>
    <w:rsid w:val="0030405C"/>
    <w:rsid w:val="003060D9"/>
    <w:rsid w:val="00315FE5"/>
    <w:rsid w:val="00325770"/>
    <w:rsid w:val="00331D60"/>
    <w:rsid w:val="003339F2"/>
    <w:rsid w:val="00336ED0"/>
    <w:rsid w:val="00354BB5"/>
    <w:rsid w:val="00364A28"/>
    <w:rsid w:val="00374BB9"/>
    <w:rsid w:val="0039710B"/>
    <w:rsid w:val="00397140"/>
    <w:rsid w:val="003A653A"/>
    <w:rsid w:val="003A7A1D"/>
    <w:rsid w:val="003B5D1A"/>
    <w:rsid w:val="003C33BE"/>
    <w:rsid w:val="003C3655"/>
    <w:rsid w:val="003D56D7"/>
    <w:rsid w:val="003D5875"/>
    <w:rsid w:val="003D63FC"/>
    <w:rsid w:val="003E13C2"/>
    <w:rsid w:val="003E6F4D"/>
    <w:rsid w:val="003F691F"/>
    <w:rsid w:val="003F6C32"/>
    <w:rsid w:val="00401EC1"/>
    <w:rsid w:val="004025B8"/>
    <w:rsid w:val="004102F1"/>
    <w:rsid w:val="00411BDB"/>
    <w:rsid w:val="0042146C"/>
    <w:rsid w:val="004216A6"/>
    <w:rsid w:val="004218F5"/>
    <w:rsid w:val="00427F05"/>
    <w:rsid w:val="00437E50"/>
    <w:rsid w:val="0044033D"/>
    <w:rsid w:val="004408D3"/>
    <w:rsid w:val="00440CB8"/>
    <w:rsid w:val="00441191"/>
    <w:rsid w:val="00442728"/>
    <w:rsid w:val="004456A5"/>
    <w:rsid w:val="00445AB0"/>
    <w:rsid w:val="00446D3D"/>
    <w:rsid w:val="00452DAC"/>
    <w:rsid w:val="004653EC"/>
    <w:rsid w:val="00465DF4"/>
    <w:rsid w:val="004848C1"/>
    <w:rsid w:val="00493482"/>
    <w:rsid w:val="00495D78"/>
    <w:rsid w:val="00496C0C"/>
    <w:rsid w:val="0049756C"/>
    <w:rsid w:val="004A5B8A"/>
    <w:rsid w:val="004A695E"/>
    <w:rsid w:val="004B3BC5"/>
    <w:rsid w:val="004B3ED4"/>
    <w:rsid w:val="004B5E92"/>
    <w:rsid w:val="004D34A0"/>
    <w:rsid w:val="004D54C1"/>
    <w:rsid w:val="004D67B6"/>
    <w:rsid w:val="004D74E6"/>
    <w:rsid w:val="004E38AE"/>
    <w:rsid w:val="004E41F1"/>
    <w:rsid w:val="00507A6A"/>
    <w:rsid w:val="00511850"/>
    <w:rsid w:val="00512A09"/>
    <w:rsid w:val="0051746C"/>
    <w:rsid w:val="00520420"/>
    <w:rsid w:val="005221F3"/>
    <w:rsid w:val="00524CAB"/>
    <w:rsid w:val="00525239"/>
    <w:rsid w:val="00544E32"/>
    <w:rsid w:val="0055075A"/>
    <w:rsid w:val="00576BFC"/>
    <w:rsid w:val="005928F3"/>
    <w:rsid w:val="005A25C4"/>
    <w:rsid w:val="005A655F"/>
    <w:rsid w:val="005A673E"/>
    <w:rsid w:val="005B14A1"/>
    <w:rsid w:val="005C72C9"/>
    <w:rsid w:val="005D0468"/>
    <w:rsid w:val="005D4E64"/>
    <w:rsid w:val="005D6890"/>
    <w:rsid w:val="005E0D78"/>
    <w:rsid w:val="005E4BCD"/>
    <w:rsid w:val="005E74D7"/>
    <w:rsid w:val="005E7E8F"/>
    <w:rsid w:val="005F0CCA"/>
    <w:rsid w:val="005F4D88"/>
    <w:rsid w:val="00613068"/>
    <w:rsid w:val="00617E89"/>
    <w:rsid w:val="00621FB7"/>
    <w:rsid w:val="00625D9C"/>
    <w:rsid w:val="00627E5B"/>
    <w:rsid w:val="00632C28"/>
    <w:rsid w:val="00640DDA"/>
    <w:rsid w:val="00652EC2"/>
    <w:rsid w:val="0065474D"/>
    <w:rsid w:val="006612A9"/>
    <w:rsid w:val="00663930"/>
    <w:rsid w:val="00666C13"/>
    <w:rsid w:val="0067060F"/>
    <w:rsid w:val="006956F0"/>
    <w:rsid w:val="006B11FE"/>
    <w:rsid w:val="006C2A0D"/>
    <w:rsid w:val="006C4D7D"/>
    <w:rsid w:val="006C5604"/>
    <w:rsid w:val="006C634F"/>
    <w:rsid w:val="006D03E2"/>
    <w:rsid w:val="006D5E6B"/>
    <w:rsid w:val="006E2595"/>
    <w:rsid w:val="006E42BF"/>
    <w:rsid w:val="006E56CD"/>
    <w:rsid w:val="006F3DBB"/>
    <w:rsid w:val="006F70D4"/>
    <w:rsid w:val="006F716C"/>
    <w:rsid w:val="007001F4"/>
    <w:rsid w:val="00703878"/>
    <w:rsid w:val="00705AE0"/>
    <w:rsid w:val="007124EE"/>
    <w:rsid w:val="00727347"/>
    <w:rsid w:val="007309E2"/>
    <w:rsid w:val="00731617"/>
    <w:rsid w:val="0073534F"/>
    <w:rsid w:val="0073699F"/>
    <w:rsid w:val="00743DA2"/>
    <w:rsid w:val="00752B07"/>
    <w:rsid w:val="00765950"/>
    <w:rsid w:val="00770E55"/>
    <w:rsid w:val="007725AA"/>
    <w:rsid w:val="00777A40"/>
    <w:rsid w:val="00783DB7"/>
    <w:rsid w:val="00787D24"/>
    <w:rsid w:val="00790BA4"/>
    <w:rsid w:val="007A38F7"/>
    <w:rsid w:val="007A71F9"/>
    <w:rsid w:val="007B2E9D"/>
    <w:rsid w:val="007B78C7"/>
    <w:rsid w:val="007C32EA"/>
    <w:rsid w:val="007D03AC"/>
    <w:rsid w:val="007D21C1"/>
    <w:rsid w:val="007D2FEF"/>
    <w:rsid w:val="007F3324"/>
    <w:rsid w:val="007F41A3"/>
    <w:rsid w:val="008021E8"/>
    <w:rsid w:val="008048FE"/>
    <w:rsid w:val="00832CED"/>
    <w:rsid w:val="00834114"/>
    <w:rsid w:val="00837881"/>
    <w:rsid w:val="00843412"/>
    <w:rsid w:val="008453F2"/>
    <w:rsid w:val="00852B48"/>
    <w:rsid w:val="00853F2A"/>
    <w:rsid w:val="008547C9"/>
    <w:rsid w:val="00855308"/>
    <w:rsid w:val="00857116"/>
    <w:rsid w:val="00861A97"/>
    <w:rsid w:val="00861F11"/>
    <w:rsid w:val="008626D9"/>
    <w:rsid w:val="00863FD0"/>
    <w:rsid w:val="0086670F"/>
    <w:rsid w:val="0087630E"/>
    <w:rsid w:val="00877CA5"/>
    <w:rsid w:val="0088072E"/>
    <w:rsid w:val="0088622B"/>
    <w:rsid w:val="008A628E"/>
    <w:rsid w:val="008B1D7C"/>
    <w:rsid w:val="008B2F7A"/>
    <w:rsid w:val="008B3543"/>
    <w:rsid w:val="008C1B34"/>
    <w:rsid w:val="008E0CE5"/>
    <w:rsid w:val="008E61DF"/>
    <w:rsid w:val="008F033C"/>
    <w:rsid w:val="008F22F7"/>
    <w:rsid w:val="00901AE9"/>
    <w:rsid w:val="00903CEE"/>
    <w:rsid w:val="00904610"/>
    <w:rsid w:val="00904AE8"/>
    <w:rsid w:val="00917EDE"/>
    <w:rsid w:val="00921091"/>
    <w:rsid w:val="00922CD2"/>
    <w:rsid w:val="00932467"/>
    <w:rsid w:val="00933FBF"/>
    <w:rsid w:val="009511D0"/>
    <w:rsid w:val="00954DA2"/>
    <w:rsid w:val="00962157"/>
    <w:rsid w:val="00964399"/>
    <w:rsid w:val="00966A17"/>
    <w:rsid w:val="00971AE0"/>
    <w:rsid w:val="00974768"/>
    <w:rsid w:val="00976D5D"/>
    <w:rsid w:val="00983835"/>
    <w:rsid w:val="009916D1"/>
    <w:rsid w:val="009A268E"/>
    <w:rsid w:val="009A3A9E"/>
    <w:rsid w:val="009A4EFC"/>
    <w:rsid w:val="009B191D"/>
    <w:rsid w:val="009B1946"/>
    <w:rsid w:val="009B1FA2"/>
    <w:rsid w:val="009B4845"/>
    <w:rsid w:val="009B7D29"/>
    <w:rsid w:val="009C02A3"/>
    <w:rsid w:val="009D288F"/>
    <w:rsid w:val="009E44BC"/>
    <w:rsid w:val="009E532F"/>
    <w:rsid w:val="009E5D98"/>
    <w:rsid w:val="009F0A1E"/>
    <w:rsid w:val="00A10E4D"/>
    <w:rsid w:val="00A12972"/>
    <w:rsid w:val="00A12FFC"/>
    <w:rsid w:val="00A13DEB"/>
    <w:rsid w:val="00A1466E"/>
    <w:rsid w:val="00A27803"/>
    <w:rsid w:val="00A311F6"/>
    <w:rsid w:val="00A32E91"/>
    <w:rsid w:val="00A35BA7"/>
    <w:rsid w:val="00A35BC3"/>
    <w:rsid w:val="00A41EC4"/>
    <w:rsid w:val="00A50A27"/>
    <w:rsid w:val="00A52E46"/>
    <w:rsid w:val="00A7050B"/>
    <w:rsid w:val="00A716E7"/>
    <w:rsid w:val="00A76A8D"/>
    <w:rsid w:val="00A85347"/>
    <w:rsid w:val="00A96752"/>
    <w:rsid w:val="00AA20BD"/>
    <w:rsid w:val="00AA2B10"/>
    <w:rsid w:val="00AB08F8"/>
    <w:rsid w:val="00AB108C"/>
    <w:rsid w:val="00AB238D"/>
    <w:rsid w:val="00AC2844"/>
    <w:rsid w:val="00AC29B9"/>
    <w:rsid w:val="00AC7D04"/>
    <w:rsid w:val="00AE0CCB"/>
    <w:rsid w:val="00AE691A"/>
    <w:rsid w:val="00AE7631"/>
    <w:rsid w:val="00AE7907"/>
    <w:rsid w:val="00AF25F8"/>
    <w:rsid w:val="00AF4833"/>
    <w:rsid w:val="00AF59F4"/>
    <w:rsid w:val="00B1762B"/>
    <w:rsid w:val="00B31483"/>
    <w:rsid w:val="00B31672"/>
    <w:rsid w:val="00B3435E"/>
    <w:rsid w:val="00B400CB"/>
    <w:rsid w:val="00B46DA4"/>
    <w:rsid w:val="00B623E1"/>
    <w:rsid w:val="00B63EF9"/>
    <w:rsid w:val="00B75A3E"/>
    <w:rsid w:val="00B90F47"/>
    <w:rsid w:val="00B9649A"/>
    <w:rsid w:val="00B96513"/>
    <w:rsid w:val="00BA2896"/>
    <w:rsid w:val="00BA7145"/>
    <w:rsid w:val="00BB126E"/>
    <w:rsid w:val="00BB1452"/>
    <w:rsid w:val="00BC64FA"/>
    <w:rsid w:val="00BD221C"/>
    <w:rsid w:val="00BE4ED6"/>
    <w:rsid w:val="00BE507B"/>
    <w:rsid w:val="00BE7DFB"/>
    <w:rsid w:val="00C02B3A"/>
    <w:rsid w:val="00C04640"/>
    <w:rsid w:val="00C05DC2"/>
    <w:rsid w:val="00C07437"/>
    <w:rsid w:val="00C075C3"/>
    <w:rsid w:val="00C26BD8"/>
    <w:rsid w:val="00C340A2"/>
    <w:rsid w:val="00C34976"/>
    <w:rsid w:val="00C371F9"/>
    <w:rsid w:val="00C511F8"/>
    <w:rsid w:val="00C56BAD"/>
    <w:rsid w:val="00C60A98"/>
    <w:rsid w:val="00C65FB7"/>
    <w:rsid w:val="00C675E2"/>
    <w:rsid w:val="00C722EA"/>
    <w:rsid w:val="00C739B8"/>
    <w:rsid w:val="00C7406D"/>
    <w:rsid w:val="00C747E6"/>
    <w:rsid w:val="00C82313"/>
    <w:rsid w:val="00C8599C"/>
    <w:rsid w:val="00CA43C8"/>
    <w:rsid w:val="00CB0EE9"/>
    <w:rsid w:val="00CC445A"/>
    <w:rsid w:val="00CC5DC2"/>
    <w:rsid w:val="00CD1A5F"/>
    <w:rsid w:val="00CD2881"/>
    <w:rsid w:val="00CE1504"/>
    <w:rsid w:val="00CF6748"/>
    <w:rsid w:val="00CF6F56"/>
    <w:rsid w:val="00D04CB6"/>
    <w:rsid w:val="00D123D6"/>
    <w:rsid w:val="00D24F72"/>
    <w:rsid w:val="00D26467"/>
    <w:rsid w:val="00D5436C"/>
    <w:rsid w:val="00D578B9"/>
    <w:rsid w:val="00D627B1"/>
    <w:rsid w:val="00D6367E"/>
    <w:rsid w:val="00D63708"/>
    <w:rsid w:val="00D67516"/>
    <w:rsid w:val="00D72070"/>
    <w:rsid w:val="00D7792D"/>
    <w:rsid w:val="00D77CE1"/>
    <w:rsid w:val="00D82570"/>
    <w:rsid w:val="00D867A1"/>
    <w:rsid w:val="00D90072"/>
    <w:rsid w:val="00D9187A"/>
    <w:rsid w:val="00D91F74"/>
    <w:rsid w:val="00DA5B1A"/>
    <w:rsid w:val="00DB2C67"/>
    <w:rsid w:val="00DB376F"/>
    <w:rsid w:val="00DB4CF2"/>
    <w:rsid w:val="00DB7758"/>
    <w:rsid w:val="00DE7BBC"/>
    <w:rsid w:val="00DF45F6"/>
    <w:rsid w:val="00DF72CF"/>
    <w:rsid w:val="00E02998"/>
    <w:rsid w:val="00E21522"/>
    <w:rsid w:val="00E368E3"/>
    <w:rsid w:val="00E41258"/>
    <w:rsid w:val="00E46C61"/>
    <w:rsid w:val="00E52997"/>
    <w:rsid w:val="00E6179D"/>
    <w:rsid w:val="00E771C5"/>
    <w:rsid w:val="00EA52AF"/>
    <w:rsid w:val="00EA7C36"/>
    <w:rsid w:val="00EB23EC"/>
    <w:rsid w:val="00EC6196"/>
    <w:rsid w:val="00ED50AD"/>
    <w:rsid w:val="00ED60AF"/>
    <w:rsid w:val="00EE4E5D"/>
    <w:rsid w:val="00EF021E"/>
    <w:rsid w:val="00EF550B"/>
    <w:rsid w:val="00EF5CB9"/>
    <w:rsid w:val="00EF5E6E"/>
    <w:rsid w:val="00F1190A"/>
    <w:rsid w:val="00F271A8"/>
    <w:rsid w:val="00F2796D"/>
    <w:rsid w:val="00F34923"/>
    <w:rsid w:val="00F408B2"/>
    <w:rsid w:val="00F42841"/>
    <w:rsid w:val="00F51A0D"/>
    <w:rsid w:val="00F53DA9"/>
    <w:rsid w:val="00F61870"/>
    <w:rsid w:val="00F677B7"/>
    <w:rsid w:val="00F73889"/>
    <w:rsid w:val="00F82352"/>
    <w:rsid w:val="00F85D22"/>
    <w:rsid w:val="00F912E8"/>
    <w:rsid w:val="00F95E15"/>
    <w:rsid w:val="00F97E77"/>
    <w:rsid w:val="00FA0012"/>
    <w:rsid w:val="00FA2B4D"/>
    <w:rsid w:val="00FB049A"/>
    <w:rsid w:val="00FB2521"/>
    <w:rsid w:val="00FB3F47"/>
    <w:rsid w:val="00FB6439"/>
    <w:rsid w:val="00FB7CAA"/>
    <w:rsid w:val="00FC516C"/>
    <w:rsid w:val="00FD59DB"/>
    <w:rsid w:val="00FE6A69"/>
    <w:rsid w:val="00FF3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b2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character" w:styleId="Stark">
    <w:name w:val="Strong"/>
    <w:basedOn w:val="Standardstycketeckensnitt"/>
    <w:uiPriority w:val="22"/>
    <w:qFormat/>
    <w:rsid w:val="009E53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character" w:styleId="Stark">
    <w:name w:val="Strong"/>
    <w:basedOn w:val="Standardstycketeckensnitt"/>
    <w:uiPriority w:val="22"/>
    <w:qFormat/>
    <w:rsid w:val="009E5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construct.org" TargetMode="External"/><Relationship Id="rId4" Type="http://schemas.openxmlformats.org/officeDocument/2006/relationships/settings" Target="settings.xml"/><Relationship Id="rId9" Type="http://schemas.openxmlformats.org/officeDocument/2006/relationships/hyperlink" Target="mailto:bengt.henricson@prognoscentret.s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7F2E5F14454B9EB1AACB7C393E7CF9"/>
        <w:category>
          <w:name w:val="Allmänt"/>
          <w:gallery w:val="placeholder"/>
        </w:category>
        <w:types>
          <w:type w:val="bbPlcHdr"/>
        </w:types>
        <w:behaviors>
          <w:behavior w:val="content"/>
        </w:behaviors>
        <w:guid w:val="{FD5B1FF8-70EF-4D84-9551-15E810B8D650}"/>
      </w:docPartPr>
      <w:docPartBody>
        <w:p w:rsidR="00255DE7" w:rsidRDefault="008F123C" w:rsidP="008F123C">
          <w:pPr>
            <w:pStyle w:val="467F2E5F14454B9EB1AACB7C393E7CF9"/>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8F123C"/>
    <w:rsid w:val="00023054"/>
    <w:rsid w:val="000A512F"/>
    <w:rsid w:val="000F570A"/>
    <w:rsid w:val="001A5E5B"/>
    <w:rsid w:val="001C64A8"/>
    <w:rsid w:val="00252115"/>
    <w:rsid w:val="00255DE7"/>
    <w:rsid w:val="00274B33"/>
    <w:rsid w:val="002F16B1"/>
    <w:rsid w:val="00313E80"/>
    <w:rsid w:val="00353319"/>
    <w:rsid w:val="003C148F"/>
    <w:rsid w:val="003D53CD"/>
    <w:rsid w:val="0050591D"/>
    <w:rsid w:val="005D1CB9"/>
    <w:rsid w:val="005E5726"/>
    <w:rsid w:val="00625FB1"/>
    <w:rsid w:val="006E2287"/>
    <w:rsid w:val="00735706"/>
    <w:rsid w:val="007A32AE"/>
    <w:rsid w:val="007C122A"/>
    <w:rsid w:val="007C3FFE"/>
    <w:rsid w:val="007E3E93"/>
    <w:rsid w:val="00853057"/>
    <w:rsid w:val="008F123C"/>
    <w:rsid w:val="009D1289"/>
    <w:rsid w:val="00B313C9"/>
    <w:rsid w:val="00B319F4"/>
    <w:rsid w:val="00BB0905"/>
    <w:rsid w:val="00BE634B"/>
    <w:rsid w:val="00BE7BF5"/>
    <w:rsid w:val="00C70BC8"/>
    <w:rsid w:val="00CE3543"/>
    <w:rsid w:val="00D038BF"/>
    <w:rsid w:val="00D32C75"/>
    <w:rsid w:val="00D35D53"/>
    <w:rsid w:val="00D85753"/>
    <w:rsid w:val="00DB7693"/>
    <w:rsid w:val="00F061E7"/>
    <w:rsid w:val="00F42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7F2E5F14454B9EB1AACB7C393E7CF9">
    <w:name w:val="467F2E5F14454B9EB1AACB7C393E7CF9"/>
    <w:rsid w:val="008F12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Tulegatan 11 11353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Pages>
  <Words>581</Words>
  <Characters>3081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Ellinor Lindström</dc:creator>
  <cp:lastModifiedBy>Bengt Henricson</cp:lastModifiedBy>
  <cp:revision>282</cp:revision>
  <cp:lastPrinted>2014-11-04T12:50:00Z</cp:lastPrinted>
  <dcterms:created xsi:type="dcterms:W3CDTF">2012-06-01T12:26:00Z</dcterms:created>
  <dcterms:modified xsi:type="dcterms:W3CDTF">2015-11-25T09:10:00Z</dcterms:modified>
</cp:coreProperties>
</file>