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98344F" w14:textId="77777777" w:rsidR="00461424" w:rsidRDefault="003E5918" w:rsidP="003E5918">
      <w:pPr>
        <w:pStyle w:val="VisaDocumentname"/>
        <w:rPr>
          <w:rFonts w:cs="Segoe UI"/>
          <w:color w:val="0023A0"/>
        </w:rPr>
      </w:pPr>
      <w:r w:rsidRPr="003E5918">
        <w:rPr>
          <w:rFonts w:cs="Segoe UI"/>
          <w:color w:val="0023A0"/>
        </w:rPr>
        <w:t>news release</w:t>
      </w:r>
    </w:p>
    <w:p w14:paraId="401B9FA1" w14:textId="77777777" w:rsidR="003E5918" w:rsidRPr="003E5918" w:rsidRDefault="003E5918" w:rsidP="003E5918">
      <w:pPr>
        <w:pStyle w:val="VisaDocumentname"/>
        <w:rPr>
          <w:rFonts w:cs="Segoe UI"/>
          <w:color w:val="0023A0"/>
        </w:rPr>
      </w:pPr>
      <w:r w:rsidRPr="003E5918">
        <w:rPr>
          <w:rFonts w:cs="Segoe UI"/>
          <w:noProof/>
          <w:color w:val="0023A0"/>
          <w:lang w:val="en-GB" w:eastAsia="en-GB"/>
        </w:rPr>
        <w:drawing>
          <wp:anchor distT="0" distB="0" distL="114300" distR="114300" simplePos="0" relativeHeight="251661312" behindDoc="0" locked="0" layoutInCell="1" allowOverlap="1" wp14:anchorId="214ACEE4" wp14:editId="4DEFC563">
            <wp:simplePos x="2057400" y="657225"/>
            <wp:positionH relativeFrom="page">
              <wp:align>right</wp:align>
            </wp:positionH>
            <wp:positionV relativeFrom="page">
              <wp:align>top</wp:align>
            </wp:positionV>
            <wp:extent cx="1481328" cy="832104"/>
            <wp:effectExtent l="0" t="0" r="5080" b="6350"/>
            <wp:wrapNone/>
            <wp:docPr id="2" name="Picture 2" descr="C:\Users\mordoyne\Desktop\templates\forms_vbm.png"/>
            <wp:cNvGraphicFramePr/>
            <a:graphic xmlns:a="http://schemas.openxmlformats.org/drawingml/2006/main">
              <a:graphicData uri="http://schemas.openxmlformats.org/drawingml/2006/picture">
                <pic:pic xmlns:pic="http://schemas.openxmlformats.org/drawingml/2006/picture">
                  <pic:nvPicPr>
                    <pic:cNvPr id="1" name="Picture 1" descr="C:\Users\mordoyne\Desktop\templates\forms_vbm.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1328" cy="8321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C7B0A9" w14:textId="07E914AD" w:rsidR="008169C3" w:rsidRPr="00A8152F" w:rsidRDefault="004C3110" w:rsidP="003D5FD5">
      <w:pPr>
        <w:pStyle w:val="VisaHeadline"/>
        <w:pBdr>
          <w:bottom w:val="single" w:sz="8" w:space="7" w:color="0023A0"/>
        </w:pBdr>
        <w:jc w:val="center"/>
        <w:rPr>
          <w:sz w:val="36"/>
          <w:szCs w:val="36"/>
        </w:rPr>
      </w:pPr>
      <w:r>
        <w:rPr>
          <w:sz w:val="36"/>
          <w:szCs w:val="36"/>
        </w:rPr>
        <w:t xml:space="preserve">Visa </w:t>
      </w:r>
      <w:r w:rsidR="00311984">
        <w:rPr>
          <w:sz w:val="36"/>
          <w:szCs w:val="36"/>
        </w:rPr>
        <w:t>Technology</w:t>
      </w:r>
      <w:r w:rsidR="00246D73">
        <w:rPr>
          <w:sz w:val="36"/>
          <w:szCs w:val="36"/>
        </w:rPr>
        <w:t xml:space="preserve"> </w:t>
      </w:r>
      <w:r w:rsidR="00206CE0">
        <w:rPr>
          <w:sz w:val="36"/>
          <w:szCs w:val="36"/>
        </w:rPr>
        <w:t>Extends Mobile Payments</w:t>
      </w:r>
      <w:r w:rsidR="00A51F8C">
        <w:rPr>
          <w:sz w:val="36"/>
          <w:szCs w:val="36"/>
        </w:rPr>
        <w:t xml:space="preserve"> </w:t>
      </w:r>
      <w:r w:rsidR="00881C25">
        <w:rPr>
          <w:sz w:val="36"/>
          <w:szCs w:val="36"/>
        </w:rPr>
        <w:t>in</w:t>
      </w:r>
      <w:r w:rsidR="00A51F8C">
        <w:rPr>
          <w:sz w:val="36"/>
          <w:szCs w:val="36"/>
        </w:rPr>
        <w:t>to</w:t>
      </w:r>
      <w:r w:rsidR="003532A8">
        <w:rPr>
          <w:sz w:val="36"/>
          <w:szCs w:val="36"/>
        </w:rPr>
        <w:t xml:space="preserve"> More than </w:t>
      </w:r>
      <w:r w:rsidR="00566A90" w:rsidRPr="00A8152F">
        <w:rPr>
          <w:sz w:val="36"/>
          <w:szCs w:val="36"/>
        </w:rPr>
        <w:t>12</w:t>
      </w:r>
      <w:r w:rsidR="003532A8" w:rsidRPr="00A8152F">
        <w:rPr>
          <w:sz w:val="36"/>
          <w:szCs w:val="36"/>
        </w:rPr>
        <w:t xml:space="preserve"> </w:t>
      </w:r>
      <w:r w:rsidR="00881C25" w:rsidRPr="00A8152F">
        <w:rPr>
          <w:sz w:val="36"/>
          <w:szCs w:val="36"/>
        </w:rPr>
        <w:t xml:space="preserve">European Countries by End </w:t>
      </w:r>
      <w:r w:rsidR="000F6730" w:rsidRPr="00A8152F">
        <w:rPr>
          <w:sz w:val="36"/>
          <w:szCs w:val="36"/>
        </w:rPr>
        <w:t xml:space="preserve">of </w:t>
      </w:r>
      <w:r w:rsidR="00881C25" w:rsidRPr="00A8152F">
        <w:rPr>
          <w:sz w:val="36"/>
          <w:szCs w:val="36"/>
        </w:rPr>
        <w:t>2017</w:t>
      </w:r>
      <w:r w:rsidR="00D4590D" w:rsidRPr="00A8152F">
        <w:rPr>
          <w:sz w:val="36"/>
          <w:szCs w:val="36"/>
        </w:rPr>
        <w:t xml:space="preserve"> </w:t>
      </w:r>
    </w:p>
    <w:p w14:paraId="4DD1470B" w14:textId="77777777" w:rsidR="00724888" w:rsidRPr="00A8152F" w:rsidRDefault="004C3110" w:rsidP="004C3110">
      <w:pPr>
        <w:spacing w:after="0" w:line="360" w:lineRule="auto"/>
        <w:rPr>
          <w:rFonts w:ascii="Arial" w:hAnsi="Arial" w:cs="Arial"/>
          <w:bCs/>
          <w:iCs/>
          <w:sz w:val="24"/>
          <w:szCs w:val="24"/>
        </w:rPr>
      </w:pPr>
      <w:r w:rsidRPr="00A8152F">
        <w:rPr>
          <w:rFonts w:ascii="Arial" w:hAnsi="Arial" w:cs="Arial"/>
          <w:bCs/>
          <w:iCs/>
          <w:sz w:val="24"/>
          <w:szCs w:val="24"/>
        </w:rPr>
        <w:t xml:space="preserve"> </w:t>
      </w:r>
    </w:p>
    <w:p w14:paraId="709F5061" w14:textId="65FD0F7A" w:rsidR="00A51F8C" w:rsidRPr="00A8152F" w:rsidRDefault="00E34C93" w:rsidP="00A51F8C">
      <w:pPr>
        <w:pStyle w:val="ListParagraph"/>
        <w:numPr>
          <w:ilvl w:val="0"/>
          <w:numId w:val="4"/>
        </w:numPr>
        <w:spacing w:line="240" w:lineRule="auto"/>
        <w:ind w:left="1434" w:hanging="357"/>
        <w:rPr>
          <w:rFonts w:ascii="Arial" w:hAnsi="Arial" w:cs="Arial"/>
          <w:bCs/>
          <w:iCs/>
          <w:sz w:val="24"/>
          <w:szCs w:val="24"/>
        </w:rPr>
      </w:pPr>
      <w:r w:rsidRPr="00A8152F">
        <w:rPr>
          <w:rFonts w:ascii="Arial" w:hAnsi="Arial" w:cs="Arial"/>
          <w:bCs/>
          <w:iCs/>
          <w:sz w:val="24"/>
          <w:szCs w:val="24"/>
        </w:rPr>
        <w:t xml:space="preserve">Visa Token </w:t>
      </w:r>
      <w:r w:rsidR="00A51F8C" w:rsidRPr="00A8152F">
        <w:rPr>
          <w:rFonts w:ascii="Arial" w:hAnsi="Arial" w:cs="Arial"/>
          <w:bCs/>
          <w:iCs/>
          <w:sz w:val="24"/>
          <w:szCs w:val="24"/>
        </w:rPr>
        <w:t>Service</w:t>
      </w:r>
      <w:r w:rsidR="00B06D7E" w:rsidRPr="00A8152F">
        <w:rPr>
          <w:rFonts w:ascii="Arial" w:hAnsi="Arial" w:cs="Arial"/>
          <w:bCs/>
          <w:iCs/>
          <w:sz w:val="24"/>
          <w:szCs w:val="24"/>
        </w:rPr>
        <w:t xml:space="preserve">, </w:t>
      </w:r>
      <w:r w:rsidR="000F6730" w:rsidRPr="00A8152F">
        <w:rPr>
          <w:rFonts w:ascii="Arial" w:hAnsi="Arial" w:cs="Arial"/>
          <w:bCs/>
          <w:iCs/>
          <w:sz w:val="24"/>
          <w:szCs w:val="24"/>
        </w:rPr>
        <w:t xml:space="preserve">which enables secure </w:t>
      </w:r>
      <w:r w:rsidRPr="00A8152F">
        <w:rPr>
          <w:rFonts w:ascii="Arial" w:hAnsi="Arial" w:cs="Arial"/>
          <w:bCs/>
          <w:iCs/>
          <w:sz w:val="24"/>
          <w:szCs w:val="24"/>
        </w:rPr>
        <w:t xml:space="preserve">and convenient </w:t>
      </w:r>
      <w:r w:rsidR="000F6730" w:rsidRPr="00A8152F">
        <w:rPr>
          <w:rFonts w:ascii="Arial" w:hAnsi="Arial" w:cs="Arial"/>
          <w:bCs/>
          <w:iCs/>
          <w:sz w:val="24"/>
          <w:szCs w:val="24"/>
        </w:rPr>
        <w:t>mobile payments</w:t>
      </w:r>
      <w:r w:rsidR="00B06D7E" w:rsidRPr="00A8152F">
        <w:rPr>
          <w:rFonts w:ascii="Arial" w:hAnsi="Arial" w:cs="Arial"/>
          <w:bCs/>
          <w:iCs/>
          <w:sz w:val="24"/>
          <w:szCs w:val="24"/>
        </w:rPr>
        <w:t xml:space="preserve">, </w:t>
      </w:r>
      <w:r w:rsidR="000F6730" w:rsidRPr="00A8152F">
        <w:rPr>
          <w:rFonts w:ascii="Arial" w:hAnsi="Arial" w:cs="Arial"/>
          <w:bCs/>
          <w:iCs/>
          <w:sz w:val="24"/>
          <w:szCs w:val="24"/>
        </w:rPr>
        <w:t xml:space="preserve">is live in five </w:t>
      </w:r>
      <w:r w:rsidR="00A51F8C" w:rsidRPr="00A8152F">
        <w:rPr>
          <w:rFonts w:ascii="Arial" w:hAnsi="Arial" w:cs="Arial"/>
          <w:bCs/>
          <w:iCs/>
          <w:sz w:val="24"/>
          <w:szCs w:val="24"/>
        </w:rPr>
        <w:t xml:space="preserve"> European market</w:t>
      </w:r>
      <w:r w:rsidR="000F6730" w:rsidRPr="00A8152F">
        <w:rPr>
          <w:rFonts w:ascii="Arial" w:hAnsi="Arial" w:cs="Arial"/>
          <w:bCs/>
          <w:iCs/>
          <w:sz w:val="24"/>
          <w:szCs w:val="24"/>
        </w:rPr>
        <w:t>s</w:t>
      </w:r>
      <w:r w:rsidRPr="00A8152F">
        <w:rPr>
          <w:rFonts w:ascii="Arial" w:hAnsi="Arial" w:cs="Arial"/>
          <w:bCs/>
          <w:iCs/>
          <w:sz w:val="24"/>
          <w:szCs w:val="24"/>
        </w:rPr>
        <w:t xml:space="preserve">, with </w:t>
      </w:r>
      <w:r w:rsidR="00114382" w:rsidRPr="00A8152F">
        <w:rPr>
          <w:rFonts w:ascii="Arial" w:hAnsi="Arial" w:cs="Arial"/>
          <w:bCs/>
          <w:iCs/>
          <w:sz w:val="24"/>
          <w:szCs w:val="24"/>
        </w:rPr>
        <w:t>seven</w:t>
      </w:r>
      <w:r w:rsidRPr="00A8152F">
        <w:rPr>
          <w:rFonts w:ascii="Arial" w:hAnsi="Arial" w:cs="Arial"/>
          <w:bCs/>
          <w:iCs/>
          <w:sz w:val="24"/>
          <w:szCs w:val="24"/>
        </w:rPr>
        <w:t xml:space="preserve"> more in the pipeline</w:t>
      </w:r>
      <w:r w:rsidR="00A51F8C" w:rsidRPr="00A8152F">
        <w:rPr>
          <w:rFonts w:ascii="Arial" w:hAnsi="Arial" w:cs="Arial"/>
          <w:bCs/>
          <w:iCs/>
          <w:sz w:val="24"/>
          <w:szCs w:val="24"/>
        </w:rPr>
        <w:t xml:space="preserve"> </w:t>
      </w:r>
    </w:p>
    <w:p w14:paraId="2ADB7BD8" w14:textId="59B5B4B7" w:rsidR="00290664" w:rsidRPr="00A8152F" w:rsidRDefault="0009696D" w:rsidP="00D00FAC">
      <w:pPr>
        <w:pStyle w:val="ListParagraph"/>
        <w:numPr>
          <w:ilvl w:val="0"/>
          <w:numId w:val="4"/>
        </w:numPr>
        <w:spacing w:line="240" w:lineRule="auto"/>
        <w:ind w:left="1434" w:hanging="357"/>
        <w:rPr>
          <w:rFonts w:ascii="Arial" w:hAnsi="Arial" w:cs="Arial"/>
          <w:bCs/>
          <w:iCs/>
          <w:sz w:val="24"/>
          <w:szCs w:val="24"/>
        </w:rPr>
      </w:pPr>
      <w:r w:rsidRPr="00A8152F">
        <w:rPr>
          <w:rFonts w:ascii="Arial" w:hAnsi="Arial" w:cs="Arial"/>
          <w:bCs/>
          <w:iCs/>
          <w:sz w:val="24"/>
          <w:szCs w:val="24"/>
        </w:rPr>
        <w:t xml:space="preserve">European consumers currently spending an average of </w:t>
      </w:r>
      <w:r w:rsidR="00632A79" w:rsidRPr="00A8152F">
        <w:rPr>
          <w:rFonts w:ascii="Arial" w:hAnsi="Arial" w:cs="Arial"/>
          <w:bCs/>
          <w:iCs/>
          <w:sz w:val="24"/>
          <w:szCs w:val="24"/>
        </w:rPr>
        <w:t xml:space="preserve"> </w:t>
      </w:r>
      <w:r w:rsidR="00E34C93" w:rsidRPr="00A8152F">
        <w:rPr>
          <w:rFonts w:ascii="Arial" w:hAnsi="Arial" w:cs="Arial"/>
          <w:bCs/>
          <w:iCs/>
          <w:sz w:val="24"/>
          <w:szCs w:val="24"/>
        </w:rPr>
        <w:t xml:space="preserve">€9 </w:t>
      </w:r>
      <w:r w:rsidR="003532A8" w:rsidRPr="00A8152F">
        <w:rPr>
          <w:rFonts w:ascii="Arial" w:hAnsi="Arial" w:cs="Arial"/>
          <w:bCs/>
          <w:iCs/>
          <w:sz w:val="24"/>
          <w:szCs w:val="24"/>
        </w:rPr>
        <w:t>in face-to-face transactions</w:t>
      </w:r>
      <w:r w:rsidRPr="00A8152F">
        <w:rPr>
          <w:rFonts w:ascii="Arial" w:hAnsi="Arial" w:cs="Arial"/>
          <w:bCs/>
          <w:iCs/>
          <w:sz w:val="24"/>
          <w:szCs w:val="24"/>
        </w:rPr>
        <w:t xml:space="preserve"> </w:t>
      </w:r>
      <w:r w:rsidR="003532A8" w:rsidRPr="00A8152F">
        <w:rPr>
          <w:rFonts w:ascii="Arial" w:hAnsi="Arial" w:cs="Arial"/>
          <w:bCs/>
          <w:iCs/>
          <w:sz w:val="24"/>
          <w:szCs w:val="24"/>
        </w:rPr>
        <w:t xml:space="preserve">when they use their mobile device to pay </w:t>
      </w:r>
    </w:p>
    <w:p w14:paraId="412AE8CE" w14:textId="777CB171" w:rsidR="00881C25" w:rsidRPr="00A8152F" w:rsidRDefault="006A18E3" w:rsidP="00D00FAC">
      <w:pPr>
        <w:pStyle w:val="ListParagraph"/>
        <w:numPr>
          <w:ilvl w:val="0"/>
          <w:numId w:val="4"/>
        </w:numPr>
        <w:spacing w:line="240" w:lineRule="auto"/>
        <w:ind w:left="1434" w:hanging="357"/>
        <w:rPr>
          <w:rFonts w:ascii="Arial" w:hAnsi="Arial" w:cs="Arial"/>
          <w:bCs/>
          <w:iCs/>
          <w:sz w:val="24"/>
          <w:szCs w:val="24"/>
        </w:rPr>
      </w:pPr>
      <w:r w:rsidRPr="00A8152F">
        <w:rPr>
          <w:rFonts w:ascii="Arial" w:hAnsi="Arial" w:cs="Arial"/>
          <w:bCs/>
          <w:iCs/>
          <w:sz w:val="24"/>
          <w:szCs w:val="24"/>
        </w:rPr>
        <w:t xml:space="preserve">More than </w:t>
      </w:r>
      <w:r w:rsidR="003532A8" w:rsidRPr="00A8152F">
        <w:rPr>
          <w:rFonts w:ascii="Arial" w:hAnsi="Arial" w:cs="Arial"/>
          <w:bCs/>
          <w:iCs/>
          <w:sz w:val="24"/>
          <w:szCs w:val="24"/>
        </w:rPr>
        <w:t xml:space="preserve">1.2 million European merchants offer contactless point-of-sale, </w:t>
      </w:r>
      <w:r w:rsidRPr="00A8152F">
        <w:rPr>
          <w:rFonts w:ascii="Arial" w:hAnsi="Arial" w:cs="Arial"/>
          <w:bCs/>
          <w:iCs/>
          <w:sz w:val="24"/>
          <w:szCs w:val="24"/>
        </w:rPr>
        <w:t>driving uptake in mobile payments</w:t>
      </w:r>
    </w:p>
    <w:p w14:paraId="263210C9" w14:textId="77777777" w:rsidR="008179C9" w:rsidRPr="00A8152F" w:rsidRDefault="008179C9" w:rsidP="008179C9">
      <w:pPr>
        <w:pStyle w:val="ListParagraph"/>
        <w:spacing w:after="0" w:line="240" w:lineRule="auto"/>
        <w:ind w:left="1440"/>
        <w:rPr>
          <w:rFonts w:ascii="Arial" w:hAnsi="Arial" w:cs="Arial"/>
          <w:bCs/>
          <w:iCs/>
          <w:sz w:val="24"/>
          <w:szCs w:val="24"/>
        </w:rPr>
      </w:pPr>
    </w:p>
    <w:p w14:paraId="4786271B" w14:textId="73F19CED" w:rsidR="0009696D" w:rsidRPr="00A8152F" w:rsidRDefault="008169C3" w:rsidP="0015144C">
      <w:pPr>
        <w:pStyle w:val="ListParagraph"/>
        <w:spacing w:after="240"/>
        <w:ind w:left="0"/>
        <w:jc w:val="both"/>
        <w:rPr>
          <w:rFonts w:ascii="Arial" w:hAnsi="Arial" w:cs="Arial"/>
          <w:bCs/>
          <w:iCs/>
          <w:sz w:val="24"/>
          <w:szCs w:val="24"/>
        </w:rPr>
      </w:pPr>
      <w:r w:rsidRPr="00A8152F">
        <w:rPr>
          <w:rFonts w:ascii="Arial" w:hAnsi="Arial" w:cs="Arial"/>
          <w:b/>
          <w:sz w:val="24"/>
          <w:szCs w:val="24"/>
          <w:lang w:val="en-GB"/>
        </w:rPr>
        <w:t xml:space="preserve">London, </w:t>
      </w:r>
      <w:r w:rsidR="004C3110" w:rsidRPr="00A8152F">
        <w:rPr>
          <w:rFonts w:ascii="Arial" w:hAnsi="Arial" w:cs="Arial"/>
          <w:b/>
          <w:sz w:val="24"/>
          <w:szCs w:val="24"/>
          <w:lang w:val="en-GB"/>
        </w:rPr>
        <w:t>21 February 2017</w:t>
      </w:r>
      <w:r w:rsidRPr="00A8152F">
        <w:rPr>
          <w:rFonts w:ascii="Arial" w:hAnsi="Arial" w:cs="Arial"/>
          <w:b/>
          <w:sz w:val="24"/>
          <w:szCs w:val="24"/>
          <w:lang w:val="en-GB"/>
        </w:rPr>
        <w:t xml:space="preserve">: </w:t>
      </w:r>
      <w:r w:rsidR="007E74B9" w:rsidRPr="00A8152F">
        <w:rPr>
          <w:rFonts w:ascii="Arial" w:hAnsi="Arial" w:cs="Arial"/>
          <w:bCs/>
          <w:iCs/>
          <w:sz w:val="24"/>
          <w:szCs w:val="24"/>
        </w:rPr>
        <w:t>At the launch of its new Innovation Center in London today,</w:t>
      </w:r>
      <w:r w:rsidR="007E74B9" w:rsidRPr="00A8152F">
        <w:rPr>
          <w:rFonts w:ascii="Arial" w:hAnsi="Arial" w:cs="Arial"/>
          <w:sz w:val="24"/>
          <w:szCs w:val="24"/>
          <w:lang w:val="en-GB"/>
        </w:rPr>
        <w:t xml:space="preserve"> </w:t>
      </w:r>
      <w:r w:rsidRPr="00A8152F">
        <w:rPr>
          <w:rFonts w:ascii="Arial" w:hAnsi="Arial" w:cs="Arial"/>
          <w:sz w:val="24"/>
          <w:szCs w:val="24"/>
          <w:lang w:val="en-GB"/>
        </w:rPr>
        <w:t>Visa Inc. (NYSE: V)</w:t>
      </w:r>
      <w:r w:rsidRPr="00A8152F">
        <w:rPr>
          <w:rFonts w:ascii="Arial" w:hAnsi="Arial" w:cs="Arial"/>
          <w:bCs/>
          <w:iCs/>
          <w:sz w:val="24"/>
          <w:szCs w:val="24"/>
        </w:rPr>
        <w:t xml:space="preserve"> </w:t>
      </w:r>
      <w:r w:rsidR="004C3110" w:rsidRPr="00A8152F">
        <w:rPr>
          <w:rFonts w:ascii="Arial" w:hAnsi="Arial" w:cs="Arial"/>
          <w:bCs/>
          <w:iCs/>
          <w:sz w:val="24"/>
          <w:szCs w:val="24"/>
        </w:rPr>
        <w:t xml:space="preserve">announced </w:t>
      </w:r>
      <w:r w:rsidR="00881C25" w:rsidRPr="00A8152F">
        <w:rPr>
          <w:rFonts w:ascii="Arial" w:hAnsi="Arial" w:cs="Arial"/>
          <w:bCs/>
          <w:iCs/>
          <w:sz w:val="24"/>
          <w:szCs w:val="24"/>
        </w:rPr>
        <w:t>that</w:t>
      </w:r>
      <w:r w:rsidR="00151298" w:rsidRPr="00A8152F">
        <w:rPr>
          <w:rFonts w:ascii="Arial" w:hAnsi="Arial" w:cs="Arial"/>
          <w:bCs/>
          <w:iCs/>
          <w:sz w:val="24"/>
          <w:szCs w:val="24"/>
        </w:rPr>
        <w:t>, by the end of this year,</w:t>
      </w:r>
      <w:r w:rsidR="003532A8" w:rsidRPr="00A8152F">
        <w:rPr>
          <w:rFonts w:ascii="Arial" w:hAnsi="Arial" w:cs="Arial"/>
          <w:bCs/>
          <w:iCs/>
          <w:sz w:val="24"/>
          <w:szCs w:val="24"/>
        </w:rPr>
        <w:t xml:space="preserve"> more than 12</w:t>
      </w:r>
      <w:r w:rsidR="0009696D" w:rsidRPr="00A8152F">
        <w:rPr>
          <w:rFonts w:ascii="Arial" w:hAnsi="Arial" w:cs="Arial"/>
          <w:bCs/>
          <w:iCs/>
          <w:sz w:val="24"/>
          <w:szCs w:val="24"/>
        </w:rPr>
        <w:t xml:space="preserve"> European countries are adopting the Visa Token Service, a new technology that makes mobile </w:t>
      </w:r>
      <w:r w:rsidR="00A6538B" w:rsidRPr="00A8152F">
        <w:rPr>
          <w:rFonts w:ascii="Arial" w:hAnsi="Arial" w:cs="Arial"/>
          <w:bCs/>
          <w:iCs/>
          <w:sz w:val="24"/>
          <w:szCs w:val="24"/>
        </w:rPr>
        <w:t xml:space="preserve">and online </w:t>
      </w:r>
      <w:r w:rsidR="0009696D" w:rsidRPr="00A8152F">
        <w:rPr>
          <w:rFonts w:ascii="Arial" w:hAnsi="Arial" w:cs="Arial"/>
          <w:bCs/>
          <w:iCs/>
          <w:sz w:val="24"/>
          <w:szCs w:val="24"/>
        </w:rPr>
        <w:t xml:space="preserve">payments more </w:t>
      </w:r>
      <w:r w:rsidR="00936568" w:rsidRPr="00A8152F">
        <w:rPr>
          <w:rFonts w:ascii="Arial" w:hAnsi="Arial" w:cs="Arial"/>
          <w:bCs/>
          <w:iCs/>
          <w:sz w:val="24"/>
          <w:szCs w:val="24"/>
        </w:rPr>
        <w:t xml:space="preserve">secure </w:t>
      </w:r>
      <w:r w:rsidR="00D87728" w:rsidRPr="00A8152F">
        <w:rPr>
          <w:rFonts w:ascii="Arial" w:hAnsi="Arial" w:cs="Arial"/>
          <w:bCs/>
          <w:iCs/>
          <w:sz w:val="24"/>
          <w:szCs w:val="24"/>
        </w:rPr>
        <w:t xml:space="preserve">and convenient </w:t>
      </w:r>
      <w:r w:rsidR="00936568" w:rsidRPr="00A8152F">
        <w:rPr>
          <w:rFonts w:ascii="Arial" w:hAnsi="Arial" w:cs="Arial"/>
          <w:bCs/>
          <w:iCs/>
          <w:sz w:val="24"/>
          <w:szCs w:val="24"/>
        </w:rPr>
        <w:t>by</w:t>
      </w:r>
      <w:r w:rsidR="0009696D" w:rsidRPr="00A8152F">
        <w:rPr>
          <w:rFonts w:ascii="Arial" w:hAnsi="Arial" w:cs="Arial"/>
          <w:bCs/>
          <w:iCs/>
          <w:sz w:val="24"/>
          <w:szCs w:val="24"/>
        </w:rPr>
        <w:t xml:space="preserve"> replacing the consumer account information with a digital identifier</w:t>
      </w:r>
      <w:r w:rsidR="00156758" w:rsidRPr="00A8152F">
        <w:rPr>
          <w:rFonts w:ascii="Arial" w:hAnsi="Arial" w:cs="Arial"/>
          <w:bCs/>
          <w:iCs/>
          <w:sz w:val="24"/>
          <w:szCs w:val="24"/>
        </w:rPr>
        <w:t>.</w:t>
      </w:r>
    </w:p>
    <w:p w14:paraId="77DE7C21" w14:textId="3AFC648E" w:rsidR="00D84A06" w:rsidRPr="00A8152F" w:rsidRDefault="00D84A06" w:rsidP="0015144C">
      <w:pPr>
        <w:pStyle w:val="ListParagraph"/>
        <w:spacing w:after="240"/>
        <w:ind w:left="0"/>
        <w:jc w:val="both"/>
        <w:rPr>
          <w:rFonts w:ascii="Arial" w:hAnsi="Arial" w:cs="Arial"/>
          <w:bCs/>
          <w:iCs/>
          <w:sz w:val="24"/>
          <w:szCs w:val="24"/>
        </w:rPr>
      </w:pPr>
      <w:r w:rsidRPr="00A8152F">
        <w:rPr>
          <w:rFonts w:ascii="Arial" w:hAnsi="Arial" w:cs="Arial"/>
          <w:bCs/>
          <w:iCs/>
          <w:sz w:val="24"/>
          <w:szCs w:val="24"/>
        </w:rPr>
        <w:t xml:space="preserve">The technology is already </w:t>
      </w:r>
      <w:r w:rsidR="00692FA5" w:rsidRPr="00A8152F">
        <w:rPr>
          <w:rFonts w:ascii="Arial" w:hAnsi="Arial" w:cs="Arial"/>
          <w:bCs/>
          <w:iCs/>
          <w:sz w:val="24"/>
          <w:szCs w:val="24"/>
        </w:rPr>
        <w:t>supporting</w:t>
      </w:r>
      <w:r w:rsidRPr="00A8152F">
        <w:rPr>
          <w:rFonts w:ascii="Arial" w:hAnsi="Arial" w:cs="Arial"/>
          <w:bCs/>
          <w:iCs/>
          <w:sz w:val="24"/>
          <w:szCs w:val="24"/>
        </w:rPr>
        <w:t xml:space="preserve"> mobile payment schemes in </w:t>
      </w:r>
      <w:r w:rsidR="00362D63" w:rsidRPr="00A8152F">
        <w:rPr>
          <w:rFonts w:ascii="Arial" w:hAnsi="Arial" w:cs="Arial"/>
          <w:bCs/>
          <w:iCs/>
          <w:sz w:val="24"/>
          <w:szCs w:val="24"/>
        </w:rPr>
        <w:t xml:space="preserve">27 </w:t>
      </w:r>
      <w:r w:rsidRPr="00A8152F">
        <w:rPr>
          <w:rFonts w:ascii="Arial" w:hAnsi="Arial" w:cs="Arial"/>
          <w:bCs/>
          <w:iCs/>
          <w:sz w:val="24"/>
          <w:szCs w:val="24"/>
        </w:rPr>
        <w:t xml:space="preserve">countries worldwide, including </w:t>
      </w:r>
      <w:r w:rsidR="00555509" w:rsidRPr="00A8152F">
        <w:rPr>
          <w:rFonts w:ascii="Arial" w:hAnsi="Arial" w:cs="Arial"/>
          <w:bCs/>
          <w:iCs/>
          <w:sz w:val="24"/>
          <w:szCs w:val="24"/>
        </w:rPr>
        <w:t xml:space="preserve">in </w:t>
      </w:r>
      <w:r w:rsidRPr="00A8152F">
        <w:rPr>
          <w:rFonts w:ascii="Arial" w:hAnsi="Arial" w:cs="Arial"/>
          <w:bCs/>
          <w:iCs/>
          <w:sz w:val="24"/>
          <w:szCs w:val="24"/>
        </w:rPr>
        <w:t>France, Ireland, Poland, Switzerland and the UK</w:t>
      </w:r>
      <w:r w:rsidR="00E659EB" w:rsidRPr="00A8152F">
        <w:rPr>
          <w:rFonts w:ascii="Arial" w:hAnsi="Arial" w:cs="Arial"/>
          <w:bCs/>
          <w:iCs/>
          <w:sz w:val="24"/>
          <w:szCs w:val="24"/>
        </w:rPr>
        <w:t xml:space="preserve">, with more than </w:t>
      </w:r>
      <w:r w:rsidR="00362D63" w:rsidRPr="00A8152F">
        <w:rPr>
          <w:rFonts w:ascii="Arial" w:hAnsi="Arial" w:cs="Arial"/>
          <w:bCs/>
          <w:iCs/>
          <w:sz w:val="24"/>
          <w:szCs w:val="24"/>
        </w:rPr>
        <w:t>1,300 financial institution partners</w:t>
      </w:r>
      <w:r w:rsidR="00555509" w:rsidRPr="00A8152F">
        <w:rPr>
          <w:rFonts w:ascii="Arial" w:hAnsi="Arial" w:cs="Arial"/>
          <w:bCs/>
          <w:iCs/>
          <w:sz w:val="24"/>
          <w:szCs w:val="24"/>
        </w:rPr>
        <w:t xml:space="preserve">. </w:t>
      </w:r>
      <w:r w:rsidR="00936568" w:rsidRPr="00A8152F">
        <w:rPr>
          <w:rFonts w:ascii="Arial" w:hAnsi="Arial" w:cs="Arial"/>
          <w:bCs/>
          <w:iCs/>
          <w:sz w:val="24"/>
          <w:szCs w:val="24"/>
        </w:rPr>
        <w:t xml:space="preserve">Visa is working with its clients and partners to extend the use of the technology to more countries and to online payments. </w:t>
      </w:r>
    </w:p>
    <w:p w14:paraId="0ACA411A" w14:textId="78CE9292" w:rsidR="00A6538B" w:rsidRPr="00A8152F" w:rsidRDefault="00936568" w:rsidP="0015144C">
      <w:pPr>
        <w:pStyle w:val="ListParagraph"/>
        <w:spacing w:after="240"/>
        <w:ind w:left="0"/>
        <w:jc w:val="both"/>
        <w:rPr>
          <w:rFonts w:ascii="Arial" w:hAnsi="Arial" w:cs="Arial"/>
          <w:bCs/>
          <w:iCs/>
          <w:sz w:val="24"/>
          <w:szCs w:val="24"/>
        </w:rPr>
      </w:pPr>
      <w:r w:rsidRPr="00A8152F">
        <w:rPr>
          <w:rFonts w:ascii="Arial" w:hAnsi="Arial" w:cs="Arial"/>
          <w:bCs/>
          <w:iCs/>
          <w:sz w:val="24"/>
          <w:szCs w:val="24"/>
        </w:rPr>
        <w:t>Pioneered by Visa in 201</w:t>
      </w:r>
      <w:r w:rsidR="00151298" w:rsidRPr="00A8152F">
        <w:rPr>
          <w:rFonts w:ascii="Arial" w:hAnsi="Arial" w:cs="Arial"/>
          <w:bCs/>
          <w:iCs/>
          <w:sz w:val="24"/>
          <w:szCs w:val="24"/>
        </w:rPr>
        <w:t>4</w:t>
      </w:r>
      <w:r w:rsidRPr="00A8152F">
        <w:rPr>
          <w:rFonts w:ascii="Arial" w:hAnsi="Arial" w:cs="Arial"/>
          <w:bCs/>
          <w:iCs/>
          <w:sz w:val="24"/>
          <w:szCs w:val="24"/>
        </w:rPr>
        <w:t xml:space="preserve">, the Visa Token Service is the technology that underpins popular mobile payment services including Apple Pay and Android Pay, </w:t>
      </w:r>
      <w:r w:rsidR="00D87728" w:rsidRPr="00A8152F">
        <w:rPr>
          <w:rFonts w:ascii="Arial" w:hAnsi="Arial" w:cs="Arial"/>
          <w:bCs/>
          <w:iCs/>
          <w:sz w:val="24"/>
          <w:szCs w:val="24"/>
        </w:rPr>
        <w:t>providing</w:t>
      </w:r>
      <w:r w:rsidRPr="00A8152F">
        <w:rPr>
          <w:rFonts w:ascii="Arial" w:hAnsi="Arial" w:cs="Arial"/>
          <w:bCs/>
          <w:iCs/>
          <w:sz w:val="24"/>
          <w:szCs w:val="24"/>
        </w:rPr>
        <w:t xml:space="preserve"> </w:t>
      </w:r>
      <w:r w:rsidR="002E5C82" w:rsidRPr="00A8152F">
        <w:rPr>
          <w:rFonts w:ascii="Arial" w:hAnsi="Arial" w:cs="Arial"/>
          <w:bCs/>
          <w:iCs/>
          <w:sz w:val="24"/>
          <w:szCs w:val="24"/>
        </w:rPr>
        <w:t>consumers</w:t>
      </w:r>
      <w:r w:rsidRPr="00A8152F">
        <w:rPr>
          <w:rFonts w:ascii="Arial" w:hAnsi="Arial" w:cs="Arial"/>
          <w:bCs/>
          <w:iCs/>
          <w:sz w:val="24"/>
          <w:szCs w:val="24"/>
        </w:rPr>
        <w:t xml:space="preserve"> a secure way </w:t>
      </w:r>
      <w:r w:rsidR="004F62CB" w:rsidRPr="00A8152F">
        <w:rPr>
          <w:rFonts w:ascii="Arial" w:hAnsi="Arial" w:cs="Arial"/>
          <w:bCs/>
          <w:iCs/>
          <w:sz w:val="24"/>
          <w:szCs w:val="24"/>
        </w:rPr>
        <w:t xml:space="preserve">to </w:t>
      </w:r>
      <w:r w:rsidRPr="00A8152F">
        <w:rPr>
          <w:rFonts w:ascii="Arial" w:hAnsi="Arial" w:cs="Arial"/>
          <w:bCs/>
          <w:iCs/>
          <w:sz w:val="24"/>
          <w:szCs w:val="24"/>
        </w:rPr>
        <w:t>load</w:t>
      </w:r>
      <w:r w:rsidR="004F62CB" w:rsidRPr="00A8152F">
        <w:rPr>
          <w:rFonts w:ascii="Arial" w:hAnsi="Arial" w:cs="Arial"/>
          <w:bCs/>
          <w:iCs/>
          <w:sz w:val="24"/>
          <w:szCs w:val="24"/>
        </w:rPr>
        <w:t xml:space="preserve"> and access their payment account on a mobile device</w:t>
      </w:r>
      <w:r w:rsidRPr="00A8152F">
        <w:rPr>
          <w:rFonts w:ascii="Arial" w:hAnsi="Arial" w:cs="Arial"/>
          <w:bCs/>
          <w:iCs/>
          <w:sz w:val="24"/>
          <w:szCs w:val="24"/>
        </w:rPr>
        <w:t xml:space="preserve">.  </w:t>
      </w:r>
      <w:r w:rsidR="002E5C82" w:rsidRPr="00A8152F">
        <w:rPr>
          <w:rFonts w:ascii="Arial" w:hAnsi="Arial" w:cs="Arial"/>
          <w:bCs/>
          <w:iCs/>
          <w:sz w:val="24"/>
          <w:szCs w:val="24"/>
        </w:rPr>
        <w:t>The technology</w:t>
      </w:r>
      <w:r w:rsidRPr="00A8152F">
        <w:rPr>
          <w:rFonts w:ascii="Arial" w:hAnsi="Arial" w:cs="Arial"/>
          <w:bCs/>
          <w:iCs/>
          <w:sz w:val="24"/>
          <w:szCs w:val="24"/>
        </w:rPr>
        <w:t xml:space="preserve"> sits at the heart of Visa’s </w:t>
      </w:r>
      <w:proofErr w:type="spellStart"/>
      <w:r w:rsidR="00C14855" w:rsidRPr="00A8152F">
        <w:rPr>
          <w:rFonts w:ascii="Arial" w:hAnsi="Arial" w:cs="Arial"/>
          <w:bCs/>
          <w:iCs/>
          <w:sz w:val="24"/>
          <w:szCs w:val="24"/>
        </w:rPr>
        <w:t>Io</w:t>
      </w:r>
      <w:r w:rsidR="004F62CB" w:rsidRPr="00A8152F">
        <w:rPr>
          <w:rFonts w:ascii="Arial" w:hAnsi="Arial" w:cs="Arial"/>
          <w:bCs/>
          <w:iCs/>
          <w:sz w:val="24"/>
          <w:szCs w:val="24"/>
        </w:rPr>
        <w:t>T</w:t>
      </w:r>
      <w:proofErr w:type="spellEnd"/>
      <w:r w:rsidR="004F62CB" w:rsidRPr="00A8152F">
        <w:rPr>
          <w:rFonts w:ascii="Arial" w:hAnsi="Arial" w:cs="Arial"/>
          <w:bCs/>
          <w:iCs/>
          <w:sz w:val="24"/>
          <w:szCs w:val="24"/>
        </w:rPr>
        <w:t xml:space="preserve"> (Internet of Things) </w:t>
      </w:r>
      <w:r w:rsidRPr="00A8152F">
        <w:rPr>
          <w:rFonts w:ascii="Arial" w:hAnsi="Arial" w:cs="Arial"/>
          <w:bCs/>
          <w:iCs/>
          <w:sz w:val="24"/>
          <w:szCs w:val="24"/>
        </w:rPr>
        <w:t>vision</w:t>
      </w:r>
      <w:r w:rsidR="004F62CB" w:rsidRPr="00A8152F">
        <w:rPr>
          <w:rFonts w:ascii="Arial" w:hAnsi="Arial" w:cs="Arial"/>
          <w:bCs/>
          <w:iCs/>
          <w:sz w:val="24"/>
          <w:szCs w:val="24"/>
        </w:rPr>
        <w:t>, enabling</w:t>
      </w:r>
      <w:r w:rsidRPr="00A8152F">
        <w:rPr>
          <w:rFonts w:ascii="Arial" w:hAnsi="Arial" w:cs="Arial"/>
          <w:bCs/>
          <w:iCs/>
          <w:sz w:val="24"/>
          <w:szCs w:val="24"/>
        </w:rPr>
        <w:t xml:space="preserve"> </w:t>
      </w:r>
      <w:r w:rsidR="004F62CB" w:rsidRPr="00A8152F">
        <w:rPr>
          <w:rFonts w:ascii="Arial" w:hAnsi="Arial" w:cs="Arial"/>
          <w:bCs/>
          <w:iCs/>
          <w:sz w:val="24"/>
          <w:szCs w:val="24"/>
        </w:rPr>
        <w:t>secure</w:t>
      </w:r>
      <w:r w:rsidRPr="00A8152F">
        <w:rPr>
          <w:rFonts w:ascii="Arial" w:hAnsi="Arial" w:cs="Arial"/>
          <w:bCs/>
          <w:iCs/>
          <w:sz w:val="24"/>
          <w:szCs w:val="24"/>
        </w:rPr>
        <w:t xml:space="preserve"> </w:t>
      </w:r>
      <w:r w:rsidR="004F62CB" w:rsidRPr="00A8152F">
        <w:rPr>
          <w:rFonts w:ascii="Arial" w:hAnsi="Arial" w:cs="Arial"/>
          <w:bCs/>
          <w:iCs/>
          <w:sz w:val="24"/>
          <w:szCs w:val="24"/>
        </w:rPr>
        <w:t xml:space="preserve">and convenient </w:t>
      </w:r>
      <w:r w:rsidRPr="00A8152F">
        <w:rPr>
          <w:rFonts w:ascii="Arial" w:hAnsi="Arial" w:cs="Arial"/>
          <w:bCs/>
          <w:iCs/>
          <w:sz w:val="24"/>
          <w:szCs w:val="24"/>
        </w:rPr>
        <w:t>commerce on any connected</w:t>
      </w:r>
      <w:r w:rsidR="004F62CB" w:rsidRPr="00A8152F">
        <w:rPr>
          <w:rFonts w:ascii="Arial" w:hAnsi="Arial" w:cs="Arial"/>
          <w:bCs/>
          <w:iCs/>
          <w:sz w:val="24"/>
          <w:szCs w:val="24"/>
        </w:rPr>
        <w:t xml:space="preserve"> device, such as phones, tablets, wearable devices, e</w:t>
      </w:r>
      <w:r w:rsidR="00B06D7E" w:rsidRPr="00A8152F">
        <w:rPr>
          <w:rFonts w:ascii="Arial" w:hAnsi="Arial" w:cs="Arial"/>
          <w:bCs/>
          <w:iCs/>
          <w:sz w:val="24"/>
          <w:szCs w:val="24"/>
        </w:rPr>
        <w:t>ven automobiles and appliances.</w:t>
      </w:r>
    </w:p>
    <w:p w14:paraId="382242D2" w14:textId="6B86FC22" w:rsidR="003560AC" w:rsidRPr="00A8152F" w:rsidRDefault="003560AC" w:rsidP="003560AC">
      <w:pPr>
        <w:pStyle w:val="ListParagraph"/>
        <w:spacing w:after="240"/>
        <w:ind w:left="0"/>
        <w:jc w:val="both"/>
        <w:rPr>
          <w:rFonts w:ascii="Arial" w:hAnsi="Arial" w:cs="Arial"/>
          <w:b/>
          <w:bCs/>
          <w:iCs/>
          <w:sz w:val="24"/>
          <w:szCs w:val="24"/>
          <w:lang w:val="pt-PT"/>
        </w:rPr>
      </w:pPr>
      <w:r w:rsidRPr="00A8152F">
        <w:rPr>
          <w:rFonts w:ascii="Arial" w:hAnsi="Arial" w:cs="Arial"/>
          <w:b/>
          <w:bCs/>
          <w:iCs/>
          <w:sz w:val="24"/>
          <w:szCs w:val="24"/>
          <w:lang w:val="pt-PT"/>
        </w:rPr>
        <w:t xml:space="preserve">Sandra Alzetta, Executive Director </w:t>
      </w:r>
      <w:r w:rsidR="00151298" w:rsidRPr="00A8152F">
        <w:rPr>
          <w:rFonts w:ascii="Arial" w:hAnsi="Arial" w:cs="Arial"/>
          <w:b/>
          <w:bCs/>
          <w:iCs/>
          <w:sz w:val="24"/>
          <w:szCs w:val="24"/>
          <w:lang w:val="pt-PT"/>
        </w:rPr>
        <w:t>Digital Solutions</w:t>
      </w:r>
      <w:r w:rsidRPr="00A8152F">
        <w:rPr>
          <w:rFonts w:ascii="Arial" w:hAnsi="Arial" w:cs="Arial"/>
          <w:b/>
          <w:bCs/>
          <w:iCs/>
          <w:sz w:val="24"/>
          <w:szCs w:val="24"/>
          <w:lang w:val="pt-PT"/>
        </w:rPr>
        <w:t xml:space="preserve"> for Visa: </w:t>
      </w:r>
    </w:p>
    <w:p w14:paraId="156A4A8F" w14:textId="18790815" w:rsidR="003560AC" w:rsidRPr="00A8152F" w:rsidRDefault="003560AC" w:rsidP="003560AC">
      <w:pPr>
        <w:pStyle w:val="ListParagraph"/>
        <w:spacing w:after="240"/>
        <w:ind w:left="0"/>
        <w:jc w:val="both"/>
        <w:rPr>
          <w:rFonts w:ascii="Arial" w:hAnsi="Arial" w:cs="Arial"/>
          <w:bCs/>
          <w:iCs/>
          <w:sz w:val="24"/>
          <w:szCs w:val="24"/>
        </w:rPr>
      </w:pPr>
      <w:r w:rsidRPr="00A8152F">
        <w:rPr>
          <w:rFonts w:ascii="Arial" w:hAnsi="Arial" w:cs="Arial"/>
          <w:bCs/>
          <w:iCs/>
          <w:sz w:val="24"/>
          <w:szCs w:val="24"/>
        </w:rPr>
        <w:t>“Since 2015, we have seen people throughout Europe embrace mobile payments. Next on Visa’s horizon is expanding our token service to give merchants an easy way to safely store the customer account information they keep on file</w:t>
      </w:r>
      <w:r w:rsidR="00704CE9" w:rsidRPr="00A8152F">
        <w:rPr>
          <w:rFonts w:ascii="Arial" w:hAnsi="Arial" w:cs="Arial"/>
          <w:bCs/>
          <w:iCs/>
          <w:sz w:val="24"/>
          <w:szCs w:val="24"/>
        </w:rPr>
        <w:t xml:space="preserve"> and enabling secure commerce with a broad range of connected devices.”</w:t>
      </w:r>
    </w:p>
    <w:p w14:paraId="0D23F95E" w14:textId="77777777" w:rsidR="003560AC" w:rsidRPr="00A8152F" w:rsidRDefault="003560AC" w:rsidP="0015144C">
      <w:pPr>
        <w:pStyle w:val="ListParagraph"/>
        <w:spacing w:after="240"/>
        <w:ind w:left="0"/>
        <w:jc w:val="both"/>
        <w:rPr>
          <w:rFonts w:ascii="Arial" w:hAnsi="Arial" w:cs="Arial"/>
          <w:bCs/>
          <w:iCs/>
          <w:sz w:val="24"/>
          <w:szCs w:val="24"/>
        </w:rPr>
      </w:pPr>
    </w:p>
    <w:p w14:paraId="1B900A5A" w14:textId="253A5701" w:rsidR="00AE4D13" w:rsidRPr="00A8152F" w:rsidRDefault="003560AC" w:rsidP="0015144C">
      <w:pPr>
        <w:pStyle w:val="ListParagraph"/>
        <w:spacing w:after="240"/>
        <w:ind w:left="0"/>
        <w:jc w:val="both"/>
        <w:rPr>
          <w:rFonts w:ascii="Arial" w:hAnsi="Arial" w:cs="Arial"/>
          <w:b/>
          <w:bCs/>
          <w:iCs/>
          <w:sz w:val="24"/>
          <w:szCs w:val="24"/>
        </w:rPr>
      </w:pPr>
      <w:r w:rsidRPr="00A8152F">
        <w:rPr>
          <w:rFonts w:ascii="Arial" w:hAnsi="Arial" w:cs="Arial"/>
          <w:b/>
          <w:bCs/>
          <w:iCs/>
          <w:sz w:val="24"/>
          <w:szCs w:val="24"/>
        </w:rPr>
        <w:t xml:space="preserve">Key Growth Drivers for Mobile Payments </w:t>
      </w:r>
      <w:r w:rsidR="00704CE9" w:rsidRPr="00A8152F">
        <w:rPr>
          <w:rFonts w:ascii="Arial" w:hAnsi="Arial" w:cs="Arial"/>
          <w:b/>
          <w:bCs/>
          <w:iCs/>
          <w:sz w:val="24"/>
          <w:szCs w:val="24"/>
        </w:rPr>
        <w:t>in Europe</w:t>
      </w:r>
    </w:p>
    <w:p w14:paraId="4665067E" w14:textId="5AE0D6B3" w:rsidR="00063F8F" w:rsidRPr="00A8152F" w:rsidRDefault="00CC14EE" w:rsidP="00063F8F">
      <w:pPr>
        <w:spacing w:after="240"/>
        <w:jc w:val="both"/>
        <w:rPr>
          <w:rFonts w:ascii="Arial" w:hAnsi="Arial" w:cs="Arial"/>
          <w:bCs/>
          <w:iCs/>
          <w:sz w:val="24"/>
          <w:szCs w:val="24"/>
        </w:rPr>
      </w:pPr>
      <w:r w:rsidRPr="00A8152F">
        <w:rPr>
          <w:rFonts w:ascii="Arial" w:hAnsi="Arial" w:cs="Arial"/>
          <w:bCs/>
          <w:iCs/>
          <w:sz w:val="24"/>
          <w:szCs w:val="24"/>
        </w:rPr>
        <w:t xml:space="preserve">Security, convenience, and an increase of retail locations equipped with contactless payment terminals are key factors driving the adoption of mobile payments across Europe. </w:t>
      </w:r>
      <w:r w:rsidR="00C17344" w:rsidRPr="00A8152F">
        <w:rPr>
          <w:rFonts w:ascii="Arial" w:hAnsi="Arial" w:cs="Arial"/>
          <w:bCs/>
          <w:iCs/>
          <w:sz w:val="24"/>
          <w:szCs w:val="24"/>
        </w:rPr>
        <w:t xml:space="preserve">Visa’s </w:t>
      </w:r>
      <w:r w:rsidR="00704CE9" w:rsidRPr="00A8152F">
        <w:rPr>
          <w:rFonts w:ascii="Arial" w:hAnsi="Arial" w:cs="Arial"/>
          <w:bCs/>
          <w:iCs/>
          <w:sz w:val="24"/>
          <w:szCs w:val="24"/>
        </w:rPr>
        <w:t xml:space="preserve">token service </w:t>
      </w:r>
      <w:r w:rsidR="00C17344" w:rsidRPr="00A8152F">
        <w:rPr>
          <w:rFonts w:ascii="Arial" w:hAnsi="Arial" w:cs="Arial"/>
          <w:bCs/>
          <w:iCs/>
          <w:sz w:val="24"/>
          <w:szCs w:val="24"/>
        </w:rPr>
        <w:t xml:space="preserve">technology is </w:t>
      </w:r>
      <w:r w:rsidR="00574446" w:rsidRPr="00A8152F">
        <w:rPr>
          <w:rFonts w:ascii="Arial" w:hAnsi="Arial" w:cs="Arial"/>
          <w:bCs/>
          <w:iCs/>
          <w:sz w:val="24"/>
          <w:szCs w:val="24"/>
        </w:rPr>
        <w:t>providing consumers with peace of mind when shopping with mobi</w:t>
      </w:r>
      <w:bookmarkStart w:id="0" w:name="_GoBack"/>
      <w:bookmarkEnd w:id="0"/>
      <w:r w:rsidR="00574446" w:rsidRPr="00A8152F">
        <w:rPr>
          <w:rFonts w:ascii="Arial" w:hAnsi="Arial" w:cs="Arial"/>
          <w:bCs/>
          <w:iCs/>
          <w:sz w:val="24"/>
          <w:szCs w:val="24"/>
        </w:rPr>
        <w:t>le devices, offering</w:t>
      </w:r>
      <w:r w:rsidR="00C17344" w:rsidRPr="00A8152F">
        <w:rPr>
          <w:rFonts w:ascii="Arial" w:hAnsi="Arial" w:cs="Arial"/>
          <w:bCs/>
          <w:iCs/>
          <w:sz w:val="24"/>
          <w:szCs w:val="24"/>
        </w:rPr>
        <w:t xml:space="preserve"> a seamless purchas</w:t>
      </w:r>
      <w:r w:rsidR="009A15F4" w:rsidRPr="00A8152F">
        <w:rPr>
          <w:rFonts w:ascii="Arial" w:hAnsi="Arial" w:cs="Arial"/>
          <w:bCs/>
          <w:iCs/>
          <w:sz w:val="24"/>
          <w:szCs w:val="24"/>
        </w:rPr>
        <w:t>ing</w:t>
      </w:r>
      <w:r w:rsidR="00C17344" w:rsidRPr="00A8152F">
        <w:rPr>
          <w:rFonts w:ascii="Arial" w:hAnsi="Arial" w:cs="Arial"/>
          <w:bCs/>
          <w:iCs/>
          <w:sz w:val="24"/>
          <w:szCs w:val="24"/>
        </w:rPr>
        <w:t xml:space="preserve"> experience </w:t>
      </w:r>
      <w:r w:rsidR="00574446" w:rsidRPr="00A8152F">
        <w:rPr>
          <w:rFonts w:ascii="Arial" w:hAnsi="Arial" w:cs="Arial"/>
          <w:bCs/>
          <w:iCs/>
          <w:sz w:val="24"/>
          <w:szCs w:val="24"/>
        </w:rPr>
        <w:t xml:space="preserve">for every day purchases </w:t>
      </w:r>
      <w:r w:rsidR="0002356E" w:rsidRPr="00A8152F">
        <w:rPr>
          <w:rFonts w:ascii="Arial" w:hAnsi="Arial" w:cs="Arial"/>
          <w:bCs/>
          <w:iCs/>
          <w:sz w:val="24"/>
          <w:szCs w:val="24"/>
        </w:rPr>
        <w:t xml:space="preserve">from </w:t>
      </w:r>
      <w:r w:rsidR="00F5029D" w:rsidRPr="00A8152F">
        <w:rPr>
          <w:rFonts w:ascii="Arial" w:hAnsi="Arial" w:cs="Arial"/>
          <w:bCs/>
          <w:iCs/>
          <w:sz w:val="24"/>
          <w:szCs w:val="24"/>
        </w:rPr>
        <w:t xml:space="preserve">commuting to their morning coffee </w:t>
      </w:r>
      <w:r w:rsidR="00AD4D2C" w:rsidRPr="00A8152F">
        <w:rPr>
          <w:rFonts w:ascii="Arial" w:hAnsi="Arial" w:cs="Arial"/>
          <w:bCs/>
          <w:iCs/>
          <w:sz w:val="24"/>
          <w:szCs w:val="24"/>
        </w:rPr>
        <w:t>and</w:t>
      </w:r>
      <w:r w:rsidR="00F5029D" w:rsidRPr="00A8152F">
        <w:rPr>
          <w:rFonts w:ascii="Arial" w:hAnsi="Arial" w:cs="Arial"/>
          <w:bCs/>
          <w:iCs/>
          <w:sz w:val="24"/>
          <w:szCs w:val="24"/>
        </w:rPr>
        <w:t xml:space="preserve"> entertainment.</w:t>
      </w:r>
      <w:r w:rsidR="000138CB" w:rsidRPr="00A8152F">
        <w:rPr>
          <w:rFonts w:ascii="Arial" w:hAnsi="Arial" w:cs="Arial"/>
          <w:bCs/>
          <w:iCs/>
          <w:sz w:val="24"/>
          <w:szCs w:val="24"/>
        </w:rPr>
        <w:t xml:space="preserve"> </w:t>
      </w:r>
      <w:r w:rsidR="00462F7C" w:rsidRPr="00A8152F">
        <w:rPr>
          <w:rFonts w:ascii="Arial" w:hAnsi="Arial" w:cs="Arial"/>
          <w:bCs/>
          <w:iCs/>
          <w:sz w:val="24"/>
          <w:szCs w:val="24"/>
        </w:rPr>
        <w:t xml:space="preserve">In addition, European merchants are </w:t>
      </w:r>
      <w:r w:rsidR="00882818" w:rsidRPr="00A8152F">
        <w:rPr>
          <w:rFonts w:ascii="Arial" w:hAnsi="Arial" w:cs="Arial"/>
          <w:bCs/>
          <w:iCs/>
          <w:sz w:val="24"/>
          <w:szCs w:val="24"/>
        </w:rPr>
        <w:t xml:space="preserve">increasingly </w:t>
      </w:r>
      <w:r w:rsidR="00462F7C" w:rsidRPr="00A8152F">
        <w:rPr>
          <w:rFonts w:ascii="Arial" w:hAnsi="Arial" w:cs="Arial"/>
          <w:bCs/>
          <w:iCs/>
          <w:sz w:val="24"/>
          <w:szCs w:val="24"/>
        </w:rPr>
        <w:t xml:space="preserve">installing </w:t>
      </w:r>
      <w:r w:rsidR="003560AC" w:rsidRPr="00A8152F">
        <w:rPr>
          <w:rFonts w:ascii="Arial" w:hAnsi="Arial" w:cs="Arial"/>
          <w:bCs/>
          <w:iCs/>
          <w:sz w:val="24"/>
          <w:szCs w:val="24"/>
        </w:rPr>
        <w:t>new technology that supports payment</w:t>
      </w:r>
      <w:r w:rsidR="00882818" w:rsidRPr="00A8152F">
        <w:rPr>
          <w:rFonts w:ascii="Arial" w:hAnsi="Arial" w:cs="Arial"/>
          <w:bCs/>
          <w:iCs/>
          <w:sz w:val="24"/>
          <w:szCs w:val="24"/>
        </w:rPr>
        <w:t>s</w:t>
      </w:r>
      <w:r w:rsidR="003560AC" w:rsidRPr="00A8152F">
        <w:rPr>
          <w:rFonts w:ascii="Arial" w:hAnsi="Arial" w:cs="Arial"/>
          <w:bCs/>
          <w:iCs/>
          <w:sz w:val="24"/>
          <w:szCs w:val="24"/>
        </w:rPr>
        <w:t xml:space="preserve"> with</w:t>
      </w:r>
      <w:r w:rsidR="00462F7C" w:rsidRPr="00A8152F">
        <w:rPr>
          <w:rFonts w:ascii="Arial" w:hAnsi="Arial" w:cs="Arial"/>
          <w:bCs/>
          <w:iCs/>
          <w:sz w:val="24"/>
          <w:szCs w:val="24"/>
        </w:rPr>
        <w:t xml:space="preserve"> both cards and </w:t>
      </w:r>
      <w:r w:rsidR="004A57C5" w:rsidRPr="00A8152F">
        <w:rPr>
          <w:rFonts w:ascii="Arial" w:hAnsi="Arial" w:cs="Arial"/>
          <w:bCs/>
          <w:iCs/>
          <w:sz w:val="24"/>
          <w:szCs w:val="24"/>
        </w:rPr>
        <w:t>mob</w:t>
      </w:r>
      <w:r w:rsidR="00585EDA" w:rsidRPr="00A8152F">
        <w:rPr>
          <w:rFonts w:ascii="Arial" w:hAnsi="Arial" w:cs="Arial"/>
          <w:bCs/>
          <w:iCs/>
          <w:sz w:val="24"/>
          <w:szCs w:val="24"/>
        </w:rPr>
        <w:t xml:space="preserve">ile (NFC) devices. </w:t>
      </w:r>
    </w:p>
    <w:p w14:paraId="728408FA" w14:textId="6848A814" w:rsidR="00D4590D" w:rsidRPr="00A8152F" w:rsidRDefault="00574446" w:rsidP="00063F8F">
      <w:pPr>
        <w:pStyle w:val="ListParagraph"/>
        <w:numPr>
          <w:ilvl w:val="0"/>
          <w:numId w:val="6"/>
        </w:numPr>
        <w:spacing w:after="240"/>
        <w:jc w:val="both"/>
        <w:rPr>
          <w:rFonts w:ascii="Arial" w:hAnsi="Arial" w:cs="Arial"/>
          <w:bCs/>
          <w:iCs/>
          <w:sz w:val="24"/>
          <w:szCs w:val="24"/>
        </w:rPr>
      </w:pPr>
      <w:r w:rsidRPr="00A8152F">
        <w:rPr>
          <w:rFonts w:ascii="Arial" w:hAnsi="Arial" w:cs="Arial"/>
          <w:bCs/>
          <w:iCs/>
          <w:sz w:val="24"/>
          <w:szCs w:val="24"/>
        </w:rPr>
        <w:t xml:space="preserve">In Europe, the </w:t>
      </w:r>
      <w:r w:rsidR="0061114A" w:rsidRPr="00A8152F">
        <w:rPr>
          <w:rFonts w:ascii="Arial" w:hAnsi="Arial" w:cs="Arial"/>
          <w:bCs/>
          <w:iCs/>
          <w:sz w:val="24"/>
          <w:szCs w:val="24"/>
        </w:rPr>
        <w:t>top five</w:t>
      </w:r>
      <w:r w:rsidR="00F5029D" w:rsidRPr="00A8152F">
        <w:rPr>
          <w:rFonts w:ascii="Arial" w:hAnsi="Arial" w:cs="Arial"/>
          <w:bCs/>
          <w:iCs/>
          <w:sz w:val="24"/>
          <w:szCs w:val="24"/>
        </w:rPr>
        <w:t xml:space="preserve"> popular merchant categories for mobile payments </w:t>
      </w:r>
      <w:r w:rsidR="00AD4D2C" w:rsidRPr="00A8152F">
        <w:rPr>
          <w:rFonts w:ascii="Arial" w:hAnsi="Arial" w:cs="Arial"/>
          <w:bCs/>
          <w:iCs/>
          <w:sz w:val="24"/>
          <w:szCs w:val="24"/>
        </w:rPr>
        <w:t xml:space="preserve">are </w:t>
      </w:r>
      <w:r w:rsidR="0061114A" w:rsidRPr="00A8152F">
        <w:rPr>
          <w:rFonts w:ascii="Arial" w:hAnsi="Arial" w:cs="Arial"/>
          <w:bCs/>
          <w:iCs/>
          <w:sz w:val="24"/>
          <w:szCs w:val="24"/>
        </w:rPr>
        <w:t xml:space="preserve">restaurants, supermarkets, </w:t>
      </w:r>
      <w:r w:rsidR="0060392C" w:rsidRPr="00A8152F">
        <w:rPr>
          <w:rFonts w:ascii="Arial" w:hAnsi="Arial" w:cs="Arial"/>
          <w:bCs/>
          <w:iCs/>
          <w:sz w:val="24"/>
          <w:szCs w:val="24"/>
        </w:rPr>
        <w:t>transit</w:t>
      </w:r>
      <w:r w:rsidR="0061114A" w:rsidRPr="00A8152F">
        <w:rPr>
          <w:rFonts w:ascii="Arial" w:hAnsi="Arial" w:cs="Arial"/>
          <w:bCs/>
          <w:iCs/>
          <w:sz w:val="24"/>
          <w:szCs w:val="24"/>
        </w:rPr>
        <w:t xml:space="preserve">, convenience food and drink, and leisure and entertainment.  </w:t>
      </w:r>
    </w:p>
    <w:p w14:paraId="7FE9D910" w14:textId="28C35184" w:rsidR="0002356E" w:rsidRPr="00A8152F" w:rsidRDefault="00566A90" w:rsidP="0060392C">
      <w:pPr>
        <w:pStyle w:val="ListParagraph"/>
        <w:numPr>
          <w:ilvl w:val="0"/>
          <w:numId w:val="6"/>
        </w:numPr>
        <w:spacing w:after="240"/>
        <w:jc w:val="both"/>
        <w:rPr>
          <w:rFonts w:ascii="Arial" w:hAnsi="Arial" w:cs="Arial"/>
          <w:bCs/>
          <w:iCs/>
          <w:sz w:val="24"/>
          <w:szCs w:val="24"/>
        </w:rPr>
      </w:pPr>
      <w:r w:rsidRPr="00A8152F">
        <w:rPr>
          <w:rFonts w:ascii="Arial" w:hAnsi="Arial" w:cs="Arial"/>
          <w:bCs/>
          <w:iCs/>
          <w:sz w:val="24"/>
          <w:szCs w:val="24"/>
        </w:rPr>
        <w:t xml:space="preserve">When using their mobile device to make a purchase, </w:t>
      </w:r>
      <w:r w:rsidR="00C35F7D" w:rsidRPr="00A8152F">
        <w:rPr>
          <w:rFonts w:ascii="Arial" w:hAnsi="Arial" w:cs="Arial"/>
          <w:bCs/>
          <w:iCs/>
          <w:sz w:val="24"/>
          <w:szCs w:val="24"/>
        </w:rPr>
        <w:t xml:space="preserve">European shoppers spend an average of </w:t>
      </w:r>
      <w:r w:rsidR="0061114A" w:rsidRPr="00A8152F">
        <w:rPr>
          <w:rFonts w:ascii="Arial" w:hAnsi="Arial" w:cs="Arial"/>
          <w:bCs/>
          <w:iCs/>
          <w:sz w:val="24"/>
          <w:szCs w:val="24"/>
        </w:rPr>
        <w:t>€9</w:t>
      </w:r>
      <w:r w:rsidR="00180FBE" w:rsidRPr="00A8152F">
        <w:rPr>
          <w:rFonts w:ascii="Arial" w:hAnsi="Arial" w:cs="Arial"/>
          <w:bCs/>
          <w:iCs/>
          <w:sz w:val="24"/>
          <w:szCs w:val="24"/>
        </w:rPr>
        <w:t xml:space="preserve"> </w:t>
      </w:r>
      <w:r w:rsidR="00C35F7D" w:rsidRPr="00A8152F">
        <w:rPr>
          <w:rFonts w:ascii="Arial" w:hAnsi="Arial" w:cs="Arial"/>
          <w:bCs/>
          <w:iCs/>
          <w:sz w:val="24"/>
          <w:szCs w:val="24"/>
        </w:rPr>
        <w:t>in store</w:t>
      </w:r>
      <w:r w:rsidRPr="00A8152F">
        <w:rPr>
          <w:rFonts w:ascii="Arial" w:hAnsi="Arial" w:cs="Arial"/>
          <w:bCs/>
          <w:iCs/>
          <w:sz w:val="24"/>
          <w:szCs w:val="24"/>
        </w:rPr>
        <w:t xml:space="preserve"> and</w:t>
      </w:r>
      <w:r w:rsidR="00180FBE" w:rsidRPr="00A8152F">
        <w:rPr>
          <w:rFonts w:ascii="Arial" w:hAnsi="Arial" w:cs="Arial"/>
          <w:bCs/>
          <w:iCs/>
          <w:sz w:val="24"/>
          <w:szCs w:val="24"/>
        </w:rPr>
        <w:t xml:space="preserve"> </w:t>
      </w:r>
      <w:r w:rsidR="0060392C" w:rsidRPr="00A8152F">
        <w:rPr>
          <w:rFonts w:ascii="Arial" w:hAnsi="Arial" w:cs="Arial"/>
          <w:bCs/>
          <w:iCs/>
          <w:sz w:val="24"/>
          <w:szCs w:val="24"/>
        </w:rPr>
        <w:t>€41</w:t>
      </w:r>
      <w:r w:rsidRPr="00A8152F">
        <w:rPr>
          <w:rFonts w:ascii="Arial" w:hAnsi="Arial" w:cs="Arial"/>
          <w:bCs/>
          <w:iCs/>
          <w:sz w:val="24"/>
          <w:szCs w:val="24"/>
        </w:rPr>
        <w:t xml:space="preserve"> online</w:t>
      </w:r>
      <w:r w:rsidR="0060392C" w:rsidRPr="00A8152F">
        <w:rPr>
          <w:rFonts w:ascii="Arial" w:hAnsi="Arial" w:cs="Arial"/>
          <w:bCs/>
          <w:iCs/>
          <w:sz w:val="24"/>
          <w:szCs w:val="24"/>
        </w:rPr>
        <w:t>.</w:t>
      </w:r>
    </w:p>
    <w:p w14:paraId="493927C2" w14:textId="7EA32A75" w:rsidR="0002356E" w:rsidRPr="00A8152F" w:rsidRDefault="00C35F7D" w:rsidP="00180FBE">
      <w:pPr>
        <w:pStyle w:val="ListParagraph"/>
        <w:numPr>
          <w:ilvl w:val="0"/>
          <w:numId w:val="6"/>
        </w:numPr>
        <w:spacing w:after="240"/>
        <w:jc w:val="both"/>
        <w:rPr>
          <w:rFonts w:ascii="Arial" w:hAnsi="Arial" w:cs="Arial"/>
          <w:bCs/>
          <w:iCs/>
          <w:sz w:val="24"/>
          <w:szCs w:val="24"/>
        </w:rPr>
      </w:pPr>
      <w:r w:rsidRPr="00A8152F">
        <w:rPr>
          <w:rFonts w:ascii="Arial" w:hAnsi="Arial" w:cs="Arial"/>
          <w:bCs/>
          <w:iCs/>
          <w:sz w:val="24"/>
          <w:szCs w:val="24"/>
        </w:rPr>
        <w:t>When</w:t>
      </w:r>
      <w:r w:rsidR="00180FBE" w:rsidRPr="00A8152F">
        <w:rPr>
          <w:rFonts w:ascii="Arial" w:hAnsi="Arial" w:cs="Arial"/>
          <w:bCs/>
          <w:iCs/>
          <w:sz w:val="24"/>
          <w:szCs w:val="24"/>
        </w:rPr>
        <w:t xml:space="preserve"> </w:t>
      </w:r>
      <w:r w:rsidR="009A15F4" w:rsidRPr="00A8152F">
        <w:rPr>
          <w:rFonts w:ascii="Arial" w:hAnsi="Arial" w:cs="Arial"/>
          <w:bCs/>
          <w:iCs/>
          <w:sz w:val="24"/>
          <w:szCs w:val="24"/>
        </w:rPr>
        <w:t xml:space="preserve">travelling abroad, </w:t>
      </w:r>
      <w:r w:rsidR="00180FBE" w:rsidRPr="00A8152F">
        <w:rPr>
          <w:rFonts w:ascii="Arial" w:hAnsi="Arial" w:cs="Arial"/>
          <w:bCs/>
          <w:iCs/>
          <w:sz w:val="24"/>
          <w:szCs w:val="24"/>
        </w:rPr>
        <w:t>Europe</w:t>
      </w:r>
      <w:r w:rsidRPr="00A8152F">
        <w:rPr>
          <w:rFonts w:ascii="Arial" w:hAnsi="Arial" w:cs="Arial"/>
          <w:bCs/>
          <w:iCs/>
          <w:sz w:val="24"/>
          <w:szCs w:val="24"/>
        </w:rPr>
        <w:t xml:space="preserve">ans </w:t>
      </w:r>
      <w:r w:rsidR="009A15F4" w:rsidRPr="00A8152F">
        <w:rPr>
          <w:rFonts w:ascii="Arial" w:hAnsi="Arial" w:cs="Arial"/>
          <w:bCs/>
          <w:iCs/>
          <w:sz w:val="24"/>
          <w:szCs w:val="24"/>
        </w:rPr>
        <w:t xml:space="preserve">have </w:t>
      </w:r>
      <w:r w:rsidR="00180FBE" w:rsidRPr="00A8152F">
        <w:rPr>
          <w:rFonts w:ascii="Arial" w:hAnsi="Arial" w:cs="Arial"/>
          <w:bCs/>
          <w:iCs/>
          <w:sz w:val="24"/>
          <w:szCs w:val="24"/>
        </w:rPr>
        <w:t xml:space="preserve">used </w:t>
      </w:r>
      <w:r w:rsidRPr="00A8152F">
        <w:rPr>
          <w:rFonts w:ascii="Arial" w:hAnsi="Arial" w:cs="Arial"/>
          <w:bCs/>
          <w:iCs/>
          <w:sz w:val="24"/>
          <w:szCs w:val="24"/>
        </w:rPr>
        <w:t xml:space="preserve">their mobile device </w:t>
      </w:r>
      <w:r w:rsidR="00180FBE" w:rsidRPr="00A8152F">
        <w:rPr>
          <w:rFonts w:ascii="Arial" w:hAnsi="Arial" w:cs="Arial"/>
          <w:bCs/>
          <w:iCs/>
          <w:sz w:val="24"/>
          <w:szCs w:val="24"/>
        </w:rPr>
        <w:t xml:space="preserve">to make </w:t>
      </w:r>
      <w:r w:rsidRPr="00A8152F">
        <w:rPr>
          <w:rFonts w:ascii="Arial" w:hAnsi="Arial" w:cs="Arial"/>
          <w:bCs/>
          <w:iCs/>
          <w:sz w:val="24"/>
          <w:szCs w:val="24"/>
        </w:rPr>
        <w:t>purchase</w:t>
      </w:r>
      <w:r w:rsidR="00A76561" w:rsidRPr="00A8152F">
        <w:rPr>
          <w:rFonts w:ascii="Arial" w:hAnsi="Arial" w:cs="Arial"/>
          <w:bCs/>
          <w:iCs/>
          <w:sz w:val="24"/>
          <w:szCs w:val="24"/>
        </w:rPr>
        <w:t>s</w:t>
      </w:r>
      <w:r w:rsidRPr="00A8152F">
        <w:rPr>
          <w:rFonts w:ascii="Arial" w:hAnsi="Arial" w:cs="Arial"/>
          <w:bCs/>
          <w:iCs/>
          <w:sz w:val="24"/>
          <w:szCs w:val="24"/>
        </w:rPr>
        <w:t xml:space="preserve"> </w:t>
      </w:r>
      <w:r w:rsidR="00180FBE" w:rsidRPr="00A8152F">
        <w:rPr>
          <w:rFonts w:ascii="Arial" w:hAnsi="Arial" w:cs="Arial"/>
          <w:bCs/>
          <w:iCs/>
          <w:sz w:val="24"/>
          <w:szCs w:val="24"/>
        </w:rPr>
        <w:t xml:space="preserve">in 91 countries around the world, demonstrating that </w:t>
      </w:r>
      <w:r w:rsidR="0002356E" w:rsidRPr="00A8152F">
        <w:rPr>
          <w:rFonts w:ascii="Arial" w:hAnsi="Arial" w:cs="Arial"/>
          <w:bCs/>
          <w:iCs/>
          <w:sz w:val="24"/>
          <w:szCs w:val="24"/>
        </w:rPr>
        <w:t xml:space="preserve">people feel safe and secure using their </w:t>
      </w:r>
      <w:r w:rsidRPr="00A8152F">
        <w:rPr>
          <w:rFonts w:ascii="Arial" w:hAnsi="Arial" w:cs="Arial"/>
          <w:bCs/>
          <w:iCs/>
          <w:sz w:val="24"/>
          <w:szCs w:val="24"/>
        </w:rPr>
        <w:t>smartphones or tablets when shopping in another country</w:t>
      </w:r>
      <w:r w:rsidR="0002356E" w:rsidRPr="00A8152F">
        <w:rPr>
          <w:rFonts w:ascii="Arial" w:hAnsi="Arial" w:cs="Arial"/>
          <w:bCs/>
          <w:iCs/>
          <w:sz w:val="24"/>
          <w:szCs w:val="24"/>
        </w:rPr>
        <w:t xml:space="preserve">.  </w:t>
      </w:r>
    </w:p>
    <w:p w14:paraId="17D1DD13" w14:textId="657E1216" w:rsidR="00882818" w:rsidRPr="00A8152F" w:rsidRDefault="00566A90" w:rsidP="00882818">
      <w:pPr>
        <w:pStyle w:val="ListParagraph"/>
        <w:numPr>
          <w:ilvl w:val="0"/>
          <w:numId w:val="6"/>
        </w:numPr>
        <w:spacing w:after="240"/>
        <w:jc w:val="both"/>
        <w:rPr>
          <w:rFonts w:ascii="Arial" w:hAnsi="Arial" w:cs="Arial"/>
          <w:bCs/>
          <w:iCs/>
          <w:sz w:val="24"/>
          <w:szCs w:val="24"/>
        </w:rPr>
      </w:pPr>
      <w:r w:rsidRPr="00A8152F">
        <w:rPr>
          <w:rFonts w:ascii="Arial" w:hAnsi="Arial" w:cs="Arial"/>
          <w:bCs/>
          <w:iCs/>
          <w:sz w:val="24"/>
          <w:szCs w:val="24"/>
        </w:rPr>
        <w:t xml:space="preserve">There are more than 1.2 million merchants in Europe that accept </w:t>
      </w:r>
      <w:r w:rsidR="006056BF" w:rsidRPr="00A8152F">
        <w:rPr>
          <w:rFonts w:ascii="Arial" w:hAnsi="Arial" w:cs="Arial"/>
          <w:bCs/>
          <w:iCs/>
          <w:sz w:val="24"/>
          <w:szCs w:val="24"/>
        </w:rPr>
        <w:t xml:space="preserve">contactless </w:t>
      </w:r>
      <w:r w:rsidRPr="00A8152F">
        <w:rPr>
          <w:rFonts w:ascii="Arial" w:hAnsi="Arial" w:cs="Arial"/>
          <w:bCs/>
          <w:iCs/>
          <w:sz w:val="24"/>
          <w:szCs w:val="24"/>
        </w:rPr>
        <w:t>payments by cards and mobile devices</w:t>
      </w:r>
      <w:r w:rsidRPr="00A8152F">
        <w:rPr>
          <w:rStyle w:val="EndnoteReference"/>
          <w:rFonts w:ascii="Arial" w:hAnsi="Arial" w:cs="Arial"/>
          <w:bCs/>
          <w:iCs/>
          <w:sz w:val="24"/>
          <w:szCs w:val="24"/>
        </w:rPr>
        <w:endnoteReference w:id="1"/>
      </w:r>
      <w:r w:rsidRPr="00A8152F">
        <w:rPr>
          <w:rFonts w:ascii="Arial" w:hAnsi="Arial" w:cs="Arial"/>
          <w:bCs/>
          <w:iCs/>
          <w:sz w:val="24"/>
          <w:szCs w:val="24"/>
        </w:rPr>
        <w:t xml:space="preserve"> in store, driving more than </w:t>
      </w:r>
      <w:r w:rsidR="00063F8F" w:rsidRPr="00A8152F">
        <w:rPr>
          <w:rFonts w:ascii="Arial" w:hAnsi="Arial" w:cs="Arial"/>
          <w:bCs/>
          <w:iCs/>
          <w:sz w:val="24"/>
          <w:szCs w:val="24"/>
        </w:rPr>
        <w:t xml:space="preserve">five billion contactless </w:t>
      </w:r>
      <w:r w:rsidR="00882818" w:rsidRPr="00A8152F">
        <w:rPr>
          <w:rFonts w:ascii="Arial" w:hAnsi="Arial" w:cs="Arial"/>
          <w:bCs/>
          <w:iCs/>
          <w:sz w:val="24"/>
          <w:szCs w:val="24"/>
        </w:rPr>
        <w:t>purchases</w:t>
      </w:r>
      <w:r w:rsidRPr="00A8152F">
        <w:rPr>
          <w:rFonts w:ascii="Arial" w:hAnsi="Arial" w:cs="Arial"/>
          <w:bCs/>
          <w:iCs/>
          <w:sz w:val="24"/>
          <w:szCs w:val="24"/>
        </w:rPr>
        <w:t xml:space="preserve"> by European Visa account holders</w:t>
      </w:r>
      <w:r w:rsidRPr="00A8152F">
        <w:rPr>
          <w:rStyle w:val="EndnoteReference"/>
          <w:rFonts w:ascii="Arial" w:hAnsi="Arial" w:cs="Arial"/>
          <w:bCs/>
          <w:iCs/>
          <w:sz w:val="24"/>
          <w:szCs w:val="24"/>
        </w:rPr>
        <w:endnoteReference w:id="2"/>
      </w:r>
      <w:r w:rsidR="00882818" w:rsidRPr="00A8152F">
        <w:rPr>
          <w:rFonts w:ascii="Arial" w:hAnsi="Arial" w:cs="Arial"/>
          <w:bCs/>
          <w:iCs/>
          <w:sz w:val="24"/>
          <w:szCs w:val="24"/>
        </w:rPr>
        <w:t>. This represents 32% of all Visa-processed transactions at physical retail locations</w:t>
      </w:r>
      <w:r w:rsidR="00C67F39" w:rsidRPr="00A8152F">
        <w:rPr>
          <w:rStyle w:val="EndnoteReference"/>
          <w:rFonts w:ascii="Arial" w:hAnsi="Arial" w:cs="Arial"/>
          <w:bCs/>
          <w:iCs/>
          <w:sz w:val="24"/>
          <w:szCs w:val="24"/>
        </w:rPr>
        <w:endnoteReference w:id="3"/>
      </w:r>
      <w:r w:rsidR="00882818" w:rsidRPr="00A8152F">
        <w:rPr>
          <w:rFonts w:ascii="Arial" w:hAnsi="Arial" w:cs="Arial"/>
          <w:bCs/>
          <w:iCs/>
          <w:sz w:val="24"/>
          <w:szCs w:val="24"/>
        </w:rPr>
        <w:t xml:space="preserve">. </w:t>
      </w:r>
    </w:p>
    <w:p w14:paraId="686D9A60" w14:textId="09B3336A" w:rsidR="008E20E7" w:rsidRDefault="008E20E7" w:rsidP="0015144C">
      <w:pPr>
        <w:pStyle w:val="ListParagraph"/>
        <w:spacing w:after="240"/>
        <w:ind w:left="0"/>
        <w:jc w:val="both"/>
        <w:rPr>
          <w:rFonts w:ascii="Arial" w:hAnsi="Arial" w:cs="Arial"/>
          <w:b/>
          <w:bCs/>
          <w:iCs/>
          <w:sz w:val="24"/>
          <w:szCs w:val="24"/>
        </w:rPr>
      </w:pPr>
      <w:r w:rsidRPr="00063F8F">
        <w:rPr>
          <w:rFonts w:ascii="Arial" w:hAnsi="Arial" w:cs="Arial"/>
          <w:b/>
          <w:bCs/>
          <w:iCs/>
          <w:sz w:val="24"/>
          <w:szCs w:val="24"/>
        </w:rPr>
        <w:t>Enabling Internet of</w:t>
      </w:r>
      <w:r w:rsidR="00C14855">
        <w:rPr>
          <w:rFonts w:ascii="Arial" w:hAnsi="Arial" w:cs="Arial"/>
          <w:b/>
          <w:bCs/>
          <w:iCs/>
          <w:sz w:val="24"/>
          <w:szCs w:val="24"/>
        </w:rPr>
        <w:t xml:space="preserve"> Things (</w:t>
      </w:r>
      <w:proofErr w:type="spellStart"/>
      <w:r w:rsidR="00C14855">
        <w:rPr>
          <w:rFonts w:ascii="Arial" w:hAnsi="Arial" w:cs="Arial"/>
          <w:b/>
          <w:bCs/>
          <w:iCs/>
          <w:sz w:val="24"/>
          <w:szCs w:val="24"/>
        </w:rPr>
        <w:t>Io</w:t>
      </w:r>
      <w:r w:rsidRPr="00063F8F">
        <w:rPr>
          <w:rFonts w:ascii="Arial" w:hAnsi="Arial" w:cs="Arial"/>
          <w:b/>
          <w:bCs/>
          <w:iCs/>
          <w:sz w:val="24"/>
          <w:szCs w:val="24"/>
        </w:rPr>
        <w:t>T</w:t>
      </w:r>
      <w:proofErr w:type="spellEnd"/>
      <w:r w:rsidRPr="00063F8F">
        <w:rPr>
          <w:rFonts w:ascii="Arial" w:hAnsi="Arial" w:cs="Arial"/>
          <w:b/>
          <w:bCs/>
          <w:iCs/>
          <w:sz w:val="24"/>
          <w:szCs w:val="24"/>
        </w:rPr>
        <w:t xml:space="preserve">) Commerce </w:t>
      </w:r>
    </w:p>
    <w:p w14:paraId="6AEA6296" w14:textId="0CC25F25" w:rsidR="00C14855" w:rsidRDefault="0067519C" w:rsidP="00C14855">
      <w:pPr>
        <w:pStyle w:val="ListParagraph"/>
        <w:spacing w:after="240"/>
        <w:ind w:left="0"/>
        <w:jc w:val="both"/>
        <w:rPr>
          <w:rFonts w:ascii="Arial" w:hAnsi="Arial" w:cs="Arial"/>
          <w:bCs/>
          <w:iCs/>
          <w:sz w:val="24"/>
          <w:szCs w:val="24"/>
        </w:rPr>
      </w:pPr>
      <w:r>
        <w:rPr>
          <w:rFonts w:ascii="Arial" w:hAnsi="Arial" w:cs="Arial"/>
          <w:bCs/>
          <w:iCs/>
          <w:sz w:val="24"/>
          <w:szCs w:val="24"/>
        </w:rPr>
        <w:t xml:space="preserve">Visa’s Token Service and ability to remove sensitive consumer payment account information </w:t>
      </w:r>
      <w:r w:rsidR="00C14855">
        <w:rPr>
          <w:rFonts w:ascii="Arial" w:hAnsi="Arial" w:cs="Arial"/>
          <w:bCs/>
          <w:iCs/>
          <w:sz w:val="24"/>
          <w:szCs w:val="24"/>
        </w:rPr>
        <w:t xml:space="preserve">from purchases in digital channels </w:t>
      </w:r>
      <w:r>
        <w:rPr>
          <w:rFonts w:ascii="Arial" w:hAnsi="Arial" w:cs="Arial"/>
          <w:bCs/>
          <w:iCs/>
          <w:sz w:val="24"/>
          <w:szCs w:val="24"/>
        </w:rPr>
        <w:t>is foundational for secure</w:t>
      </w:r>
      <w:r w:rsidR="00C14855">
        <w:rPr>
          <w:rFonts w:ascii="Arial" w:hAnsi="Arial" w:cs="Arial"/>
          <w:bCs/>
          <w:iCs/>
          <w:sz w:val="24"/>
          <w:szCs w:val="24"/>
        </w:rPr>
        <w:t xml:space="preserve"> commerce with a broad range of (</w:t>
      </w:r>
      <w:proofErr w:type="spellStart"/>
      <w:r w:rsidR="00C14855">
        <w:rPr>
          <w:rFonts w:ascii="Arial" w:hAnsi="Arial" w:cs="Arial"/>
          <w:bCs/>
          <w:iCs/>
          <w:sz w:val="24"/>
          <w:szCs w:val="24"/>
        </w:rPr>
        <w:t>IoT</w:t>
      </w:r>
      <w:proofErr w:type="spellEnd"/>
      <w:r w:rsidR="00C14855">
        <w:rPr>
          <w:rFonts w:ascii="Arial" w:hAnsi="Arial" w:cs="Arial"/>
          <w:bCs/>
          <w:iCs/>
          <w:sz w:val="24"/>
          <w:szCs w:val="24"/>
        </w:rPr>
        <w:t xml:space="preserve">) </w:t>
      </w:r>
      <w:r>
        <w:rPr>
          <w:rFonts w:ascii="Arial" w:hAnsi="Arial" w:cs="Arial"/>
          <w:bCs/>
          <w:iCs/>
          <w:sz w:val="24"/>
          <w:szCs w:val="24"/>
        </w:rPr>
        <w:t>connected devices</w:t>
      </w:r>
      <w:r w:rsidR="00C14855">
        <w:rPr>
          <w:rFonts w:ascii="Arial" w:hAnsi="Arial" w:cs="Arial"/>
          <w:bCs/>
          <w:iCs/>
          <w:sz w:val="24"/>
          <w:szCs w:val="24"/>
        </w:rPr>
        <w:t xml:space="preserve">, from a watch or ring, to an appliance or car. </w:t>
      </w:r>
    </w:p>
    <w:p w14:paraId="3A81088F" w14:textId="2210A2A4" w:rsidR="00D51A10" w:rsidRDefault="004B11D4" w:rsidP="00D51A10">
      <w:pPr>
        <w:pStyle w:val="ListParagraph"/>
        <w:spacing w:after="240"/>
        <w:ind w:left="0"/>
        <w:jc w:val="both"/>
        <w:rPr>
          <w:rFonts w:ascii="Arial" w:hAnsi="Arial" w:cs="Arial"/>
          <w:bCs/>
          <w:iCs/>
          <w:sz w:val="24"/>
          <w:szCs w:val="24"/>
        </w:rPr>
      </w:pPr>
      <w:hyperlink r:id="rId10" w:history="1">
        <w:r w:rsidR="00C14855" w:rsidRPr="002325B1">
          <w:rPr>
            <w:rStyle w:val="Hyperlink"/>
            <w:rFonts w:ascii="Arial" w:hAnsi="Arial" w:cs="Arial"/>
            <w:bCs/>
            <w:iCs/>
            <w:sz w:val="24"/>
            <w:szCs w:val="24"/>
          </w:rPr>
          <w:t>Visa’s global collaboration with IBM</w:t>
        </w:r>
      </w:hyperlink>
      <w:r w:rsidR="00C14855">
        <w:rPr>
          <w:rFonts w:ascii="Arial" w:hAnsi="Arial" w:cs="Arial"/>
          <w:bCs/>
          <w:iCs/>
          <w:sz w:val="24"/>
          <w:szCs w:val="24"/>
        </w:rPr>
        <w:t xml:space="preserve">, announced last week </w:t>
      </w:r>
      <w:r w:rsidR="00D51A10">
        <w:rPr>
          <w:rFonts w:ascii="Arial" w:hAnsi="Arial" w:cs="Arial"/>
          <w:bCs/>
          <w:iCs/>
          <w:sz w:val="24"/>
          <w:szCs w:val="24"/>
        </w:rPr>
        <w:t>at the</w:t>
      </w:r>
      <w:r w:rsidR="00C14855">
        <w:rPr>
          <w:rFonts w:ascii="Arial" w:hAnsi="Arial" w:cs="Arial"/>
          <w:bCs/>
          <w:iCs/>
          <w:sz w:val="24"/>
          <w:szCs w:val="24"/>
        </w:rPr>
        <w:t xml:space="preserve"> opening of IBMs </w:t>
      </w:r>
      <w:r w:rsidR="00E659EB">
        <w:rPr>
          <w:rFonts w:ascii="Arial" w:hAnsi="Arial" w:cs="Arial"/>
          <w:bCs/>
          <w:iCs/>
          <w:sz w:val="24"/>
          <w:szCs w:val="24"/>
        </w:rPr>
        <w:t xml:space="preserve">new </w:t>
      </w:r>
      <w:proofErr w:type="spellStart"/>
      <w:r w:rsidR="00E659EB">
        <w:rPr>
          <w:rFonts w:ascii="Arial" w:hAnsi="Arial" w:cs="Arial"/>
          <w:bCs/>
          <w:iCs/>
          <w:sz w:val="24"/>
          <w:szCs w:val="24"/>
        </w:rPr>
        <w:t>IoT</w:t>
      </w:r>
      <w:proofErr w:type="spellEnd"/>
      <w:r w:rsidR="00E659EB">
        <w:rPr>
          <w:rFonts w:ascii="Arial" w:hAnsi="Arial" w:cs="Arial"/>
          <w:bCs/>
          <w:iCs/>
          <w:sz w:val="24"/>
          <w:szCs w:val="24"/>
        </w:rPr>
        <w:t xml:space="preserve"> </w:t>
      </w:r>
      <w:r w:rsidR="00C14855">
        <w:rPr>
          <w:rFonts w:ascii="Arial" w:hAnsi="Arial" w:cs="Arial"/>
          <w:bCs/>
          <w:iCs/>
          <w:sz w:val="24"/>
          <w:szCs w:val="24"/>
        </w:rPr>
        <w:t>Watson Rese</w:t>
      </w:r>
      <w:r w:rsidR="00D51A10">
        <w:rPr>
          <w:rFonts w:ascii="Arial" w:hAnsi="Arial" w:cs="Arial"/>
          <w:bCs/>
          <w:iCs/>
          <w:sz w:val="24"/>
          <w:szCs w:val="24"/>
        </w:rPr>
        <w:t>arch Center in Munich</w:t>
      </w:r>
      <w:r w:rsidR="00C14855">
        <w:rPr>
          <w:rFonts w:ascii="Arial" w:hAnsi="Arial" w:cs="Arial"/>
          <w:bCs/>
          <w:iCs/>
          <w:sz w:val="24"/>
          <w:szCs w:val="24"/>
        </w:rPr>
        <w:t xml:space="preserve">, </w:t>
      </w:r>
      <w:r w:rsidR="00C14855" w:rsidRPr="00C14855">
        <w:rPr>
          <w:rFonts w:ascii="Arial" w:hAnsi="Arial" w:cs="Arial"/>
          <w:bCs/>
          <w:iCs/>
          <w:sz w:val="24"/>
          <w:szCs w:val="24"/>
        </w:rPr>
        <w:t xml:space="preserve">is designed to </w:t>
      </w:r>
      <w:r w:rsidR="00D51A10">
        <w:rPr>
          <w:rFonts w:ascii="Arial" w:hAnsi="Arial" w:cs="Arial"/>
          <w:bCs/>
          <w:iCs/>
          <w:sz w:val="24"/>
          <w:szCs w:val="24"/>
        </w:rPr>
        <w:t xml:space="preserve">do just that and </w:t>
      </w:r>
      <w:r w:rsidR="00D51A10" w:rsidRPr="00C14855">
        <w:rPr>
          <w:rFonts w:ascii="Arial" w:hAnsi="Arial" w:cs="Arial"/>
          <w:bCs/>
          <w:iCs/>
          <w:sz w:val="24"/>
          <w:szCs w:val="24"/>
        </w:rPr>
        <w:t>is rooted in a shared vision and belief that we can securely embed payme</w:t>
      </w:r>
      <w:r w:rsidR="00D51A10">
        <w:rPr>
          <w:rFonts w:ascii="Arial" w:hAnsi="Arial" w:cs="Arial"/>
          <w:bCs/>
          <w:iCs/>
          <w:sz w:val="24"/>
          <w:szCs w:val="24"/>
        </w:rPr>
        <w:t xml:space="preserve">nts and commerce into </w:t>
      </w:r>
      <w:r w:rsidR="00D51A10" w:rsidRPr="00D51A10">
        <w:rPr>
          <w:rFonts w:ascii="Arial" w:hAnsi="Arial" w:cs="Arial"/>
          <w:bCs/>
          <w:iCs/>
          <w:sz w:val="24"/>
          <w:szCs w:val="24"/>
        </w:rPr>
        <w:t>many of the 20 billion connected devices estimated to be in the global economy by 2020</w:t>
      </w:r>
      <w:r w:rsidR="00D51A10" w:rsidRPr="00566A90">
        <w:rPr>
          <w:bCs/>
          <w:iCs/>
          <w:sz w:val="24"/>
          <w:szCs w:val="24"/>
          <w:vertAlign w:val="superscript"/>
        </w:rPr>
        <w:endnoteReference w:id="4"/>
      </w:r>
      <w:r w:rsidR="00D51A10" w:rsidRPr="00D51A10">
        <w:rPr>
          <w:rFonts w:ascii="Arial" w:hAnsi="Arial" w:cs="Arial"/>
          <w:bCs/>
          <w:iCs/>
          <w:sz w:val="24"/>
          <w:szCs w:val="24"/>
        </w:rPr>
        <w:t>.</w:t>
      </w:r>
    </w:p>
    <w:p w14:paraId="20F69760" w14:textId="418AF552" w:rsidR="00E659EB" w:rsidRPr="0067519C" w:rsidRDefault="00E659EB" w:rsidP="00E659EB">
      <w:pPr>
        <w:pStyle w:val="ListParagraph"/>
        <w:spacing w:after="240"/>
        <w:ind w:left="0"/>
        <w:jc w:val="both"/>
        <w:rPr>
          <w:rFonts w:ascii="Arial" w:hAnsi="Arial" w:cs="Arial"/>
          <w:bCs/>
          <w:iCs/>
          <w:sz w:val="24"/>
          <w:szCs w:val="24"/>
        </w:rPr>
      </w:pPr>
      <w:r w:rsidRPr="00704CE9">
        <w:rPr>
          <w:rFonts w:ascii="Arial" w:hAnsi="Arial" w:cs="Arial"/>
          <w:bCs/>
          <w:iCs/>
          <w:sz w:val="24"/>
          <w:szCs w:val="24"/>
        </w:rPr>
        <w:t xml:space="preserve">As part of the collaboration between the two companies, IBM’s Watson </w:t>
      </w:r>
      <w:proofErr w:type="spellStart"/>
      <w:r w:rsidRPr="00704CE9">
        <w:rPr>
          <w:rFonts w:ascii="Arial" w:hAnsi="Arial" w:cs="Arial"/>
          <w:bCs/>
          <w:iCs/>
          <w:sz w:val="24"/>
          <w:szCs w:val="24"/>
        </w:rPr>
        <w:t>IoT</w:t>
      </w:r>
      <w:proofErr w:type="spellEnd"/>
      <w:r w:rsidRPr="00704CE9">
        <w:rPr>
          <w:rFonts w:ascii="Arial" w:hAnsi="Arial" w:cs="Arial"/>
          <w:bCs/>
          <w:iCs/>
          <w:sz w:val="24"/>
          <w:szCs w:val="24"/>
        </w:rPr>
        <w:t xml:space="preserve"> clients, we will make the Visa Token Service accessible through a network of token service providers (TSPs) as part of our Visa Ready partnership program.</w:t>
      </w:r>
    </w:p>
    <w:p w14:paraId="4040E354" w14:textId="77777777" w:rsidR="00AC30A3" w:rsidRDefault="00AC30A3" w:rsidP="00AC30A3">
      <w:pPr>
        <w:spacing w:after="0" w:line="240" w:lineRule="auto"/>
        <w:rPr>
          <w:sz w:val="20"/>
          <w:szCs w:val="20"/>
        </w:rPr>
      </w:pPr>
    </w:p>
    <w:p w14:paraId="145DD4A0" w14:textId="77777777" w:rsidR="008169C3" w:rsidRPr="008169C3" w:rsidRDefault="008169C3" w:rsidP="008169C3">
      <w:pPr>
        <w:pStyle w:val="ListParagraph"/>
        <w:spacing w:after="240" w:line="360" w:lineRule="auto"/>
        <w:ind w:left="0"/>
        <w:jc w:val="both"/>
        <w:rPr>
          <w:rFonts w:ascii="Arial" w:hAnsi="Arial" w:cs="Arial"/>
          <w:bCs/>
          <w:iCs/>
        </w:rPr>
      </w:pPr>
    </w:p>
    <w:p w14:paraId="6EB2C00F" w14:textId="77777777" w:rsidR="008169C3" w:rsidRPr="00114382" w:rsidRDefault="008169C3" w:rsidP="008169C3">
      <w:pPr>
        <w:pStyle w:val="ListParagraph"/>
        <w:spacing w:after="240" w:line="360" w:lineRule="auto"/>
        <w:ind w:left="0"/>
        <w:jc w:val="center"/>
        <w:rPr>
          <w:rFonts w:ascii="Arial" w:hAnsi="Arial" w:cs="Arial"/>
          <w:lang w:val="en-GB"/>
        </w:rPr>
      </w:pPr>
      <w:r w:rsidRPr="00114382">
        <w:rPr>
          <w:rFonts w:ascii="Arial" w:hAnsi="Arial" w:cs="Arial"/>
          <w:lang w:val="en-GB"/>
        </w:rPr>
        <w:t>ENDS</w:t>
      </w:r>
    </w:p>
    <w:p w14:paraId="5A7EF9A8" w14:textId="77777777" w:rsidR="004218B4" w:rsidRPr="002325B1" w:rsidRDefault="004218B4" w:rsidP="004218B4">
      <w:pPr>
        <w:autoSpaceDE w:val="0"/>
        <w:autoSpaceDN w:val="0"/>
        <w:rPr>
          <w:rFonts w:ascii="Arial" w:hAnsi="Arial" w:cs="Arial"/>
          <w:color w:val="000000"/>
          <w:lang w:val="sv-SE" w:eastAsia="ko-KR"/>
        </w:rPr>
      </w:pPr>
      <w:r w:rsidRPr="002325B1">
        <w:rPr>
          <w:rFonts w:ascii="Arial" w:hAnsi="Arial" w:cs="Arial"/>
          <w:b/>
          <w:bCs/>
          <w:color w:val="000000"/>
          <w:lang w:val="sv-SE" w:eastAsia="ko-KR"/>
        </w:rPr>
        <w:t>About Visa Inc.</w:t>
      </w:r>
    </w:p>
    <w:p w14:paraId="543C85C3" w14:textId="77777777" w:rsidR="004218B4" w:rsidRPr="008169C3" w:rsidRDefault="004218B4" w:rsidP="004218B4">
      <w:pPr>
        <w:rPr>
          <w:rFonts w:ascii="Arial" w:hAnsi="Arial" w:cs="Arial"/>
          <w:color w:val="000000"/>
          <w:lang w:val="hu-HU"/>
        </w:rPr>
      </w:pPr>
      <w:r w:rsidRPr="002325B1">
        <w:rPr>
          <w:rFonts w:ascii="Arial" w:eastAsia="MS Gothic" w:hAnsi="Arial" w:cs="Arial"/>
          <w:lang w:val="sv-SE"/>
        </w:rPr>
        <w:t xml:space="preserve">Visa Inc. </w:t>
      </w:r>
      <w:r w:rsidRPr="008169C3">
        <w:rPr>
          <w:rFonts w:ascii="Arial" w:eastAsia="MS Gothic" w:hAnsi="Arial" w:cs="Arial"/>
        </w:rPr>
        <w:t xml:space="preserve">(NYSE:V) is a global payments technology company that connects consumers, businesses, financial institutions, and governments in more than 200 countries and territories to fast, secure and reliable electronic payments. We operate one of the world's most advanced processing networks — </w:t>
      </w:r>
      <w:proofErr w:type="spellStart"/>
      <w:r w:rsidRPr="008169C3">
        <w:rPr>
          <w:rFonts w:ascii="Arial" w:eastAsia="MS Gothic" w:hAnsi="Arial" w:cs="Arial"/>
        </w:rPr>
        <w:t>VisaNet</w:t>
      </w:r>
      <w:proofErr w:type="spellEnd"/>
      <w:r w:rsidRPr="008169C3">
        <w:rPr>
          <w:rFonts w:ascii="Arial" w:eastAsia="MS Gothic" w:hAnsi="Arial" w:cs="Arial"/>
        </w:rPr>
        <w:t xml:space="preserve"> — that is capable of handling more than 65,000 transaction messages a second, with fraud protection for consumers and assured payment for merchants. Visa is not a bank and does not issue cards, extend credit or set rates and fees for consumers. Visa's innovations, however, enable its financial institution customers to offer consumers more choices: pay now with debit, pay ahead with prepaid or pay later with credit products. For more information, visit our website</w:t>
      </w:r>
      <w:r w:rsidRPr="008169C3">
        <w:rPr>
          <w:rFonts w:ascii="Arial" w:hAnsi="Arial" w:cs="Arial"/>
          <w:color w:val="000000"/>
          <w:lang w:val="hu-HU"/>
        </w:rPr>
        <w:t xml:space="preserve"> (</w:t>
      </w:r>
      <w:r w:rsidR="00786160">
        <w:fldChar w:fldCharType="begin"/>
      </w:r>
      <w:r w:rsidR="00786160">
        <w:instrText xml:space="preserve"> HYPERLINK "http://www.visaeurope.com" </w:instrText>
      </w:r>
      <w:r w:rsidR="00786160">
        <w:fldChar w:fldCharType="separate"/>
      </w:r>
      <w:r w:rsidRPr="008169C3">
        <w:rPr>
          <w:rStyle w:val="Hyperlink"/>
          <w:rFonts w:ascii="Arial" w:hAnsi="Arial" w:cs="Arial"/>
          <w:lang w:val="hu-HU"/>
        </w:rPr>
        <w:t>www.visaeurope.com</w:t>
      </w:r>
      <w:r w:rsidR="00786160">
        <w:rPr>
          <w:rStyle w:val="Hyperlink"/>
          <w:rFonts w:ascii="Arial" w:hAnsi="Arial" w:cs="Arial"/>
          <w:lang w:val="hu-HU"/>
        </w:rPr>
        <w:fldChar w:fldCharType="end"/>
      </w:r>
      <w:r w:rsidRPr="008169C3">
        <w:rPr>
          <w:rFonts w:ascii="Arial" w:eastAsia="MS Gothic" w:hAnsi="Arial" w:cs="Arial"/>
        </w:rPr>
        <w:t>), the Visa Vision blog</w:t>
      </w:r>
      <w:r w:rsidRPr="008169C3">
        <w:rPr>
          <w:rFonts w:ascii="Arial" w:hAnsi="Arial" w:cs="Arial"/>
          <w:color w:val="000000"/>
          <w:lang w:val="hu-HU"/>
        </w:rPr>
        <w:t xml:space="preserve"> (</w:t>
      </w:r>
      <w:r w:rsidR="00786160">
        <w:fldChar w:fldCharType="begin"/>
      </w:r>
      <w:r w:rsidR="00786160">
        <w:instrText xml:space="preserve"> HYPERLINK "http://vision.visaeurope.com/" </w:instrText>
      </w:r>
      <w:r w:rsidR="00786160">
        <w:fldChar w:fldCharType="separate"/>
      </w:r>
      <w:r w:rsidRPr="008169C3">
        <w:rPr>
          <w:rStyle w:val="Hyperlink"/>
          <w:rFonts w:ascii="Arial" w:hAnsi="Arial" w:cs="Arial"/>
          <w:lang w:val="hu-HU"/>
        </w:rPr>
        <w:t>vision.visaeurope.com</w:t>
      </w:r>
      <w:r w:rsidR="00786160">
        <w:rPr>
          <w:rStyle w:val="Hyperlink"/>
          <w:rFonts w:ascii="Arial" w:hAnsi="Arial" w:cs="Arial"/>
          <w:lang w:val="hu-HU"/>
        </w:rPr>
        <w:fldChar w:fldCharType="end"/>
      </w:r>
      <w:r w:rsidRPr="008169C3">
        <w:rPr>
          <w:rFonts w:ascii="Arial" w:hAnsi="Arial" w:cs="Arial"/>
          <w:color w:val="000000"/>
          <w:lang w:val="hu-HU"/>
        </w:rPr>
        <w:t xml:space="preserve">), </w:t>
      </w:r>
      <w:r w:rsidRPr="008169C3">
        <w:rPr>
          <w:rFonts w:ascii="Arial" w:eastAsia="MS Gothic" w:hAnsi="Arial" w:cs="Arial"/>
        </w:rPr>
        <w:t>and</w:t>
      </w:r>
      <w:r w:rsidRPr="008169C3">
        <w:rPr>
          <w:rFonts w:ascii="Arial" w:hAnsi="Arial" w:cs="Arial"/>
          <w:color w:val="000000"/>
          <w:lang w:val="hu-HU"/>
        </w:rPr>
        <w:t xml:space="preserve"> </w:t>
      </w:r>
      <w:hyperlink r:id="rId11" w:history="1">
        <w:r w:rsidRPr="008169C3">
          <w:rPr>
            <w:rStyle w:val="Hyperlink"/>
            <w:rFonts w:ascii="Arial" w:hAnsi="Arial" w:cs="Arial"/>
            <w:lang w:val="hu-HU"/>
          </w:rPr>
          <w:t>@VisaEuropeNews</w:t>
        </w:r>
      </w:hyperlink>
      <w:r w:rsidRPr="008169C3">
        <w:rPr>
          <w:rFonts w:ascii="Arial" w:hAnsi="Arial" w:cs="Arial"/>
          <w:color w:val="000000"/>
          <w:lang w:val="hu-HU"/>
        </w:rPr>
        <w:t>.</w:t>
      </w:r>
    </w:p>
    <w:p w14:paraId="30E45A9D" w14:textId="77777777" w:rsidR="003E5918" w:rsidRPr="008169C3" w:rsidRDefault="003E5918" w:rsidP="003E5918">
      <w:pPr>
        <w:spacing w:line="312" w:lineRule="auto"/>
        <w:rPr>
          <w:rFonts w:ascii="Arial" w:hAnsi="Arial" w:cs="Arial"/>
          <w:b/>
          <w:lang w:val="en-GB"/>
        </w:rPr>
      </w:pPr>
      <w:r w:rsidRPr="008169C3">
        <w:rPr>
          <w:rFonts w:ascii="Arial" w:hAnsi="Arial" w:cs="Arial"/>
          <w:b/>
          <w:lang w:val="en-GB"/>
        </w:rPr>
        <w:t xml:space="preserve">Contacts: </w:t>
      </w:r>
    </w:p>
    <w:p w14:paraId="43750B88" w14:textId="77777777" w:rsidR="00851AFB" w:rsidRPr="008169C3" w:rsidRDefault="00851AFB" w:rsidP="00851AFB">
      <w:pPr>
        <w:rPr>
          <w:rFonts w:ascii="Arial" w:eastAsia="MS Gothic" w:hAnsi="Arial" w:cs="Arial"/>
        </w:rPr>
      </w:pPr>
      <w:r w:rsidRPr="008169C3">
        <w:rPr>
          <w:rFonts w:ascii="Arial" w:eastAsia="MS Gothic" w:hAnsi="Arial" w:cs="Arial"/>
        </w:rPr>
        <w:t>Visa Press Office, London</w:t>
      </w:r>
    </w:p>
    <w:p w14:paraId="7C4839B8" w14:textId="5774BF37" w:rsidR="00851AFB" w:rsidRPr="008169C3" w:rsidRDefault="00851AFB" w:rsidP="00851AFB">
      <w:pPr>
        <w:rPr>
          <w:rFonts w:ascii="Arial" w:eastAsia="MS Gothic" w:hAnsi="Arial" w:cs="Arial"/>
        </w:rPr>
      </w:pPr>
      <w:r w:rsidRPr="008169C3">
        <w:rPr>
          <w:rFonts w:ascii="Arial" w:eastAsia="MS Gothic" w:hAnsi="Arial" w:cs="Arial"/>
        </w:rPr>
        <w:t xml:space="preserve">+44 (0)20 </w:t>
      </w:r>
      <w:r w:rsidR="003B6F27">
        <w:rPr>
          <w:rFonts w:ascii="Arial" w:eastAsia="MS Gothic" w:hAnsi="Arial" w:cs="Arial"/>
        </w:rPr>
        <w:t>7795 5336</w:t>
      </w:r>
    </w:p>
    <w:p w14:paraId="79DB3576" w14:textId="73CC4F57" w:rsidR="00851AFB" w:rsidRPr="008169C3" w:rsidRDefault="003B6F27" w:rsidP="00851AFB">
      <w:pPr>
        <w:rPr>
          <w:rFonts w:ascii="Arial" w:hAnsi="Arial" w:cs="Arial"/>
        </w:rPr>
      </w:pPr>
      <w:r>
        <w:t>europeanmedia@visa.com</w:t>
      </w:r>
    </w:p>
    <w:p w14:paraId="699EE62D" w14:textId="77777777" w:rsidR="00851AFB" w:rsidRPr="008169C3" w:rsidRDefault="00851AFB" w:rsidP="00851AFB">
      <w:pPr>
        <w:pStyle w:val="VisaDocumentname"/>
        <w:rPr>
          <w:rStyle w:val="Strong"/>
          <w:rFonts w:ascii="Arial" w:hAnsi="Arial" w:cs="Arial"/>
          <w:sz w:val="22"/>
          <w:szCs w:val="22"/>
        </w:rPr>
      </w:pPr>
    </w:p>
    <w:p w14:paraId="0FF1455C" w14:textId="77777777" w:rsidR="00851AFB" w:rsidRPr="008169C3" w:rsidRDefault="00851AFB" w:rsidP="00851AFB">
      <w:pPr>
        <w:rPr>
          <w:rFonts w:ascii="Arial" w:hAnsi="Arial" w:cs="Arial"/>
        </w:rPr>
      </w:pPr>
      <w:r w:rsidRPr="008169C3">
        <w:rPr>
          <w:rFonts w:ascii="Arial" w:hAnsi="Arial" w:cs="Arial"/>
        </w:rPr>
        <w:t>Twitter: @</w:t>
      </w:r>
      <w:proofErr w:type="spellStart"/>
      <w:r w:rsidRPr="008169C3">
        <w:rPr>
          <w:rFonts w:ascii="Arial" w:hAnsi="Arial" w:cs="Arial"/>
        </w:rPr>
        <w:t>VisaEuropeNews</w:t>
      </w:r>
      <w:proofErr w:type="spellEnd"/>
    </w:p>
    <w:p w14:paraId="35FE9B50" w14:textId="77777777" w:rsidR="00851AFB" w:rsidRPr="008169C3" w:rsidRDefault="00851AFB" w:rsidP="00851AFB">
      <w:pPr>
        <w:rPr>
          <w:rFonts w:ascii="Arial" w:hAnsi="Arial" w:cs="Arial"/>
        </w:rPr>
      </w:pPr>
      <w:r w:rsidRPr="008169C3">
        <w:rPr>
          <w:rFonts w:ascii="Arial" w:hAnsi="Arial" w:cs="Arial"/>
        </w:rPr>
        <w:t xml:space="preserve">Website: </w:t>
      </w:r>
      <w:hyperlink r:id="rId12" w:history="1">
        <w:r w:rsidRPr="008169C3">
          <w:rPr>
            <w:rStyle w:val="Hyperlink"/>
            <w:rFonts w:ascii="Arial" w:hAnsi="Arial" w:cs="Arial"/>
          </w:rPr>
          <w:t>www.visaeurope.com</w:t>
        </w:r>
      </w:hyperlink>
    </w:p>
    <w:p w14:paraId="03990B15" w14:textId="77777777" w:rsidR="003E5918" w:rsidRDefault="003E5918"/>
    <w:sectPr w:rsidR="003E5918" w:rsidSect="00E33779">
      <w:headerReference w:type="default" r:id="rId1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E6B2A6C" w15:done="0"/>
  <w15:commentEx w15:paraId="4A6D5ECC" w15:done="0"/>
  <w15:commentEx w15:paraId="278C9D1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A7B1C0" w14:textId="77777777" w:rsidR="00C420D2" w:rsidRDefault="00C420D2" w:rsidP="00B421C1">
      <w:pPr>
        <w:spacing w:after="0" w:line="240" w:lineRule="auto"/>
      </w:pPr>
      <w:r>
        <w:separator/>
      </w:r>
    </w:p>
  </w:endnote>
  <w:endnote w:type="continuationSeparator" w:id="0">
    <w:p w14:paraId="4101CE45" w14:textId="77777777" w:rsidR="00C420D2" w:rsidRDefault="00C420D2" w:rsidP="00B421C1">
      <w:pPr>
        <w:spacing w:after="0" w:line="240" w:lineRule="auto"/>
      </w:pPr>
      <w:r>
        <w:continuationSeparator/>
      </w:r>
    </w:p>
  </w:endnote>
  <w:endnote w:id="1">
    <w:p w14:paraId="4CD3CB59" w14:textId="31A1CD32" w:rsidR="00566A90" w:rsidRPr="00566A90" w:rsidRDefault="00566A90">
      <w:pPr>
        <w:pStyle w:val="EndnoteText"/>
        <w:rPr>
          <w:lang w:val="en-GB"/>
        </w:rPr>
      </w:pPr>
      <w:r>
        <w:rPr>
          <w:rStyle w:val="EndnoteReference"/>
        </w:rPr>
        <w:endnoteRef/>
      </w:r>
      <w:r>
        <w:t xml:space="preserve"> </w:t>
      </w:r>
      <w:r>
        <w:rPr>
          <w:lang w:val="en-GB"/>
        </w:rPr>
        <w:t xml:space="preserve">Source Visa Europe </w:t>
      </w:r>
      <w:r w:rsidR="00C67F39">
        <w:rPr>
          <w:lang w:val="en-GB"/>
        </w:rPr>
        <w:t>Processing Data, January 2017</w:t>
      </w:r>
    </w:p>
  </w:endnote>
  <w:endnote w:id="2">
    <w:p w14:paraId="54057E18" w14:textId="24593842" w:rsidR="00566A90" w:rsidRPr="00566A90" w:rsidRDefault="00566A90">
      <w:pPr>
        <w:pStyle w:val="EndnoteText"/>
        <w:rPr>
          <w:lang w:val="en-GB"/>
        </w:rPr>
      </w:pPr>
      <w:r>
        <w:rPr>
          <w:rStyle w:val="EndnoteReference"/>
        </w:rPr>
        <w:endnoteRef/>
      </w:r>
      <w:r>
        <w:t xml:space="preserve"> Source</w:t>
      </w:r>
      <w:r w:rsidRPr="0084156E">
        <w:t xml:space="preserve"> Visa Europe Processed Data, December 2016</w:t>
      </w:r>
    </w:p>
  </w:endnote>
  <w:endnote w:id="3">
    <w:p w14:paraId="44DB3F98" w14:textId="0D10CB36" w:rsidR="00C67F39" w:rsidRPr="00C67F39" w:rsidRDefault="00C67F39">
      <w:pPr>
        <w:pStyle w:val="EndnoteText"/>
      </w:pPr>
      <w:r>
        <w:rPr>
          <w:rStyle w:val="EndnoteReference"/>
        </w:rPr>
        <w:endnoteRef/>
      </w:r>
      <w:r>
        <w:t xml:space="preserve"> S</w:t>
      </w:r>
      <w:r w:rsidRPr="0084156E">
        <w:t>ource Visa Europe Processed Data, December 2016</w:t>
      </w:r>
    </w:p>
  </w:endnote>
  <w:endnote w:id="4">
    <w:p w14:paraId="03323C28" w14:textId="77777777" w:rsidR="00D51A10" w:rsidRPr="0025099D" w:rsidRDefault="00D51A10" w:rsidP="00D51A10">
      <w:pPr>
        <w:pStyle w:val="EndnoteText"/>
        <w:rPr>
          <w:rFonts w:ascii="Arial" w:hAnsi="Arial" w:cs="Arial"/>
        </w:rPr>
      </w:pPr>
      <w:r w:rsidRPr="0025099D">
        <w:rPr>
          <w:rStyle w:val="EndnoteReference"/>
          <w:rFonts w:ascii="Arial" w:hAnsi="Arial" w:cs="Arial"/>
        </w:rPr>
        <w:endnoteRef/>
      </w:r>
      <w:r w:rsidRPr="0025099D">
        <w:rPr>
          <w:rFonts w:ascii="Arial" w:hAnsi="Arial" w:cs="Arial"/>
        </w:rPr>
        <w:t xml:space="preserve"> Gartner, </w:t>
      </w:r>
      <w:proofErr w:type="spellStart"/>
      <w:r>
        <w:rPr>
          <w:rFonts w:ascii="Arial" w:hAnsi="Arial" w:cs="Arial"/>
        </w:rPr>
        <w:t>IoT</w:t>
      </w:r>
      <w:proofErr w:type="spellEnd"/>
      <w:r>
        <w:rPr>
          <w:rFonts w:ascii="Arial" w:hAnsi="Arial" w:cs="Arial"/>
        </w:rPr>
        <w:t xml:space="preserve"> report, November </w:t>
      </w:r>
      <w:r w:rsidRPr="0025099D">
        <w:rPr>
          <w:rFonts w:ascii="Arial" w:hAnsi="Arial" w:cs="Arial"/>
        </w:rPr>
        <w:t>2015</w:t>
      </w:r>
      <w:r>
        <w:rPr>
          <w:rFonts w:ascii="Arial" w:hAnsi="Arial" w:cs="Arial"/>
        </w:rPr>
        <w:t xml:space="preserve">, </w:t>
      </w:r>
      <w:hyperlink r:id="rId1" w:history="1">
        <w:r w:rsidRPr="008C29A5">
          <w:rPr>
            <w:rStyle w:val="Hyperlink"/>
            <w:rFonts w:ascii="Arial" w:hAnsi="Arial" w:cs="Arial"/>
          </w:rPr>
          <w:t>http://www.gartner.com/newsroom/id/3165317</w:t>
        </w:r>
      </w:hyperlink>
      <w:r>
        <w:rPr>
          <w:rFonts w:ascii="Arial" w:hAnsi="Arial" w:cs="Arial"/>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4FE24F" w14:textId="77777777" w:rsidR="00C420D2" w:rsidRDefault="00C420D2" w:rsidP="00B421C1">
      <w:pPr>
        <w:spacing w:after="0" w:line="240" w:lineRule="auto"/>
      </w:pPr>
      <w:r>
        <w:separator/>
      </w:r>
    </w:p>
  </w:footnote>
  <w:footnote w:type="continuationSeparator" w:id="0">
    <w:p w14:paraId="46A62C77" w14:textId="77777777" w:rsidR="00C420D2" w:rsidRDefault="00C420D2" w:rsidP="00B421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3BEF9" w14:textId="6C320528" w:rsidR="006F0E40" w:rsidRDefault="006F0E40">
    <w:pPr>
      <w:pStyle w:val="Header"/>
    </w:pPr>
  </w:p>
  <w:p w14:paraId="0BD76B00" w14:textId="77777777" w:rsidR="006F0E40" w:rsidRDefault="006F0E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C1EF9"/>
    <w:multiLevelType w:val="hybridMultilevel"/>
    <w:tmpl w:val="DCDC73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0855859"/>
    <w:multiLevelType w:val="hybridMultilevel"/>
    <w:tmpl w:val="1E0CF1F2"/>
    <w:lvl w:ilvl="0" w:tplc="08090001">
      <w:start w:val="1"/>
      <w:numFmt w:val="bullet"/>
      <w:lvlText w:val=""/>
      <w:lvlJc w:val="left"/>
      <w:pPr>
        <w:ind w:left="369" w:hanging="360"/>
      </w:pPr>
      <w:rPr>
        <w:rFonts w:ascii="Symbol" w:hAnsi="Symbol" w:hint="default"/>
      </w:rPr>
    </w:lvl>
    <w:lvl w:ilvl="1" w:tplc="08090003" w:tentative="1">
      <w:start w:val="1"/>
      <w:numFmt w:val="bullet"/>
      <w:lvlText w:val="o"/>
      <w:lvlJc w:val="left"/>
      <w:pPr>
        <w:ind w:left="1089" w:hanging="360"/>
      </w:pPr>
      <w:rPr>
        <w:rFonts w:ascii="Courier New" w:hAnsi="Courier New" w:cs="Courier New" w:hint="default"/>
      </w:rPr>
    </w:lvl>
    <w:lvl w:ilvl="2" w:tplc="08090005" w:tentative="1">
      <w:start w:val="1"/>
      <w:numFmt w:val="bullet"/>
      <w:lvlText w:val=""/>
      <w:lvlJc w:val="left"/>
      <w:pPr>
        <w:ind w:left="1809" w:hanging="360"/>
      </w:pPr>
      <w:rPr>
        <w:rFonts w:ascii="Wingdings" w:hAnsi="Wingdings" w:hint="default"/>
      </w:rPr>
    </w:lvl>
    <w:lvl w:ilvl="3" w:tplc="08090001" w:tentative="1">
      <w:start w:val="1"/>
      <w:numFmt w:val="bullet"/>
      <w:lvlText w:val=""/>
      <w:lvlJc w:val="left"/>
      <w:pPr>
        <w:ind w:left="2529" w:hanging="360"/>
      </w:pPr>
      <w:rPr>
        <w:rFonts w:ascii="Symbol" w:hAnsi="Symbol" w:hint="default"/>
      </w:rPr>
    </w:lvl>
    <w:lvl w:ilvl="4" w:tplc="08090003" w:tentative="1">
      <w:start w:val="1"/>
      <w:numFmt w:val="bullet"/>
      <w:lvlText w:val="o"/>
      <w:lvlJc w:val="left"/>
      <w:pPr>
        <w:ind w:left="3249" w:hanging="360"/>
      </w:pPr>
      <w:rPr>
        <w:rFonts w:ascii="Courier New" w:hAnsi="Courier New" w:cs="Courier New" w:hint="default"/>
      </w:rPr>
    </w:lvl>
    <w:lvl w:ilvl="5" w:tplc="08090005" w:tentative="1">
      <w:start w:val="1"/>
      <w:numFmt w:val="bullet"/>
      <w:lvlText w:val=""/>
      <w:lvlJc w:val="left"/>
      <w:pPr>
        <w:ind w:left="3969" w:hanging="360"/>
      </w:pPr>
      <w:rPr>
        <w:rFonts w:ascii="Wingdings" w:hAnsi="Wingdings" w:hint="default"/>
      </w:rPr>
    </w:lvl>
    <w:lvl w:ilvl="6" w:tplc="08090001" w:tentative="1">
      <w:start w:val="1"/>
      <w:numFmt w:val="bullet"/>
      <w:lvlText w:val=""/>
      <w:lvlJc w:val="left"/>
      <w:pPr>
        <w:ind w:left="4689" w:hanging="360"/>
      </w:pPr>
      <w:rPr>
        <w:rFonts w:ascii="Symbol" w:hAnsi="Symbol" w:hint="default"/>
      </w:rPr>
    </w:lvl>
    <w:lvl w:ilvl="7" w:tplc="08090003" w:tentative="1">
      <w:start w:val="1"/>
      <w:numFmt w:val="bullet"/>
      <w:lvlText w:val="o"/>
      <w:lvlJc w:val="left"/>
      <w:pPr>
        <w:ind w:left="5409" w:hanging="360"/>
      </w:pPr>
      <w:rPr>
        <w:rFonts w:ascii="Courier New" w:hAnsi="Courier New" w:cs="Courier New" w:hint="default"/>
      </w:rPr>
    </w:lvl>
    <w:lvl w:ilvl="8" w:tplc="08090005" w:tentative="1">
      <w:start w:val="1"/>
      <w:numFmt w:val="bullet"/>
      <w:lvlText w:val=""/>
      <w:lvlJc w:val="left"/>
      <w:pPr>
        <w:ind w:left="6129" w:hanging="360"/>
      </w:pPr>
      <w:rPr>
        <w:rFonts w:ascii="Wingdings" w:hAnsi="Wingdings" w:hint="default"/>
      </w:rPr>
    </w:lvl>
  </w:abstractNum>
  <w:abstractNum w:abstractNumId="2">
    <w:nsid w:val="2149212F"/>
    <w:multiLevelType w:val="hybridMultilevel"/>
    <w:tmpl w:val="93849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5C61AED"/>
    <w:multiLevelType w:val="hybridMultilevel"/>
    <w:tmpl w:val="5CB89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E3358E0"/>
    <w:multiLevelType w:val="hybridMultilevel"/>
    <w:tmpl w:val="BCFCC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FEC153F"/>
    <w:multiLevelType w:val="hybridMultilevel"/>
    <w:tmpl w:val="87B21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EBD3950"/>
    <w:multiLevelType w:val="hybridMultilevel"/>
    <w:tmpl w:val="FB7EC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3"/>
  </w:num>
  <w:num w:numId="6">
    <w:abstractNumId w:val="2"/>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wanson, Elvira">
    <w15:presenceInfo w15:providerId="AD" w15:userId="S-1-5-21-96684026-1888757961-1698245536-482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CAF"/>
    <w:rsid w:val="00004B96"/>
    <w:rsid w:val="000138CB"/>
    <w:rsid w:val="0001496E"/>
    <w:rsid w:val="0002272F"/>
    <w:rsid w:val="0002356E"/>
    <w:rsid w:val="00034A0D"/>
    <w:rsid w:val="000472CD"/>
    <w:rsid w:val="00063F8F"/>
    <w:rsid w:val="0006691A"/>
    <w:rsid w:val="00073EDA"/>
    <w:rsid w:val="0009696D"/>
    <w:rsid w:val="000A42E2"/>
    <w:rsid w:val="000C01C9"/>
    <w:rsid w:val="000C1F50"/>
    <w:rsid w:val="000E3FA7"/>
    <w:rsid w:val="000E4F46"/>
    <w:rsid w:val="000F6730"/>
    <w:rsid w:val="000F7047"/>
    <w:rsid w:val="00107ECA"/>
    <w:rsid w:val="001100D1"/>
    <w:rsid w:val="00114382"/>
    <w:rsid w:val="00151298"/>
    <w:rsid w:val="0015144C"/>
    <w:rsid w:val="00156758"/>
    <w:rsid w:val="00163E68"/>
    <w:rsid w:val="00165A38"/>
    <w:rsid w:val="00180FBE"/>
    <w:rsid w:val="00182EF5"/>
    <w:rsid w:val="00185ADB"/>
    <w:rsid w:val="001B02E2"/>
    <w:rsid w:val="001E1DAD"/>
    <w:rsid w:val="001E4482"/>
    <w:rsid w:val="00206CE0"/>
    <w:rsid w:val="00220452"/>
    <w:rsid w:val="00220E64"/>
    <w:rsid w:val="00221EB3"/>
    <w:rsid w:val="002325B1"/>
    <w:rsid w:val="00235688"/>
    <w:rsid w:val="00242E85"/>
    <w:rsid w:val="00246D73"/>
    <w:rsid w:val="0026189F"/>
    <w:rsid w:val="00280B84"/>
    <w:rsid w:val="00290664"/>
    <w:rsid w:val="002E5C82"/>
    <w:rsid w:val="002F6305"/>
    <w:rsid w:val="00307A16"/>
    <w:rsid w:val="00311984"/>
    <w:rsid w:val="00313B33"/>
    <w:rsid w:val="00340B6B"/>
    <w:rsid w:val="003532A8"/>
    <w:rsid w:val="003560AC"/>
    <w:rsid w:val="0035626D"/>
    <w:rsid w:val="00362D63"/>
    <w:rsid w:val="00371175"/>
    <w:rsid w:val="003733E0"/>
    <w:rsid w:val="003873B3"/>
    <w:rsid w:val="003936D7"/>
    <w:rsid w:val="00395F5E"/>
    <w:rsid w:val="003A7F6F"/>
    <w:rsid w:val="003B47E2"/>
    <w:rsid w:val="003B6F27"/>
    <w:rsid w:val="003C735C"/>
    <w:rsid w:val="003D5FD5"/>
    <w:rsid w:val="003E33BA"/>
    <w:rsid w:val="003E5918"/>
    <w:rsid w:val="004218B4"/>
    <w:rsid w:val="00435527"/>
    <w:rsid w:val="00453994"/>
    <w:rsid w:val="00461424"/>
    <w:rsid w:val="00462F7C"/>
    <w:rsid w:val="00474EC8"/>
    <w:rsid w:val="00483317"/>
    <w:rsid w:val="00485A93"/>
    <w:rsid w:val="004969DA"/>
    <w:rsid w:val="00496D7B"/>
    <w:rsid w:val="004A57C5"/>
    <w:rsid w:val="004B11D4"/>
    <w:rsid w:val="004C3110"/>
    <w:rsid w:val="004F62CB"/>
    <w:rsid w:val="00555509"/>
    <w:rsid w:val="00557FEC"/>
    <w:rsid w:val="00566A90"/>
    <w:rsid w:val="00574446"/>
    <w:rsid w:val="00576A3B"/>
    <w:rsid w:val="00585464"/>
    <w:rsid w:val="00585EDA"/>
    <w:rsid w:val="00590259"/>
    <w:rsid w:val="00591818"/>
    <w:rsid w:val="005A36E5"/>
    <w:rsid w:val="005C5701"/>
    <w:rsid w:val="0060392C"/>
    <w:rsid w:val="006056BF"/>
    <w:rsid w:val="00605B96"/>
    <w:rsid w:val="0060790B"/>
    <w:rsid w:val="0061114A"/>
    <w:rsid w:val="00613796"/>
    <w:rsid w:val="0062143A"/>
    <w:rsid w:val="006249EA"/>
    <w:rsid w:val="0062733B"/>
    <w:rsid w:val="00632A79"/>
    <w:rsid w:val="00642BE0"/>
    <w:rsid w:val="0065578E"/>
    <w:rsid w:val="0067519C"/>
    <w:rsid w:val="006859DD"/>
    <w:rsid w:val="006912D0"/>
    <w:rsid w:val="00692FA5"/>
    <w:rsid w:val="00696991"/>
    <w:rsid w:val="006A159C"/>
    <w:rsid w:val="006A18E3"/>
    <w:rsid w:val="006D0F5D"/>
    <w:rsid w:val="006D3B26"/>
    <w:rsid w:val="006F0E40"/>
    <w:rsid w:val="00704CE9"/>
    <w:rsid w:val="00724888"/>
    <w:rsid w:val="00731CE4"/>
    <w:rsid w:val="00740575"/>
    <w:rsid w:val="00744154"/>
    <w:rsid w:val="00786160"/>
    <w:rsid w:val="007A6056"/>
    <w:rsid w:val="007B1DA7"/>
    <w:rsid w:val="007D1D21"/>
    <w:rsid w:val="007E2706"/>
    <w:rsid w:val="007E74B9"/>
    <w:rsid w:val="008169C3"/>
    <w:rsid w:val="008179C9"/>
    <w:rsid w:val="00831A2E"/>
    <w:rsid w:val="00835895"/>
    <w:rsid w:val="0084156E"/>
    <w:rsid w:val="00843BA4"/>
    <w:rsid w:val="00851AFB"/>
    <w:rsid w:val="00853896"/>
    <w:rsid w:val="00857E47"/>
    <w:rsid w:val="00881C25"/>
    <w:rsid w:val="00882818"/>
    <w:rsid w:val="00887451"/>
    <w:rsid w:val="00891B69"/>
    <w:rsid w:val="008A65F8"/>
    <w:rsid w:val="008B3C3F"/>
    <w:rsid w:val="008C2171"/>
    <w:rsid w:val="008E20E7"/>
    <w:rsid w:val="008E6140"/>
    <w:rsid w:val="00913799"/>
    <w:rsid w:val="00931AEE"/>
    <w:rsid w:val="00936568"/>
    <w:rsid w:val="00953A63"/>
    <w:rsid w:val="00976AE7"/>
    <w:rsid w:val="009840F0"/>
    <w:rsid w:val="00984969"/>
    <w:rsid w:val="009A15F4"/>
    <w:rsid w:val="009B0AE4"/>
    <w:rsid w:val="009B0CAF"/>
    <w:rsid w:val="009B6159"/>
    <w:rsid w:val="009C7D5D"/>
    <w:rsid w:val="009F55DD"/>
    <w:rsid w:val="00A140EC"/>
    <w:rsid w:val="00A30A47"/>
    <w:rsid w:val="00A461B1"/>
    <w:rsid w:val="00A46DE0"/>
    <w:rsid w:val="00A51F8C"/>
    <w:rsid w:val="00A56AB6"/>
    <w:rsid w:val="00A635B5"/>
    <w:rsid w:val="00A6538B"/>
    <w:rsid w:val="00A6767C"/>
    <w:rsid w:val="00A76561"/>
    <w:rsid w:val="00A8152F"/>
    <w:rsid w:val="00A96064"/>
    <w:rsid w:val="00AA48D3"/>
    <w:rsid w:val="00AC30A3"/>
    <w:rsid w:val="00AC72BE"/>
    <w:rsid w:val="00AD4D2C"/>
    <w:rsid w:val="00AE4D13"/>
    <w:rsid w:val="00AE79DA"/>
    <w:rsid w:val="00AF2657"/>
    <w:rsid w:val="00B06D7E"/>
    <w:rsid w:val="00B11228"/>
    <w:rsid w:val="00B272BD"/>
    <w:rsid w:val="00B421C1"/>
    <w:rsid w:val="00B45B78"/>
    <w:rsid w:val="00B5498D"/>
    <w:rsid w:val="00B64980"/>
    <w:rsid w:val="00B87CB2"/>
    <w:rsid w:val="00C0020E"/>
    <w:rsid w:val="00C00457"/>
    <w:rsid w:val="00C13568"/>
    <w:rsid w:val="00C14855"/>
    <w:rsid w:val="00C161A3"/>
    <w:rsid w:val="00C17344"/>
    <w:rsid w:val="00C267C8"/>
    <w:rsid w:val="00C30DC4"/>
    <w:rsid w:val="00C35913"/>
    <w:rsid w:val="00C35F7D"/>
    <w:rsid w:val="00C420D2"/>
    <w:rsid w:val="00C67F39"/>
    <w:rsid w:val="00CB28A5"/>
    <w:rsid w:val="00CC14EE"/>
    <w:rsid w:val="00CC1595"/>
    <w:rsid w:val="00CC2A4F"/>
    <w:rsid w:val="00CC355E"/>
    <w:rsid w:val="00CC370F"/>
    <w:rsid w:val="00CC6C6D"/>
    <w:rsid w:val="00CF0F04"/>
    <w:rsid w:val="00CF3666"/>
    <w:rsid w:val="00D00FAC"/>
    <w:rsid w:val="00D079D2"/>
    <w:rsid w:val="00D20941"/>
    <w:rsid w:val="00D2790A"/>
    <w:rsid w:val="00D34EE2"/>
    <w:rsid w:val="00D4590D"/>
    <w:rsid w:val="00D51A10"/>
    <w:rsid w:val="00D728D9"/>
    <w:rsid w:val="00D72B18"/>
    <w:rsid w:val="00D77377"/>
    <w:rsid w:val="00D832DB"/>
    <w:rsid w:val="00D84A06"/>
    <w:rsid w:val="00D87728"/>
    <w:rsid w:val="00D87B23"/>
    <w:rsid w:val="00DB7AA2"/>
    <w:rsid w:val="00DD648B"/>
    <w:rsid w:val="00E04F82"/>
    <w:rsid w:val="00E07664"/>
    <w:rsid w:val="00E2670E"/>
    <w:rsid w:val="00E33779"/>
    <w:rsid w:val="00E34C93"/>
    <w:rsid w:val="00E36C51"/>
    <w:rsid w:val="00E45EA1"/>
    <w:rsid w:val="00E659EB"/>
    <w:rsid w:val="00E76B8C"/>
    <w:rsid w:val="00E80929"/>
    <w:rsid w:val="00E971C3"/>
    <w:rsid w:val="00EA14CD"/>
    <w:rsid w:val="00EB32BA"/>
    <w:rsid w:val="00EB68D8"/>
    <w:rsid w:val="00EE7D33"/>
    <w:rsid w:val="00F3100A"/>
    <w:rsid w:val="00F365C4"/>
    <w:rsid w:val="00F5029D"/>
    <w:rsid w:val="00F74831"/>
    <w:rsid w:val="00FA563F"/>
    <w:rsid w:val="00FC1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48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saDocumentname">
    <w:name w:val="Visa Document name"/>
    <w:rsid w:val="003E5918"/>
    <w:pPr>
      <w:spacing w:after="120" w:line="240" w:lineRule="exact"/>
    </w:pPr>
    <w:rPr>
      <w:rFonts w:ascii="Segoe UI" w:eastAsia="Times New Roman" w:hAnsi="Segoe UI" w:cs="Times New Roman"/>
      <w:b/>
      <w:caps/>
      <w:color w:val="44546A" w:themeColor="text2"/>
      <w:spacing w:val="36"/>
      <w:sz w:val="19"/>
      <w:szCs w:val="20"/>
    </w:rPr>
  </w:style>
  <w:style w:type="paragraph" w:customStyle="1" w:styleId="VisaHeadline">
    <w:name w:val="Visa Headline"/>
    <w:rsid w:val="003E5918"/>
    <w:pPr>
      <w:pBdr>
        <w:top w:val="single" w:sz="8" w:space="6" w:color="0023A0"/>
        <w:bottom w:val="single" w:sz="8" w:space="6" w:color="0023A0"/>
      </w:pBdr>
      <w:spacing w:after="0" w:line="480" w:lineRule="exact"/>
    </w:pPr>
    <w:rPr>
      <w:rFonts w:ascii="Segoe UI" w:eastAsia="Times New Roman" w:hAnsi="Segoe UI" w:cs="Times New Roman"/>
      <w:color w:val="1A1F71"/>
      <w:sz w:val="40"/>
      <w:szCs w:val="20"/>
    </w:rPr>
  </w:style>
  <w:style w:type="paragraph" w:customStyle="1" w:styleId="VisaHeadLevelOne">
    <w:name w:val="Visa Head Level One"/>
    <w:autoRedefine/>
    <w:rsid w:val="003E5918"/>
    <w:pPr>
      <w:spacing w:before="120" w:after="0" w:line="312" w:lineRule="auto"/>
      <w:jc w:val="center"/>
    </w:pPr>
    <w:rPr>
      <w:rFonts w:ascii="Segoe UI" w:eastAsia="Times New Roman" w:hAnsi="Segoe UI" w:cs="Segoe UI"/>
      <w:b/>
      <w:i/>
      <w:color w:val="000000" w:themeColor="text1"/>
      <w:sz w:val="20"/>
      <w:szCs w:val="20"/>
    </w:rPr>
  </w:style>
  <w:style w:type="paragraph" w:customStyle="1" w:styleId="VisaBodyText">
    <w:name w:val="Visa Body Text"/>
    <w:rsid w:val="003E5918"/>
    <w:pPr>
      <w:spacing w:line="360" w:lineRule="auto"/>
    </w:pPr>
    <w:rPr>
      <w:rFonts w:ascii="Segoe UI" w:eastAsia="Times New Roman" w:hAnsi="Segoe UI" w:cs="Arial"/>
      <w:bCs/>
      <w:color w:val="000000" w:themeColor="text1"/>
      <w:sz w:val="20"/>
      <w:szCs w:val="20"/>
    </w:rPr>
  </w:style>
  <w:style w:type="paragraph" w:customStyle="1" w:styleId="VisaNoteText">
    <w:name w:val="Visa Note Text"/>
    <w:basedOn w:val="VisaBodyText"/>
    <w:rsid w:val="003E5918"/>
    <w:pPr>
      <w:spacing w:line="240" w:lineRule="auto"/>
    </w:pPr>
  </w:style>
  <w:style w:type="paragraph" w:styleId="ListParagraph">
    <w:name w:val="List Paragraph"/>
    <w:uiPriority w:val="34"/>
    <w:qFormat/>
    <w:rsid w:val="004969DA"/>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eastAsia="en-GB"/>
    </w:rPr>
  </w:style>
  <w:style w:type="character" w:styleId="CommentReference">
    <w:name w:val="annotation reference"/>
    <w:basedOn w:val="DefaultParagraphFont"/>
    <w:uiPriority w:val="99"/>
    <w:semiHidden/>
    <w:unhideWhenUsed/>
    <w:rsid w:val="004969DA"/>
    <w:rPr>
      <w:sz w:val="16"/>
      <w:szCs w:val="16"/>
    </w:rPr>
  </w:style>
  <w:style w:type="paragraph" w:styleId="CommentText">
    <w:name w:val="annotation text"/>
    <w:basedOn w:val="Normal"/>
    <w:link w:val="CommentTextChar"/>
    <w:uiPriority w:val="99"/>
    <w:semiHidden/>
    <w:unhideWhenUsed/>
    <w:rsid w:val="004969DA"/>
    <w:pPr>
      <w:spacing w:after="0" w:line="240" w:lineRule="auto"/>
    </w:pPr>
    <w:rPr>
      <w:rFonts w:ascii="Segoe UI" w:eastAsia="Times New Roman" w:hAnsi="Segoe UI" w:cs="Times New Roman"/>
      <w:color w:val="75787B"/>
      <w:sz w:val="20"/>
      <w:szCs w:val="20"/>
      <w:lang w:val="en-GB"/>
    </w:rPr>
  </w:style>
  <w:style w:type="character" w:customStyle="1" w:styleId="CommentTextChar">
    <w:name w:val="Comment Text Char"/>
    <w:basedOn w:val="DefaultParagraphFont"/>
    <w:link w:val="CommentText"/>
    <w:uiPriority w:val="99"/>
    <w:semiHidden/>
    <w:rsid w:val="004969DA"/>
    <w:rPr>
      <w:rFonts w:ascii="Segoe UI" w:eastAsia="Times New Roman" w:hAnsi="Segoe UI" w:cs="Times New Roman"/>
      <w:color w:val="75787B"/>
      <w:sz w:val="20"/>
      <w:szCs w:val="20"/>
      <w:lang w:val="en-GB"/>
    </w:rPr>
  </w:style>
  <w:style w:type="paragraph" w:styleId="BalloonText">
    <w:name w:val="Balloon Text"/>
    <w:basedOn w:val="Normal"/>
    <w:link w:val="BalloonTextChar"/>
    <w:uiPriority w:val="99"/>
    <w:semiHidden/>
    <w:unhideWhenUsed/>
    <w:rsid w:val="00496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9DA"/>
    <w:rPr>
      <w:rFonts w:ascii="Tahoma" w:hAnsi="Tahoma" w:cs="Tahoma"/>
      <w:sz w:val="16"/>
      <w:szCs w:val="16"/>
    </w:rPr>
  </w:style>
  <w:style w:type="character" w:styleId="Hyperlink">
    <w:name w:val="Hyperlink"/>
    <w:uiPriority w:val="99"/>
    <w:rsid w:val="00851AFB"/>
    <w:rPr>
      <w:color w:val="0000FF"/>
      <w:u w:val="single"/>
    </w:rPr>
  </w:style>
  <w:style w:type="character" w:styleId="Strong">
    <w:name w:val="Strong"/>
    <w:qFormat/>
    <w:rsid w:val="00851AFB"/>
    <w:rPr>
      <w:b/>
      <w:bCs/>
    </w:rPr>
  </w:style>
  <w:style w:type="paragraph" w:styleId="CommentSubject">
    <w:name w:val="annotation subject"/>
    <w:basedOn w:val="CommentText"/>
    <w:next w:val="CommentText"/>
    <w:link w:val="CommentSubjectChar"/>
    <w:uiPriority w:val="99"/>
    <w:semiHidden/>
    <w:unhideWhenUsed/>
    <w:rsid w:val="00887451"/>
    <w:pPr>
      <w:spacing w:after="160"/>
    </w:pPr>
    <w:rPr>
      <w:rFonts w:asciiTheme="minorHAnsi" w:eastAsiaTheme="minorHAnsi" w:hAnsiTheme="minorHAnsi" w:cstheme="minorBidi"/>
      <w:b/>
      <w:bCs/>
      <w:color w:val="auto"/>
      <w:lang w:val="en-US"/>
    </w:rPr>
  </w:style>
  <w:style w:type="character" w:customStyle="1" w:styleId="CommentSubjectChar">
    <w:name w:val="Comment Subject Char"/>
    <w:basedOn w:val="CommentTextChar"/>
    <w:link w:val="CommentSubject"/>
    <w:uiPriority w:val="99"/>
    <w:semiHidden/>
    <w:rsid w:val="00887451"/>
    <w:rPr>
      <w:rFonts w:ascii="Segoe UI" w:eastAsia="Times New Roman" w:hAnsi="Segoe UI" w:cs="Times New Roman"/>
      <w:b/>
      <w:bCs/>
      <w:color w:val="75787B"/>
      <w:sz w:val="20"/>
      <w:szCs w:val="20"/>
      <w:lang w:val="en-GB"/>
    </w:rPr>
  </w:style>
  <w:style w:type="paragraph" w:styleId="Revision">
    <w:name w:val="Revision"/>
    <w:hidden/>
    <w:uiPriority w:val="99"/>
    <w:semiHidden/>
    <w:rsid w:val="00887451"/>
    <w:pPr>
      <w:spacing w:after="0" w:line="240" w:lineRule="auto"/>
    </w:pPr>
  </w:style>
  <w:style w:type="paragraph" w:styleId="Header">
    <w:name w:val="header"/>
    <w:basedOn w:val="Normal"/>
    <w:link w:val="HeaderChar"/>
    <w:uiPriority w:val="99"/>
    <w:unhideWhenUsed/>
    <w:rsid w:val="00B421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1C1"/>
  </w:style>
  <w:style w:type="paragraph" w:styleId="Footer">
    <w:name w:val="footer"/>
    <w:basedOn w:val="Normal"/>
    <w:link w:val="FooterChar"/>
    <w:uiPriority w:val="99"/>
    <w:unhideWhenUsed/>
    <w:rsid w:val="00B421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1C1"/>
  </w:style>
  <w:style w:type="paragraph" w:styleId="EndnoteText">
    <w:name w:val="endnote text"/>
    <w:basedOn w:val="Normal"/>
    <w:link w:val="EndnoteTextChar"/>
    <w:uiPriority w:val="99"/>
    <w:semiHidden/>
    <w:unhideWhenUsed/>
    <w:rsid w:val="003119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1984"/>
    <w:rPr>
      <w:sz w:val="20"/>
      <w:szCs w:val="20"/>
    </w:rPr>
  </w:style>
  <w:style w:type="character" w:styleId="EndnoteReference">
    <w:name w:val="endnote reference"/>
    <w:basedOn w:val="DefaultParagraphFont"/>
    <w:uiPriority w:val="99"/>
    <w:semiHidden/>
    <w:unhideWhenUsed/>
    <w:rsid w:val="0031198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saDocumentname">
    <w:name w:val="Visa Document name"/>
    <w:rsid w:val="003E5918"/>
    <w:pPr>
      <w:spacing w:after="120" w:line="240" w:lineRule="exact"/>
    </w:pPr>
    <w:rPr>
      <w:rFonts w:ascii="Segoe UI" w:eastAsia="Times New Roman" w:hAnsi="Segoe UI" w:cs="Times New Roman"/>
      <w:b/>
      <w:caps/>
      <w:color w:val="44546A" w:themeColor="text2"/>
      <w:spacing w:val="36"/>
      <w:sz w:val="19"/>
      <w:szCs w:val="20"/>
    </w:rPr>
  </w:style>
  <w:style w:type="paragraph" w:customStyle="1" w:styleId="VisaHeadline">
    <w:name w:val="Visa Headline"/>
    <w:rsid w:val="003E5918"/>
    <w:pPr>
      <w:pBdr>
        <w:top w:val="single" w:sz="8" w:space="6" w:color="0023A0"/>
        <w:bottom w:val="single" w:sz="8" w:space="6" w:color="0023A0"/>
      </w:pBdr>
      <w:spacing w:after="0" w:line="480" w:lineRule="exact"/>
    </w:pPr>
    <w:rPr>
      <w:rFonts w:ascii="Segoe UI" w:eastAsia="Times New Roman" w:hAnsi="Segoe UI" w:cs="Times New Roman"/>
      <w:color w:val="1A1F71"/>
      <w:sz w:val="40"/>
      <w:szCs w:val="20"/>
    </w:rPr>
  </w:style>
  <w:style w:type="paragraph" w:customStyle="1" w:styleId="VisaHeadLevelOne">
    <w:name w:val="Visa Head Level One"/>
    <w:autoRedefine/>
    <w:rsid w:val="003E5918"/>
    <w:pPr>
      <w:spacing w:before="120" w:after="0" w:line="312" w:lineRule="auto"/>
      <w:jc w:val="center"/>
    </w:pPr>
    <w:rPr>
      <w:rFonts w:ascii="Segoe UI" w:eastAsia="Times New Roman" w:hAnsi="Segoe UI" w:cs="Segoe UI"/>
      <w:b/>
      <w:i/>
      <w:color w:val="000000" w:themeColor="text1"/>
      <w:sz w:val="20"/>
      <w:szCs w:val="20"/>
    </w:rPr>
  </w:style>
  <w:style w:type="paragraph" w:customStyle="1" w:styleId="VisaBodyText">
    <w:name w:val="Visa Body Text"/>
    <w:rsid w:val="003E5918"/>
    <w:pPr>
      <w:spacing w:line="360" w:lineRule="auto"/>
    </w:pPr>
    <w:rPr>
      <w:rFonts w:ascii="Segoe UI" w:eastAsia="Times New Roman" w:hAnsi="Segoe UI" w:cs="Arial"/>
      <w:bCs/>
      <w:color w:val="000000" w:themeColor="text1"/>
      <w:sz w:val="20"/>
      <w:szCs w:val="20"/>
    </w:rPr>
  </w:style>
  <w:style w:type="paragraph" w:customStyle="1" w:styleId="VisaNoteText">
    <w:name w:val="Visa Note Text"/>
    <w:basedOn w:val="VisaBodyText"/>
    <w:rsid w:val="003E5918"/>
    <w:pPr>
      <w:spacing w:line="240" w:lineRule="auto"/>
    </w:pPr>
  </w:style>
  <w:style w:type="paragraph" w:styleId="ListParagraph">
    <w:name w:val="List Paragraph"/>
    <w:uiPriority w:val="34"/>
    <w:qFormat/>
    <w:rsid w:val="004969DA"/>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eastAsia="en-GB"/>
    </w:rPr>
  </w:style>
  <w:style w:type="character" w:styleId="CommentReference">
    <w:name w:val="annotation reference"/>
    <w:basedOn w:val="DefaultParagraphFont"/>
    <w:uiPriority w:val="99"/>
    <w:semiHidden/>
    <w:unhideWhenUsed/>
    <w:rsid w:val="004969DA"/>
    <w:rPr>
      <w:sz w:val="16"/>
      <w:szCs w:val="16"/>
    </w:rPr>
  </w:style>
  <w:style w:type="paragraph" w:styleId="CommentText">
    <w:name w:val="annotation text"/>
    <w:basedOn w:val="Normal"/>
    <w:link w:val="CommentTextChar"/>
    <w:uiPriority w:val="99"/>
    <w:semiHidden/>
    <w:unhideWhenUsed/>
    <w:rsid w:val="004969DA"/>
    <w:pPr>
      <w:spacing w:after="0" w:line="240" w:lineRule="auto"/>
    </w:pPr>
    <w:rPr>
      <w:rFonts w:ascii="Segoe UI" w:eastAsia="Times New Roman" w:hAnsi="Segoe UI" w:cs="Times New Roman"/>
      <w:color w:val="75787B"/>
      <w:sz w:val="20"/>
      <w:szCs w:val="20"/>
      <w:lang w:val="en-GB"/>
    </w:rPr>
  </w:style>
  <w:style w:type="character" w:customStyle="1" w:styleId="CommentTextChar">
    <w:name w:val="Comment Text Char"/>
    <w:basedOn w:val="DefaultParagraphFont"/>
    <w:link w:val="CommentText"/>
    <w:uiPriority w:val="99"/>
    <w:semiHidden/>
    <w:rsid w:val="004969DA"/>
    <w:rPr>
      <w:rFonts w:ascii="Segoe UI" w:eastAsia="Times New Roman" w:hAnsi="Segoe UI" w:cs="Times New Roman"/>
      <w:color w:val="75787B"/>
      <w:sz w:val="20"/>
      <w:szCs w:val="20"/>
      <w:lang w:val="en-GB"/>
    </w:rPr>
  </w:style>
  <w:style w:type="paragraph" w:styleId="BalloonText">
    <w:name w:val="Balloon Text"/>
    <w:basedOn w:val="Normal"/>
    <w:link w:val="BalloonTextChar"/>
    <w:uiPriority w:val="99"/>
    <w:semiHidden/>
    <w:unhideWhenUsed/>
    <w:rsid w:val="00496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9DA"/>
    <w:rPr>
      <w:rFonts w:ascii="Tahoma" w:hAnsi="Tahoma" w:cs="Tahoma"/>
      <w:sz w:val="16"/>
      <w:szCs w:val="16"/>
    </w:rPr>
  </w:style>
  <w:style w:type="character" w:styleId="Hyperlink">
    <w:name w:val="Hyperlink"/>
    <w:uiPriority w:val="99"/>
    <w:rsid w:val="00851AFB"/>
    <w:rPr>
      <w:color w:val="0000FF"/>
      <w:u w:val="single"/>
    </w:rPr>
  </w:style>
  <w:style w:type="character" w:styleId="Strong">
    <w:name w:val="Strong"/>
    <w:qFormat/>
    <w:rsid w:val="00851AFB"/>
    <w:rPr>
      <w:b/>
      <w:bCs/>
    </w:rPr>
  </w:style>
  <w:style w:type="paragraph" w:styleId="CommentSubject">
    <w:name w:val="annotation subject"/>
    <w:basedOn w:val="CommentText"/>
    <w:next w:val="CommentText"/>
    <w:link w:val="CommentSubjectChar"/>
    <w:uiPriority w:val="99"/>
    <w:semiHidden/>
    <w:unhideWhenUsed/>
    <w:rsid w:val="00887451"/>
    <w:pPr>
      <w:spacing w:after="160"/>
    </w:pPr>
    <w:rPr>
      <w:rFonts w:asciiTheme="minorHAnsi" w:eastAsiaTheme="minorHAnsi" w:hAnsiTheme="minorHAnsi" w:cstheme="minorBidi"/>
      <w:b/>
      <w:bCs/>
      <w:color w:val="auto"/>
      <w:lang w:val="en-US"/>
    </w:rPr>
  </w:style>
  <w:style w:type="character" w:customStyle="1" w:styleId="CommentSubjectChar">
    <w:name w:val="Comment Subject Char"/>
    <w:basedOn w:val="CommentTextChar"/>
    <w:link w:val="CommentSubject"/>
    <w:uiPriority w:val="99"/>
    <w:semiHidden/>
    <w:rsid w:val="00887451"/>
    <w:rPr>
      <w:rFonts w:ascii="Segoe UI" w:eastAsia="Times New Roman" w:hAnsi="Segoe UI" w:cs="Times New Roman"/>
      <w:b/>
      <w:bCs/>
      <w:color w:val="75787B"/>
      <w:sz w:val="20"/>
      <w:szCs w:val="20"/>
      <w:lang w:val="en-GB"/>
    </w:rPr>
  </w:style>
  <w:style w:type="paragraph" w:styleId="Revision">
    <w:name w:val="Revision"/>
    <w:hidden/>
    <w:uiPriority w:val="99"/>
    <w:semiHidden/>
    <w:rsid w:val="00887451"/>
    <w:pPr>
      <w:spacing w:after="0" w:line="240" w:lineRule="auto"/>
    </w:pPr>
  </w:style>
  <w:style w:type="paragraph" w:styleId="Header">
    <w:name w:val="header"/>
    <w:basedOn w:val="Normal"/>
    <w:link w:val="HeaderChar"/>
    <w:uiPriority w:val="99"/>
    <w:unhideWhenUsed/>
    <w:rsid w:val="00B421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1C1"/>
  </w:style>
  <w:style w:type="paragraph" w:styleId="Footer">
    <w:name w:val="footer"/>
    <w:basedOn w:val="Normal"/>
    <w:link w:val="FooterChar"/>
    <w:uiPriority w:val="99"/>
    <w:unhideWhenUsed/>
    <w:rsid w:val="00B421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1C1"/>
  </w:style>
  <w:style w:type="paragraph" w:styleId="EndnoteText">
    <w:name w:val="endnote text"/>
    <w:basedOn w:val="Normal"/>
    <w:link w:val="EndnoteTextChar"/>
    <w:uiPriority w:val="99"/>
    <w:semiHidden/>
    <w:unhideWhenUsed/>
    <w:rsid w:val="003119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1984"/>
    <w:rPr>
      <w:sz w:val="20"/>
      <w:szCs w:val="20"/>
    </w:rPr>
  </w:style>
  <w:style w:type="character" w:styleId="EndnoteReference">
    <w:name w:val="endnote reference"/>
    <w:basedOn w:val="DefaultParagraphFont"/>
    <w:uiPriority w:val="99"/>
    <w:semiHidden/>
    <w:unhideWhenUsed/>
    <w:rsid w:val="003119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31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www.visaeurop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witter.com/visaeuropenew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usa.visa.com/visa-everywhere/innovation/visa-ibm-changing-digital-payments-and-iot.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 Id="rId22" Type="http://schemas.microsoft.com/office/2011/relationships/people" Target="people.xml"/></Relationships>
</file>

<file path=word/_rels/endnotes.xml.rels><?xml version="1.0" encoding="UTF-8" standalone="yes"?>
<Relationships xmlns="http://schemas.openxmlformats.org/package/2006/relationships"><Relationship Id="rId1" Type="http://schemas.openxmlformats.org/officeDocument/2006/relationships/hyperlink" Target="http://www.gartner.com/newsroom/id/31653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B9470-61B5-45F5-A7D7-98406E2DD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Visa Inc.</Company>
  <LinksUpToDate>false</LinksUpToDate>
  <CharactersWithSpaces>5600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Chieng, Stephanie</dc:creator>
  <cp:lastModifiedBy>Delia Williams-Falokun</cp:lastModifiedBy>
  <cp:revision>6</cp:revision>
  <cp:lastPrinted>2017-02-17T13:03:00Z</cp:lastPrinted>
  <dcterms:created xsi:type="dcterms:W3CDTF">2017-02-19T10:42:00Z</dcterms:created>
  <dcterms:modified xsi:type="dcterms:W3CDTF">2017-02-20T17:45:00Z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