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BE" w:rsidRDefault="003F1E0A" w:rsidP="000B27D9">
      <w:pPr>
        <w:spacing w:line="240" w:lineRule="auto"/>
        <w:rPr>
          <w:rFonts w:ascii="Arial" w:hAnsi="Arial" w:cs="Arial"/>
          <w:color w:val="0079C1"/>
          <w:sz w:val="32"/>
          <w:szCs w:val="32"/>
          <w:lang w:val="nb-NO"/>
        </w:rPr>
      </w:pPr>
      <w:r w:rsidRPr="00F804E4">
        <w:rPr>
          <w:rFonts w:ascii="Arial" w:hAnsi="Arial" w:cs="Arial"/>
          <w:color w:val="0079C1"/>
          <w:sz w:val="32"/>
          <w:szCs w:val="32"/>
          <w:lang w:val="nb-NO"/>
        </w:rPr>
        <w:t>Nye overflatebehandlingsrondeller med lengre levetid</w:t>
      </w:r>
    </w:p>
    <w:p w:rsidR="00126428" w:rsidRPr="00126428" w:rsidRDefault="00126428" w:rsidP="000B27D9">
      <w:pPr>
        <w:spacing w:line="240" w:lineRule="auto"/>
        <w:rPr>
          <w:rFonts w:ascii="Helvetica" w:hAnsi="Helvetica" w:cs="Helvetica"/>
          <w:color w:val="0079C1"/>
          <w:sz w:val="32"/>
          <w:szCs w:val="32"/>
          <w:lang w:val="nb-NO"/>
        </w:rPr>
      </w:pP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</w:r>
      <w:r>
        <w:rPr>
          <w:rFonts w:ascii="Arial" w:hAnsi="Arial" w:cs="Arial"/>
          <w:color w:val="0079C1"/>
          <w:sz w:val="32"/>
          <w:szCs w:val="32"/>
          <w:lang w:val="nb-NO"/>
        </w:rPr>
        <w:tab/>
        <w:t xml:space="preserve">      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Oktober 2013</w:t>
      </w:r>
    </w:p>
    <w:p w:rsidR="00A81ABA" w:rsidRPr="00F804E4" w:rsidRDefault="00A81ABA">
      <w:pPr>
        <w:rPr>
          <w:rFonts w:ascii="Arial" w:hAnsi="Arial" w:cs="Arial"/>
          <w:color w:val="7F7F7F" w:themeColor="text1" w:themeTint="80"/>
          <w:sz w:val="20"/>
          <w:szCs w:val="20"/>
          <w:lang w:val="nb-NO"/>
        </w:rPr>
      </w:pPr>
    </w:p>
    <w:p w:rsidR="003F1E0A" w:rsidRPr="003F1E0A" w:rsidRDefault="003F1E0A" w:rsidP="003F1E0A">
      <w:pPr>
        <w:pStyle w:val="NormalWeb"/>
        <w:spacing w:before="0" w:beforeAutospacing="0" w:after="135" w:afterAutospacing="0" w:line="270" w:lineRule="atLeast"/>
        <w:rPr>
          <w:rFonts w:ascii="Helvetica" w:hAnsi="Helvetica" w:cs="Helvetica"/>
          <w:color w:val="555555"/>
          <w:sz w:val="20"/>
          <w:szCs w:val="20"/>
          <w:lang w:val="nb-NO"/>
        </w:rPr>
      </w:pP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Nortons ny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rondeller f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overflatebehandling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, Rapid Prep,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 m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et motst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a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ndskraftig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mot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slitasje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får d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rmed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lengre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levetid, noe som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i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 effektivitets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forbedringer i henhold til produsenten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.</w:t>
      </w:r>
    </w:p>
    <w:p w:rsidR="003F1E0A" w:rsidRPr="003F1E0A" w:rsidRDefault="003F1E0A" w:rsidP="003F1E0A">
      <w:pPr>
        <w:pStyle w:val="NormalWeb"/>
        <w:spacing w:before="0" w:beforeAutospacing="0" w:after="135" w:afterAutospacing="0" w:line="270" w:lineRule="atLeast"/>
        <w:rPr>
          <w:rFonts w:ascii="Helvetica" w:hAnsi="Helvetica" w:cs="Helvetica"/>
          <w:color w:val="555555"/>
          <w:sz w:val="20"/>
          <w:szCs w:val="20"/>
          <w:lang w:val="nb-NO"/>
        </w:rPr>
      </w:pP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De ny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overflatebehandlings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rondellen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beregnet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f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fjern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i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ng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av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flate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defekter, slip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emer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ke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r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, r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u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st, korros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j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on,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maling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gl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ø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d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ska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l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l, reng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jø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ring av form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r, l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tt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re grading av kanter mm. Norton Rapid Prep-rondellen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 m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et motst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a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ndskraftig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mot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slitasje noe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som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jø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at de har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pp til 15-25</w:t>
      </w:r>
      <w:r w:rsidR="00FC1885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%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le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gre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levetid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n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tradisjonelle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rondeller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i henhold til produsenten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. Rondellen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 gi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minimal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igjensetting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spe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ielt på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høylegert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stål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h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vilket eliminer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ytterligere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bearbe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idi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ng av detaljen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. De har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dessuten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liten ris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i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k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f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 ig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j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ens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tting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noe som gjør dem egnet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f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 bearbe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idi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ng av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myke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metaller som aluminium.</w:t>
      </w:r>
    </w:p>
    <w:p w:rsidR="003F1E0A" w:rsidRPr="003F1E0A" w:rsidRDefault="003F1E0A" w:rsidP="003F1E0A">
      <w:pPr>
        <w:pStyle w:val="NormalWeb"/>
        <w:spacing w:before="0" w:beforeAutospacing="0" w:after="135" w:afterAutospacing="0" w:line="270" w:lineRule="atLeast"/>
        <w:rPr>
          <w:rFonts w:ascii="Helvetica" w:hAnsi="Helvetica" w:cs="Helvetica"/>
          <w:color w:val="555555"/>
          <w:sz w:val="20"/>
          <w:szCs w:val="20"/>
          <w:lang w:val="nb-NO"/>
        </w:rPr>
      </w:pP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Rapid Prep-rondellen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finn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s i 25, 38, 50 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76 mm diameter 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 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utstyrt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med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hurtigfeste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. De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benyttes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sammen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med en spe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iell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holder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f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bruk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i pneumatisk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eller elektrisk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maskiner. De finns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dessuten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i diameter 115, 127 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180 mm 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 d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a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enten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utstyrt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med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borrelåsfeste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eller med h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ul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l f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o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r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bruk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med l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ø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s spindel. Rondellen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finn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s i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grovheter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fra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ks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tra grov til M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eg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et fin. Slip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emi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d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de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let i rondellen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er produsert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av 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høytpresterende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aluminiumo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ks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id.</w:t>
      </w:r>
    </w:p>
    <w:p w:rsidR="003F1E0A" w:rsidRPr="003F1E0A" w:rsidRDefault="003F1E0A" w:rsidP="003F1E0A">
      <w:pPr>
        <w:pStyle w:val="NormalWeb"/>
        <w:spacing w:before="0" w:beforeAutospacing="0" w:after="135" w:afterAutospacing="0" w:line="270" w:lineRule="atLeast"/>
        <w:rPr>
          <w:rFonts w:ascii="Helvetica" w:hAnsi="Helvetica" w:cs="Helvetica"/>
          <w:color w:val="555555"/>
          <w:sz w:val="20"/>
          <w:szCs w:val="20"/>
          <w:lang w:val="nb-NO"/>
        </w:rPr>
      </w:pP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”Ta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kket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v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æ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re at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 de ny</w:t>
      </w:r>
      <w:r w:rsidR="00FC1885"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 xml:space="preserve"> Rapid Prep-rondelle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n</w:t>
      </w:r>
      <w:r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s</w:t>
      </w:r>
      <w:r w:rsidR="00FC1885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l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ngre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levetid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blir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 xml:space="preserve">overflatebehandling mer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effektiv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samtidig</w:t>
      </w:r>
      <w:r w:rsidR="001E503D">
        <w:rPr>
          <w:rFonts w:ascii="Helvetica" w:hAnsi="Helvetica" w:cs="Helvetica"/>
          <w:color w:val="555555"/>
          <w:sz w:val="20"/>
          <w:szCs w:val="20"/>
          <w:lang w:val="nb-NO"/>
        </w:rPr>
        <w:t>,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som man får et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bedre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slu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t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tresultat som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ikke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kr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ver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noen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ytterlig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e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re bearbe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id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ing” s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ier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Audun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Hjelseth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,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salgssjef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hos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Saint-Gobain</w:t>
      </w:r>
      <w:r w:rsidR="001E503D">
        <w:rPr>
          <w:rFonts w:ascii="Helvetica" w:hAnsi="Helvetica" w:cs="Helvetica"/>
          <w:color w:val="555555"/>
          <w:sz w:val="20"/>
          <w:szCs w:val="20"/>
          <w:lang w:val="nb-NO"/>
        </w:rPr>
        <w:t xml:space="preserve"> 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Abrasives A</w:t>
      </w:r>
      <w:r w:rsidR="00F804E4">
        <w:rPr>
          <w:rFonts w:ascii="Helvetica" w:hAnsi="Helvetica" w:cs="Helvetica"/>
          <w:color w:val="555555"/>
          <w:sz w:val="20"/>
          <w:szCs w:val="20"/>
          <w:lang w:val="nb-NO"/>
        </w:rPr>
        <w:t>S</w:t>
      </w:r>
      <w:r w:rsidRPr="003F1E0A">
        <w:rPr>
          <w:rFonts w:ascii="Helvetica" w:hAnsi="Helvetica" w:cs="Helvetica"/>
          <w:color w:val="555555"/>
          <w:sz w:val="20"/>
          <w:szCs w:val="20"/>
          <w:lang w:val="nb-NO"/>
        </w:rPr>
        <w:t>.</w:t>
      </w:r>
    </w:p>
    <w:p w:rsidR="008D46D9" w:rsidRPr="003F1E0A" w:rsidRDefault="008D46D9" w:rsidP="00A81ABA">
      <w:pPr>
        <w:tabs>
          <w:tab w:val="left" w:pos="3134"/>
        </w:tabs>
        <w:rPr>
          <w:lang w:val="nb-NO"/>
        </w:rPr>
      </w:pPr>
      <w:bookmarkStart w:id="0" w:name="_GoBack"/>
      <w:bookmarkEnd w:id="0"/>
    </w:p>
    <w:sectPr w:rsidR="008D46D9" w:rsidRPr="003F1E0A" w:rsidSect="000B27D9">
      <w:headerReference w:type="default" r:id="rId8"/>
      <w:footerReference w:type="default" r:id="rId9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0A" w:rsidRDefault="003F1E0A" w:rsidP="000B27D9">
      <w:pPr>
        <w:spacing w:after="0" w:line="240" w:lineRule="auto"/>
      </w:pPr>
      <w:r>
        <w:separator/>
      </w:r>
    </w:p>
  </w:endnote>
  <w:endnote w:type="continuationSeparator" w:id="0">
    <w:p w:rsidR="003F1E0A" w:rsidRDefault="003F1E0A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0A" w:rsidRDefault="003F1E0A">
    <w:pPr>
      <w:pStyle w:val="Bunntekst"/>
    </w:pPr>
    <w:r w:rsidRPr="008D46D9">
      <w:rPr>
        <w:rFonts w:ascii="Arial" w:hAnsi="Arial" w:cs="Arial"/>
        <w:noProof/>
        <w:color w:val="0079C1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0747E6" wp14:editId="3F5E4442">
              <wp:simplePos x="0" y="0"/>
              <wp:positionH relativeFrom="column">
                <wp:posOffset>-325120</wp:posOffset>
              </wp:positionH>
              <wp:positionV relativeFrom="page">
                <wp:posOffset>7915597</wp:posOffset>
              </wp:positionV>
              <wp:extent cx="6591300" cy="474980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1E0A" w:rsidRPr="008D46D9" w:rsidRDefault="003F1E0A" w:rsidP="000B27D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Saint-Gobain Abrasives AS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D46D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Brobekkveien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84 0582 Oslo, P.b. 11, Alna, 0614 Oslo</w:t>
                          </w:r>
                        </w:p>
                        <w:p w:rsidR="003F1E0A" w:rsidRPr="008D46D9" w:rsidRDefault="003F1E0A" w:rsidP="000B27D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D46D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63 87 06 00</w:t>
                          </w:r>
                          <w:r w:rsidRPr="008D46D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Fax: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63 87 06 01</w:t>
                          </w:r>
                          <w:r w:rsidRPr="008D46D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Email: </w:t>
                          </w:r>
                          <w:hyperlink r:id="rId1" w:history="1">
                            <w:r w:rsidRPr="003B0FA4">
                              <w:rPr>
                                <w:rStyle w:val="Hyperkobling"/>
                                <w:rFonts w:ascii="Arial" w:hAnsi="Arial" w:cs="Arial"/>
                                <w:sz w:val="18"/>
                                <w:szCs w:val="18"/>
                              </w:rPr>
                              <w:t>sga.no@saint-gobain.com</w:t>
                            </w:r>
                          </w:hyperlink>
                          <w:r w:rsidRPr="008D46D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www.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saint-gobain-abrasives</w:t>
                          </w:r>
                          <w:r w:rsidRPr="008D46D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6pt;margin-top:623.3pt;width:519pt;height:3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    <v:textbox>
                <w:txbxContent>
                  <w:p w:rsidR="003F1E0A" w:rsidRPr="008D46D9" w:rsidRDefault="003F1E0A" w:rsidP="000B27D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Saint-Gobain Abrasives AS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Pr="008D46D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Brobekkveien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84 0582 Oslo, P.b. 11, Alna, 0614 Oslo</w:t>
                    </w:r>
                  </w:p>
                  <w:p w:rsidR="003F1E0A" w:rsidRPr="008D46D9" w:rsidRDefault="003F1E0A" w:rsidP="000B27D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D46D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63 87 06 00</w:t>
                    </w:r>
                    <w:r w:rsidRPr="008D46D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Fax: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63 87 06 01</w:t>
                    </w:r>
                    <w:r w:rsidRPr="008D46D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Email: </w:t>
                    </w:r>
                    <w:hyperlink r:id="rId2" w:history="1">
                      <w:r w:rsidRPr="003B0FA4">
                        <w:rPr>
                          <w:rStyle w:val="Hyperkobling"/>
                          <w:rFonts w:ascii="Arial" w:hAnsi="Arial" w:cs="Arial"/>
                          <w:sz w:val="18"/>
                          <w:szCs w:val="18"/>
                        </w:rPr>
                        <w:t>sga.no@saint-gobain.com</w:t>
                      </w:r>
                    </w:hyperlink>
                    <w:r w:rsidRPr="008D46D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www.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saint-gobain-abrasives</w:t>
                    </w:r>
                    <w:r w:rsidRPr="008D46D9">
                      <w:rPr>
                        <w:rFonts w:ascii="Arial" w:hAnsi="Arial" w:cs="Arial"/>
                        <w:sz w:val="18"/>
                        <w:szCs w:val="18"/>
                      </w:rPr>
                      <w:t>.com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F1E0A" w:rsidRDefault="003F1E0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0A" w:rsidRDefault="003F1E0A" w:rsidP="000B27D9">
      <w:pPr>
        <w:spacing w:after="0" w:line="240" w:lineRule="auto"/>
      </w:pPr>
      <w:r>
        <w:separator/>
      </w:r>
    </w:p>
  </w:footnote>
  <w:footnote w:type="continuationSeparator" w:id="0">
    <w:p w:rsidR="003F1E0A" w:rsidRDefault="003F1E0A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0A" w:rsidRDefault="003F1E0A">
    <w:pPr>
      <w:pStyle w:val="Topptekst"/>
    </w:pPr>
  </w:p>
  <w:p w:rsidR="003F1E0A" w:rsidRDefault="003F1E0A">
    <w:pPr>
      <w:pStyle w:val="Topptekst"/>
    </w:pPr>
    <w:r w:rsidRPr="008D46D9">
      <w:rPr>
        <w:rFonts w:ascii="Arial" w:hAnsi="Arial" w:cs="Arial"/>
        <w:noProof/>
        <w:color w:val="0079C1"/>
        <w:sz w:val="32"/>
        <w:szCs w:val="32"/>
        <w:lang w:val="en-US"/>
      </w:rPr>
      <w:drawing>
        <wp:anchor distT="0" distB="0" distL="114300" distR="114300" simplePos="0" relativeHeight="251659264" behindDoc="1" locked="1" layoutInCell="1" allowOverlap="1" wp14:anchorId="22C500AC" wp14:editId="7AB79CCC">
          <wp:simplePos x="0" y="0"/>
          <wp:positionH relativeFrom="column">
            <wp:posOffset>-810895</wp:posOffset>
          </wp:positionH>
          <wp:positionV relativeFrom="page">
            <wp:posOffset>-18415</wp:posOffset>
          </wp:positionV>
          <wp:extent cx="7559675" cy="1069149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26428"/>
    <w:rsid w:val="00175AE6"/>
    <w:rsid w:val="001E503D"/>
    <w:rsid w:val="003F1E0A"/>
    <w:rsid w:val="003F3723"/>
    <w:rsid w:val="00515C30"/>
    <w:rsid w:val="00683DBE"/>
    <w:rsid w:val="0073766D"/>
    <w:rsid w:val="008D46D9"/>
    <w:rsid w:val="00A81ABA"/>
    <w:rsid w:val="00C925AF"/>
    <w:rsid w:val="00DC7148"/>
    <w:rsid w:val="00DF1FC5"/>
    <w:rsid w:val="00F804E4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925AF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27D9"/>
  </w:style>
  <w:style w:type="paragraph" w:styleId="Bunntekst">
    <w:name w:val="footer"/>
    <w:basedOn w:val="Normal"/>
    <w:link w:val="Bunntekst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3F1E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925AF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27D9"/>
  </w:style>
  <w:style w:type="paragraph" w:styleId="Bunntekst">
    <w:name w:val="footer"/>
    <w:basedOn w:val="Normal"/>
    <w:link w:val="Bunntekst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3F1E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a.no@saint-gobain.com" TargetMode="External"/><Relationship Id="rId1" Type="http://schemas.openxmlformats.org/officeDocument/2006/relationships/hyperlink" Target="mailto:sga.no@saint-goba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73E5-D79E-4376-A937-E7616018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Larsen, Viggo - SG Abrasives AS</cp:lastModifiedBy>
  <cp:revision>5</cp:revision>
  <cp:lastPrinted>2013-10-18T14:17:00Z</cp:lastPrinted>
  <dcterms:created xsi:type="dcterms:W3CDTF">2013-10-18T14:13:00Z</dcterms:created>
  <dcterms:modified xsi:type="dcterms:W3CDTF">2013-10-21T06:34:00Z</dcterms:modified>
</cp:coreProperties>
</file>