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55" w:rsidRPr="00FC7F5F" w:rsidRDefault="00FC7F5F" w:rsidP="00493755">
      <w:pPr>
        <w:pStyle w:val="Rubrik1"/>
      </w:pPr>
      <w:bookmarkStart w:id="0" w:name="bmRubrik"/>
      <w:r>
        <w:t>Rapport Bostadsrättspanelen andrahandsuthyrning</w:t>
      </w:r>
      <w:bookmarkEnd w:id="0"/>
    </w:p>
    <w:p w:rsidR="00141FF2" w:rsidRDefault="002E26E0" w:rsidP="002E26E0">
      <w:pPr>
        <w:pStyle w:val="Punktlista"/>
      </w:pPr>
      <w:bookmarkStart w:id="1" w:name="bmStart"/>
      <w:bookmarkStart w:id="2" w:name="bmDate"/>
      <w:bookmarkEnd w:id="1"/>
      <w:bookmarkEnd w:id="2"/>
      <w:r>
        <w:t>Drygt 2000 svar i panelen</w:t>
      </w:r>
    </w:p>
    <w:p w:rsidR="00194FCA" w:rsidRDefault="002E26E0" w:rsidP="00C523CC">
      <w:pPr>
        <w:pStyle w:val="Punktlista"/>
      </w:pPr>
      <w:r>
        <w:t xml:space="preserve">Dryga 96% av de svarande bor i en bostadsrätt medan knappa 3% bor i villa/radhus – äganderätt </w:t>
      </w:r>
    </w:p>
    <w:p w:rsidR="00F5601B" w:rsidRDefault="00534415" w:rsidP="00534415">
      <w:pPr>
        <w:pStyle w:val="Punktlista"/>
      </w:pPr>
      <w:r w:rsidRPr="00F5601B">
        <w:rPr>
          <w:i/>
        </w:rPr>
        <w:t>I stort sett inga tomma lägenheter</w:t>
      </w:r>
      <w:r>
        <w:t xml:space="preserve"> i gruppen Storstadsregioner </w:t>
      </w:r>
      <w:r w:rsidR="007036DD">
        <w:t>(svarande från Stockholm, Göteborg och Malmö). A</w:t>
      </w:r>
      <w:r w:rsidR="00E53876">
        <w:t xml:space="preserve">v 1012 svarande uppger </w:t>
      </w:r>
      <w:r w:rsidR="007036DD">
        <w:t>10</w:t>
      </w:r>
      <w:r w:rsidR="00E53876">
        <w:t xml:space="preserve"> st att man har en bostad</w:t>
      </w:r>
      <w:r w:rsidR="007036DD">
        <w:t>srätt</w:t>
      </w:r>
      <w:r w:rsidR="00E53876">
        <w:t xml:space="preserve"> </w:t>
      </w:r>
      <w:r w:rsidR="00C523CC">
        <w:t>som skulle kunna</w:t>
      </w:r>
      <w:r w:rsidR="00E53876">
        <w:t xml:space="preserve"> hyra</w:t>
      </w:r>
      <w:r w:rsidR="00C523CC">
        <w:t>s</w:t>
      </w:r>
      <w:r w:rsidR="007036DD">
        <w:t xml:space="preserve"> ut. Det motsvarar 1,1</w:t>
      </w:r>
      <w:r w:rsidR="00E53876">
        <w:t>% av de svarande. Ytterligare 1 person eller knappt 0,1% säger sig ha e</w:t>
      </w:r>
      <w:r w:rsidR="007036DD">
        <w:t>n hyresrätt att hyra ut. Medan 9 svarande eller knappt 0,9</w:t>
      </w:r>
      <w:r w:rsidR="00E53876">
        <w:t>% uppger att de har en del av</w:t>
      </w:r>
      <w:r w:rsidR="00F5601B">
        <w:t xml:space="preserve"> den egna bostaden att hyra ut. </w:t>
      </w:r>
    </w:p>
    <w:p w:rsidR="00E53876" w:rsidRDefault="00E53876" w:rsidP="00534415">
      <w:pPr>
        <w:pStyle w:val="Punktlista"/>
      </w:pPr>
      <w:r>
        <w:t>Motsvarande si</w:t>
      </w:r>
      <w:r w:rsidR="008825F2">
        <w:t>ffra för hela landet ger att 1,3</w:t>
      </w:r>
      <w:r>
        <w:t xml:space="preserve">% säger sig ha en </w:t>
      </w:r>
      <w:r w:rsidR="008322AE">
        <w:t xml:space="preserve">tom </w:t>
      </w:r>
      <w:r>
        <w:t xml:space="preserve">bostadsrätt att hyra ut, </w:t>
      </w:r>
      <w:r w:rsidR="008825F2">
        <w:t>0,1% (2</w:t>
      </w:r>
      <w:r w:rsidR="0099766C">
        <w:t xml:space="preserve">st personer) har en hyresrätt medan 0,6% (12st) säger sig ha en del av den egna bostaden att hyra ut. </w:t>
      </w:r>
    </w:p>
    <w:p w:rsidR="00F5601B" w:rsidRDefault="00F5601B" w:rsidP="00534415">
      <w:pPr>
        <w:pStyle w:val="Punktlista"/>
      </w:pPr>
      <w:r w:rsidRPr="00F5601B">
        <w:rPr>
          <w:i/>
        </w:rPr>
        <w:t>En person</w:t>
      </w:r>
      <w:r>
        <w:t xml:space="preserve"> i undersökningen uppger att anledningen till att en bostad inte hyrs ut i andra hand är att den finns i en bostadsrättsförening som inte är så generös med tillstånd för uthyrning.</w:t>
      </w:r>
    </w:p>
    <w:p w:rsidR="0099766C" w:rsidRDefault="0099766C" w:rsidP="00534415">
      <w:pPr>
        <w:pStyle w:val="Punktlista"/>
      </w:pPr>
      <w:r>
        <w:t xml:space="preserve">Slutsatsen är att det sannolikt är </w:t>
      </w:r>
      <w:r w:rsidRPr="001609F1">
        <w:rPr>
          <w:i/>
        </w:rPr>
        <w:t>mycket små volymer ”tomma bostäder”</w:t>
      </w:r>
      <w:r>
        <w:t xml:space="preserve"> </w:t>
      </w:r>
      <w:r w:rsidRPr="001609F1">
        <w:rPr>
          <w:i/>
        </w:rPr>
        <w:t>som finns i landet som helhet, men i storstadsregionen i synnerhet</w:t>
      </w:r>
      <w:r>
        <w:t>. Det verkar som att de bostäder som finns, finns i mindre städer utanför de</w:t>
      </w:r>
      <w:r w:rsidR="00704A2B">
        <w:t>m</w:t>
      </w:r>
      <w:r>
        <w:t xml:space="preserve"> med starkast tillväxt. Däremot är andelen som har en del av den egna bostaden att hyra ut högre i stortstadsregionen</w:t>
      </w:r>
      <w:r w:rsidR="001609F1">
        <w:t xml:space="preserve"> än i landet som helhet</w:t>
      </w:r>
      <w:r>
        <w:t xml:space="preserve">. </w:t>
      </w:r>
    </w:p>
    <w:p w:rsidR="003B7AD1" w:rsidRDefault="005B0F31" w:rsidP="00534415">
      <w:pPr>
        <w:pStyle w:val="Punktlista"/>
      </w:pPr>
      <w:r>
        <w:t xml:space="preserve">Andelen som uppger att man </w:t>
      </w:r>
      <w:r w:rsidRPr="003B7AD1">
        <w:rPr>
          <w:i/>
        </w:rPr>
        <w:t>haft problem i sin förening på grund av andrahandsuthyrning är något högre i storstadsregionen</w:t>
      </w:r>
      <w:r w:rsidR="008322AE">
        <w:t xml:space="preserve"> än i landet i övrigt. Dryga 44</w:t>
      </w:r>
      <w:r>
        <w:t>% av de svarande i gruppen storstadsregion uppger att man haft problem i föreningen på</w:t>
      </w:r>
      <w:r w:rsidR="00C523CC">
        <w:t xml:space="preserve"> </w:t>
      </w:r>
      <w:r>
        <w:t xml:space="preserve">grund av andrahandsuthyrning medan motsvarande siffra för landet som helhet är knappa 37%. </w:t>
      </w:r>
    </w:p>
    <w:p w:rsidR="005B0F31" w:rsidRDefault="005B0F31" w:rsidP="00534415">
      <w:pPr>
        <w:pStyle w:val="Punktlista"/>
      </w:pPr>
      <w:r>
        <w:t xml:space="preserve">En mer generös lagstiftning på området riskerar att </w:t>
      </w:r>
      <w:r w:rsidRPr="003B7AD1">
        <w:rPr>
          <w:i/>
        </w:rPr>
        <w:t>ytterligare öka på andelen bostadsföreningar med problem relaterade till andrahandsuthyrning</w:t>
      </w:r>
      <w:r>
        <w:t xml:space="preserve">. Frågan engagerar mycket vilket syns inte minst genom att i stort sett samtliga respondenter frivilligt och generöst i öppna svar delat med sig </w:t>
      </w:r>
      <w:r w:rsidR="00704A2B">
        <w:t>av</w:t>
      </w:r>
      <w:r>
        <w:t xml:space="preserve"> föreningens problem. Samma förhållande gäller för hela landet. I stort sett samtliga </w:t>
      </w:r>
      <w:r w:rsidR="00C565EB">
        <w:t xml:space="preserve">svarande </w:t>
      </w:r>
      <w:r>
        <w:t xml:space="preserve">som uppgett att man har haft problem relaterade till andra handsuthyrning har också lämnat ifrån sig öppna svar. </w:t>
      </w:r>
    </w:p>
    <w:p w:rsidR="005B0F31" w:rsidRDefault="005B0F31" w:rsidP="00534415">
      <w:pPr>
        <w:pStyle w:val="Punktlista"/>
      </w:pPr>
      <w:r w:rsidRPr="003B7AD1">
        <w:rPr>
          <w:i/>
        </w:rPr>
        <w:t>Storstadsregionerna har generellt en striktare hållning till andrahandsuthyrning</w:t>
      </w:r>
      <w:r w:rsidR="008322AE">
        <w:t xml:space="preserve"> än landet generellt. Dryga 61</w:t>
      </w:r>
      <w:r>
        <w:t xml:space="preserve">% av storstadsregionerna tillämpar rekommendationerna i lagtexten så </w:t>
      </w:r>
      <w:r w:rsidR="002B3027">
        <w:t>som de</w:t>
      </w:r>
      <w:r>
        <w:t xml:space="preserve"> är skrivna idag</w:t>
      </w:r>
      <w:r w:rsidR="002B3027">
        <w:t>,</w:t>
      </w:r>
      <w:r>
        <w:t xml:space="preserve"> medan motsvarande siffra för landet som helhet är dryga 52%. </w:t>
      </w:r>
    </w:p>
    <w:p w:rsidR="005B0F31" w:rsidRDefault="003B7AD1" w:rsidP="00534415">
      <w:pPr>
        <w:pStyle w:val="Punktlista"/>
      </w:pPr>
      <w:r w:rsidRPr="003B7AD1">
        <w:rPr>
          <w:i/>
        </w:rPr>
        <w:lastRenderedPageBreak/>
        <w:t>Stort motstånd mot lagförslage</w:t>
      </w:r>
      <w:r w:rsidR="00C523CC">
        <w:rPr>
          <w:i/>
        </w:rPr>
        <w:t>t</w:t>
      </w:r>
      <w:r>
        <w:rPr>
          <w:i/>
        </w:rPr>
        <w:t>,</w:t>
      </w:r>
      <w:r>
        <w:t xml:space="preserve"> k</w:t>
      </w:r>
      <w:r w:rsidR="005B0F31">
        <w:t>nappa 84% av storstadsregionerna är motståndare till de föreslagna regelförändringarna</w:t>
      </w:r>
      <w:r w:rsidR="002D27D4">
        <w:t>. Motsvarande siffra för hela landet är dryga 83%.</w:t>
      </w:r>
    </w:p>
    <w:p w:rsidR="009939CE" w:rsidRDefault="002D27D4" w:rsidP="009939CE">
      <w:pPr>
        <w:pStyle w:val="Punktlista"/>
      </w:pPr>
      <w:r>
        <w:t xml:space="preserve">53% av de svarande i storstadsregionerna tycker att det är ett dåligt förslag att man tillåts ta ut en högre hyra än vad som idag är tillåtet. I landet är siffran i stort sett likvärdig (53,0% respektive 52,7%). 13,5% respektive 16,8% vet inte eller har ingen uppfattning. Det gör att det alltså är </w:t>
      </w:r>
      <w:r w:rsidRPr="009939CE">
        <w:rPr>
          <w:i/>
        </w:rPr>
        <w:t>klart fler som är uttalat negativa till förslaget om generösare hyresregler än dem som är positivt</w:t>
      </w:r>
      <w:r>
        <w:t xml:space="preserve"> inställda till dem. </w:t>
      </w:r>
    </w:p>
    <w:p w:rsidR="009939CE" w:rsidRDefault="009939CE">
      <w:pPr>
        <w:spacing w:after="200" w:line="0" w:lineRule="auto"/>
      </w:pPr>
    </w:p>
    <w:p w:rsidR="002D27D4" w:rsidRDefault="002D27D4" w:rsidP="00534415">
      <w:pPr>
        <w:pStyle w:val="Punktlista"/>
      </w:pPr>
      <w:r>
        <w:t xml:space="preserve">För båda grupperna är betyget på förslaget 2 vilket är klart under godkänt. </w:t>
      </w:r>
    </w:p>
    <w:p w:rsidR="00BA5675" w:rsidRDefault="00BA5675" w:rsidP="00BA5675">
      <w:pPr>
        <w:pStyle w:val="Punktlista"/>
        <w:numPr>
          <w:ilvl w:val="0"/>
          <w:numId w:val="0"/>
        </w:numPr>
        <w:ind w:left="360"/>
      </w:pPr>
      <w:r>
        <w:t>Storstadsregionen medelbetyg 2</w:t>
      </w:r>
    </w:p>
    <w:p w:rsidR="00BA5675" w:rsidRDefault="00BA5675" w:rsidP="00BA5675">
      <w:pPr>
        <w:pStyle w:val="Punktlista"/>
        <w:numPr>
          <w:ilvl w:val="0"/>
          <w:numId w:val="0"/>
        </w:numPr>
        <w:ind w:left="360"/>
      </w:pPr>
      <w:r>
        <w:t>Bas: 1012</w:t>
      </w:r>
    </w:p>
    <w:p w:rsidR="00BA5675" w:rsidRDefault="00BA5675" w:rsidP="00BA5675">
      <w:pPr>
        <w:pStyle w:val="Punktlista"/>
        <w:numPr>
          <w:ilvl w:val="0"/>
          <w:numId w:val="0"/>
        </w:numPr>
        <w:ind w:left="360"/>
      </w:pPr>
      <w:r w:rsidRPr="00BA5675">
        <w:rPr>
          <w:noProof/>
          <w:lang w:eastAsia="sv-SE"/>
        </w:rPr>
        <w:drawing>
          <wp:inline distT="0" distB="0" distL="0" distR="0">
            <wp:extent cx="3590842" cy="1256306"/>
            <wp:effectExtent l="19050" t="0" r="9608" b="994"/>
            <wp:docPr id="2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83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888"/>
        <w:gridCol w:w="856"/>
        <w:gridCol w:w="636"/>
      </w:tblGrid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5675" w:rsidRPr="00BA5675" w:rsidRDefault="00BA5675" w:rsidP="00BA567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A56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6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Procent</w:t>
            </w:r>
          </w:p>
        </w:tc>
        <w:tc>
          <w:tcPr>
            <w:tcW w:w="636" w:type="dxa"/>
            <w:tcBorders>
              <w:top w:val="single" w:sz="4" w:space="0" w:color="D2D2D2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Antal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46,3%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469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21,6%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219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13,7%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139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9,9%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100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5,2%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53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Vet ej, ingen uppfattning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3,2%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32</w:t>
            </w:r>
          </w:p>
        </w:tc>
      </w:tr>
    </w:tbl>
    <w:p w:rsidR="00BA5675" w:rsidRDefault="00BA5675" w:rsidP="00BA5675">
      <w:r>
        <w:t>Hela landet medelbetyg 2</w:t>
      </w:r>
    </w:p>
    <w:p w:rsidR="00BA5675" w:rsidRDefault="00BA5675" w:rsidP="00BA5675"/>
    <w:p w:rsidR="00BA5675" w:rsidRDefault="00BA5675" w:rsidP="00BA5675">
      <w:r>
        <w:t>Bas: 2055</w:t>
      </w:r>
    </w:p>
    <w:p w:rsidR="00BA5675" w:rsidRDefault="00BA5675" w:rsidP="00BA5675"/>
    <w:p w:rsidR="00BA5675" w:rsidRDefault="00BA5675" w:rsidP="00BA5675">
      <w:r w:rsidRPr="00BA5675">
        <w:rPr>
          <w:noProof/>
          <w:lang w:eastAsia="sv-SE"/>
        </w:rPr>
        <w:drawing>
          <wp:inline distT="0" distB="0" distL="0" distR="0">
            <wp:extent cx="4179239" cy="1232452"/>
            <wp:effectExtent l="19050" t="0" r="11761" b="5798"/>
            <wp:docPr id="3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675" w:rsidRPr="00BA5675" w:rsidRDefault="00BA5675" w:rsidP="00BA5675"/>
    <w:p w:rsidR="00BA5675" w:rsidRDefault="00BA5675" w:rsidP="00BA5675"/>
    <w:tbl>
      <w:tblPr>
        <w:tblW w:w="83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888"/>
        <w:gridCol w:w="856"/>
        <w:gridCol w:w="636"/>
      </w:tblGrid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5675" w:rsidRPr="00BA5675" w:rsidRDefault="00BA5675" w:rsidP="00BA5675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A56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lastRenderedPageBreak/>
              <w:t> </w:t>
            </w:r>
          </w:p>
        </w:tc>
        <w:tc>
          <w:tcPr>
            <w:tcW w:w="856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Procent</w:t>
            </w:r>
          </w:p>
        </w:tc>
        <w:tc>
          <w:tcPr>
            <w:tcW w:w="636" w:type="dxa"/>
            <w:tcBorders>
              <w:top w:val="single" w:sz="4" w:space="0" w:color="D2D2D2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Antal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46,0%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946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20,7%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426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14,6%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301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8,7%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178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4,7%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97</w:t>
            </w:r>
          </w:p>
        </w:tc>
      </w:tr>
      <w:tr w:rsidR="00BA5675" w:rsidRPr="00BA5675" w:rsidTr="00BA5675">
        <w:trPr>
          <w:trHeight w:val="394"/>
        </w:trPr>
        <w:tc>
          <w:tcPr>
            <w:tcW w:w="6888" w:type="dxa"/>
            <w:tcBorders>
              <w:top w:val="nil"/>
              <w:left w:val="single" w:sz="4" w:space="0" w:color="D2D2D2"/>
              <w:bottom w:val="single" w:sz="4" w:space="0" w:color="D2D2D2"/>
              <w:right w:val="single" w:sz="4" w:space="0" w:color="D2D2D2"/>
            </w:tcBorders>
            <w:shd w:val="clear" w:color="000000" w:fill="F0F0F0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Vet ej, ingen uppfattning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5,2%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D2D2D2"/>
              <w:right w:val="single" w:sz="4" w:space="0" w:color="D2D2D2"/>
            </w:tcBorders>
            <w:shd w:val="clear" w:color="000000" w:fill="FFFFFF"/>
            <w:vAlign w:val="center"/>
            <w:hideMark/>
          </w:tcPr>
          <w:p w:rsidR="00BA5675" w:rsidRPr="00BA5675" w:rsidRDefault="00BA5675" w:rsidP="00BA5675">
            <w:pPr>
              <w:jc w:val="right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BA5675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107</w:t>
            </w:r>
          </w:p>
        </w:tc>
      </w:tr>
    </w:tbl>
    <w:p w:rsidR="00BA5675" w:rsidRPr="00BA5675" w:rsidRDefault="00BA5675" w:rsidP="0041554D"/>
    <w:sectPr w:rsidR="00BA5675" w:rsidRPr="00BA5675" w:rsidSect="004835B7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FD1" w:rsidRDefault="00D05FD1" w:rsidP="00216B9D">
      <w:r>
        <w:separator/>
      </w:r>
    </w:p>
  </w:endnote>
  <w:endnote w:type="continuationSeparator" w:id="0">
    <w:p w:rsidR="00D05FD1" w:rsidRDefault="00D05FD1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FD1" w:rsidRDefault="00D05FD1" w:rsidP="00216B9D">
      <w:r>
        <w:separator/>
      </w:r>
    </w:p>
  </w:footnote>
  <w:footnote w:type="continuationSeparator" w:id="0">
    <w:p w:rsidR="00D05FD1" w:rsidRDefault="00D05FD1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7036DD" w:rsidTr="00B84307">
      <w:tc>
        <w:tcPr>
          <w:tcW w:w="1843" w:type="dxa"/>
        </w:tcPr>
        <w:p w:rsidR="007036DD" w:rsidRPr="00BA5D8C" w:rsidRDefault="007036DD" w:rsidP="002E26E0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7036DD" w:rsidRPr="00BA5D8C" w:rsidRDefault="007036DD" w:rsidP="002E26E0">
          <w:pPr>
            <w:pStyle w:val="Sidhuvud"/>
          </w:pPr>
        </w:p>
      </w:tc>
      <w:tc>
        <w:tcPr>
          <w:tcW w:w="1985" w:type="dxa"/>
        </w:tcPr>
        <w:p w:rsidR="007036DD" w:rsidRPr="006B1AAF" w:rsidRDefault="007036DD" w:rsidP="002E26E0">
          <w:pPr>
            <w:pStyle w:val="Sidhuvud"/>
          </w:pPr>
        </w:p>
      </w:tc>
      <w:bookmarkStart w:id="4" w:name="bmSidnrSecond"/>
      <w:tc>
        <w:tcPr>
          <w:tcW w:w="1417" w:type="dxa"/>
        </w:tcPr>
        <w:p w:rsidR="007036DD" w:rsidRPr="00F43914" w:rsidRDefault="00A94825" w:rsidP="002E26E0">
          <w:pPr>
            <w:pStyle w:val="Sidhuvud"/>
            <w:jc w:val="right"/>
            <w:rPr>
              <w:rStyle w:val="Sidnummer"/>
            </w:rPr>
          </w:pPr>
          <w:r w:rsidRPr="00016E68">
            <w:rPr>
              <w:rStyle w:val="Sidnummer"/>
            </w:rPr>
            <w:fldChar w:fldCharType="begin"/>
          </w:r>
          <w:r w:rsidR="007036DD" w:rsidRPr="00016E68">
            <w:rPr>
              <w:rStyle w:val="Sidnummer"/>
            </w:rPr>
            <w:instrText xml:space="preserve"> PAGE   \* MERGEFORMAT </w:instrText>
          </w:r>
          <w:r w:rsidRPr="00016E68">
            <w:rPr>
              <w:rStyle w:val="Sidnummer"/>
            </w:rPr>
            <w:fldChar w:fldCharType="separate"/>
          </w:r>
          <w:r w:rsidR="003B0585">
            <w:rPr>
              <w:rStyle w:val="Sidnummer"/>
            </w:rPr>
            <w:t>3</w:t>
          </w:r>
          <w:r w:rsidRPr="00016E68">
            <w:rPr>
              <w:rStyle w:val="Sidnummer"/>
            </w:rPr>
            <w:fldChar w:fldCharType="end"/>
          </w:r>
          <w:r w:rsidR="007036DD" w:rsidRPr="00016E68">
            <w:rPr>
              <w:rStyle w:val="Sidnummer"/>
            </w:rPr>
            <w:t xml:space="preserve"> (</w:t>
          </w:r>
          <w:fldSimple w:instr=" NUMPAGES   \* MERGEFORMAT ">
            <w:r w:rsidR="003B0585" w:rsidRPr="003B0585">
              <w:rPr>
                <w:rStyle w:val="Sidnummer"/>
              </w:rPr>
              <w:t>3</w:t>
            </w:r>
          </w:fldSimple>
          <w:r w:rsidR="007036DD" w:rsidRPr="00016E68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:rsidR="007036DD" w:rsidRDefault="007036DD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7036DD" w:rsidTr="00B84307">
      <w:tc>
        <w:tcPr>
          <w:tcW w:w="1843" w:type="dxa"/>
        </w:tcPr>
        <w:p w:rsidR="007036DD" w:rsidRPr="00BA5D8C" w:rsidRDefault="007036DD" w:rsidP="00F02AFC">
          <w:pPr>
            <w:pStyle w:val="Sidhuvud"/>
            <w:jc w:val="center"/>
          </w:pPr>
          <w:bookmarkStart w:id="6" w:name="bmLogga1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:rsidR="007036DD" w:rsidRPr="00BA5D8C" w:rsidRDefault="007036DD" w:rsidP="00BA5D8C">
          <w:pPr>
            <w:pStyle w:val="Sidhuvud"/>
          </w:pPr>
        </w:p>
      </w:tc>
      <w:tc>
        <w:tcPr>
          <w:tcW w:w="1985" w:type="dxa"/>
        </w:tcPr>
        <w:p w:rsidR="007036DD" w:rsidRPr="006B1AAF" w:rsidRDefault="007036DD" w:rsidP="006B1AAF">
          <w:pPr>
            <w:pStyle w:val="Sidhuvud"/>
          </w:pPr>
          <w:bookmarkStart w:id="7" w:name="bmDatum"/>
          <w:r>
            <w:t>2012-05-</w:t>
          </w:r>
          <w:bookmarkEnd w:id="7"/>
          <w:r w:rsidR="008322AE">
            <w:t>30</w:t>
          </w:r>
        </w:p>
      </w:tc>
      <w:bookmarkStart w:id="8" w:name="bmSidnrFirst"/>
      <w:tc>
        <w:tcPr>
          <w:tcW w:w="1417" w:type="dxa"/>
        </w:tcPr>
        <w:p w:rsidR="007036DD" w:rsidRPr="00F43914" w:rsidRDefault="00A94825" w:rsidP="002D2E87">
          <w:pPr>
            <w:pStyle w:val="Sidhuvud"/>
            <w:jc w:val="right"/>
            <w:rPr>
              <w:rStyle w:val="Sidnummer"/>
            </w:rPr>
          </w:pPr>
          <w:r w:rsidRPr="00016E68">
            <w:rPr>
              <w:rStyle w:val="Sidnummer"/>
            </w:rPr>
            <w:fldChar w:fldCharType="begin"/>
          </w:r>
          <w:r w:rsidR="007036DD" w:rsidRPr="00016E68">
            <w:rPr>
              <w:rStyle w:val="Sidnummer"/>
            </w:rPr>
            <w:instrText xml:space="preserve"> PAGE   \* MERGEFORMAT </w:instrText>
          </w:r>
          <w:r w:rsidRPr="00016E68">
            <w:rPr>
              <w:rStyle w:val="Sidnummer"/>
            </w:rPr>
            <w:fldChar w:fldCharType="separate"/>
          </w:r>
          <w:r w:rsidR="003B0585">
            <w:rPr>
              <w:rStyle w:val="Sidnummer"/>
            </w:rPr>
            <w:t>1</w:t>
          </w:r>
          <w:r w:rsidRPr="00016E68">
            <w:rPr>
              <w:rStyle w:val="Sidnummer"/>
            </w:rPr>
            <w:fldChar w:fldCharType="end"/>
          </w:r>
          <w:r w:rsidR="007036DD" w:rsidRPr="00016E68">
            <w:rPr>
              <w:rStyle w:val="Sidnummer"/>
            </w:rPr>
            <w:t xml:space="preserve"> (</w:t>
          </w:r>
          <w:fldSimple w:instr=" NUMPAGES   \* MERGEFORMAT ">
            <w:r w:rsidR="003B0585" w:rsidRPr="003B0585">
              <w:rPr>
                <w:rStyle w:val="Sidnummer"/>
              </w:rPr>
              <w:t>3</w:t>
            </w:r>
          </w:fldSimple>
          <w:r w:rsidR="007036DD" w:rsidRPr="00016E68">
            <w:rPr>
              <w:rStyle w:val="Sidnummer"/>
            </w:rPr>
            <w:t>)</w:t>
          </w:r>
          <w:bookmarkStart w:id="9" w:name="bmSidnrFirstTrue"/>
          <w:bookmarkEnd w:id="8"/>
          <w:bookmarkEnd w:id="9"/>
        </w:p>
      </w:tc>
    </w:tr>
  </w:tbl>
  <w:p w:rsidR="007036DD" w:rsidRDefault="007036DD" w:rsidP="00F02AFC">
    <w:pPr>
      <w:pStyle w:val="Sidhuvud"/>
    </w:pPr>
  </w:p>
  <w:p w:rsidR="007036DD" w:rsidRDefault="007036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E26E0"/>
    <w:rsid w:val="00005A36"/>
    <w:rsid w:val="00016E68"/>
    <w:rsid w:val="000200C8"/>
    <w:rsid w:val="00023126"/>
    <w:rsid w:val="00023BD1"/>
    <w:rsid w:val="00033BA1"/>
    <w:rsid w:val="00052E24"/>
    <w:rsid w:val="00061842"/>
    <w:rsid w:val="000807E7"/>
    <w:rsid w:val="00081DCE"/>
    <w:rsid w:val="00090E65"/>
    <w:rsid w:val="000933D5"/>
    <w:rsid w:val="000953D8"/>
    <w:rsid w:val="00097E2A"/>
    <w:rsid w:val="000A0596"/>
    <w:rsid w:val="000E1C6D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46927"/>
    <w:rsid w:val="0015563E"/>
    <w:rsid w:val="001609F1"/>
    <w:rsid w:val="001764EA"/>
    <w:rsid w:val="0018791B"/>
    <w:rsid w:val="00194FCA"/>
    <w:rsid w:val="001966D0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7570"/>
    <w:rsid w:val="00216B9D"/>
    <w:rsid w:val="00230B4A"/>
    <w:rsid w:val="00244D8A"/>
    <w:rsid w:val="0025232F"/>
    <w:rsid w:val="0026519C"/>
    <w:rsid w:val="0027651D"/>
    <w:rsid w:val="002854B8"/>
    <w:rsid w:val="00287214"/>
    <w:rsid w:val="002911A1"/>
    <w:rsid w:val="002B2358"/>
    <w:rsid w:val="002B3027"/>
    <w:rsid w:val="002B54ED"/>
    <w:rsid w:val="002C7230"/>
    <w:rsid w:val="002D27D4"/>
    <w:rsid w:val="002D2E87"/>
    <w:rsid w:val="002D7C36"/>
    <w:rsid w:val="002E26E0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B0585"/>
    <w:rsid w:val="003B7AD1"/>
    <w:rsid w:val="003C1D28"/>
    <w:rsid w:val="003D0760"/>
    <w:rsid w:val="003D1B03"/>
    <w:rsid w:val="003D5F3B"/>
    <w:rsid w:val="003F2C4E"/>
    <w:rsid w:val="003F4B93"/>
    <w:rsid w:val="00407291"/>
    <w:rsid w:val="0041554D"/>
    <w:rsid w:val="0042328A"/>
    <w:rsid w:val="00424FB6"/>
    <w:rsid w:val="00435C5C"/>
    <w:rsid w:val="004525D1"/>
    <w:rsid w:val="00454064"/>
    <w:rsid w:val="004631BA"/>
    <w:rsid w:val="00463DC9"/>
    <w:rsid w:val="004835B7"/>
    <w:rsid w:val="00493755"/>
    <w:rsid w:val="00497CEF"/>
    <w:rsid w:val="004A1AF2"/>
    <w:rsid w:val="004A3F5C"/>
    <w:rsid w:val="004A493E"/>
    <w:rsid w:val="004C0E78"/>
    <w:rsid w:val="004C1D5A"/>
    <w:rsid w:val="004D2B1A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3638"/>
    <w:rsid w:val="00534415"/>
    <w:rsid w:val="00546582"/>
    <w:rsid w:val="00546EC6"/>
    <w:rsid w:val="00564227"/>
    <w:rsid w:val="00577889"/>
    <w:rsid w:val="0058450C"/>
    <w:rsid w:val="00595E51"/>
    <w:rsid w:val="005B0F3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036DD"/>
    <w:rsid w:val="00704A2B"/>
    <w:rsid w:val="00712C97"/>
    <w:rsid w:val="00735EA0"/>
    <w:rsid w:val="00736D7B"/>
    <w:rsid w:val="007669D2"/>
    <w:rsid w:val="007A213F"/>
    <w:rsid w:val="007A5EEE"/>
    <w:rsid w:val="007A7C22"/>
    <w:rsid w:val="007B799C"/>
    <w:rsid w:val="007D20A9"/>
    <w:rsid w:val="007D28AB"/>
    <w:rsid w:val="007D34F3"/>
    <w:rsid w:val="007E4F40"/>
    <w:rsid w:val="0082246C"/>
    <w:rsid w:val="008322AE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25F2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46363"/>
    <w:rsid w:val="009537E0"/>
    <w:rsid w:val="0096453C"/>
    <w:rsid w:val="009775A2"/>
    <w:rsid w:val="00981375"/>
    <w:rsid w:val="009817AB"/>
    <w:rsid w:val="009836D3"/>
    <w:rsid w:val="009939CE"/>
    <w:rsid w:val="0099766C"/>
    <w:rsid w:val="009A0906"/>
    <w:rsid w:val="009A268E"/>
    <w:rsid w:val="009B0190"/>
    <w:rsid w:val="009B581B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94825"/>
    <w:rsid w:val="00AB03E5"/>
    <w:rsid w:val="00AB2172"/>
    <w:rsid w:val="00AC0608"/>
    <w:rsid w:val="00AE51CA"/>
    <w:rsid w:val="00B02D69"/>
    <w:rsid w:val="00B14C92"/>
    <w:rsid w:val="00B212C3"/>
    <w:rsid w:val="00B25F9A"/>
    <w:rsid w:val="00B26A8B"/>
    <w:rsid w:val="00B27FF8"/>
    <w:rsid w:val="00B4414F"/>
    <w:rsid w:val="00B62968"/>
    <w:rsid w:val="00B7270B"/>
    <w:rsid w:val="00B84307"/>
    <w:rsid w:val="00B97646"/>
    <w:rsid w:val="00BA23FA"/>
    <w:rsid w:val="00BA4909"/>
    <w:rsid w:val="00BA5675"/>
    <w:rsid w:val="00BA5D8C"/>
    <w:rsid w:val="00BF3CFB"/>
    <w:rsid w:val="00C13583"/>
    <w:rsid w:val="00C14848"/>
    <w:rsid w:val="00C21744"/>
    <w:rsid w:val="00C25C19"/>
    <w:rsid w:val="00C403E0"/>
    <w:rsid w:val="00C45113"/>
    <w:rsid w:val="00C523CC"/>
    <w:rsid w:val="00C5640D"/>
    <w:rsid w:val="00C565EB"/>
    <w:rsid w:val="00C655D2"/>
    <w:rsid w:val="00C878EF"/>
    <w:rsid w:val="00C91CB8"/>
    <w:rsid w:val="00C96EBA"/>
    <w:rsid w:val="00C977CD"/>
    <w:rsid w:val="00CC76A3"/>
    <w:rsid w:val="00CD34DD"/>
    <w:rsid w:val="00CD421E"/>
    <w:rsid w:val="00CD5DD5"/>
    <w:rsid w:val="00CE4915"/>
    <w:rsid w:val="00D028F5"/>
    <w:rsid w:val="00D05FD1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53876"/>
    <w:rsid w:val="00E6570B"/>
    <w:rsid w:val="00E77E58"/>
    <w:rsid w:val="00E81A47"/>
    <w:rsid w:val="00E90BDA"/>
    <w:rsid w:val="00E917EC"/>
    <w:rsid w:val="00E9189A"/>
    <w:rsid w:val="00E91D5D"/>
    <w:rsid w:val="00EB73AE"/>
    <w:rsid w:val="00EB7FA4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27B0"/>
    <w:rsid w:val="00F43914"/>
    <w:rsid w:val="00F5601B"/>
    <w:rsid w:val="00F56C3A"/>
    <w:rsid w:val="00F630CA"/>
    <w:rsid w:val="00F63E0C"/>
    <w:rsid w:val="00F73D49"/>
    <w:rsid w:val="00F75F7A"/>
    <w:rsid w:val="00F83AE9"/>
    <w:rsid w:val="00F84B1A"/>
    <w:rsid w:val="00F9543B"/>
    <w:rsid w:val="00FC0327"/>
    <w:rsid w:val="00FC5EF7"/>
    <w:rsid w:val="00FC7D68"/>
    <w:rsid w:val="00FC7F5F"/>
    <w:rsid w:val="00FD6FAA"/>
    <w:rsid w:val="00FF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0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anso\appdata\roaming\microsoft\mallar\HSB%20Mallar\HSB_Grund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itsrv0006\111users$\111anso\Projekt\Easyresearch\Easyresearch\Rapporter\Bostadsr&#228;ttspanelen\andrahandsuthyrning_storstadsregioner_standardrapport_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gitsrv0006\111users$\111anso\Projekt\Easyresearch\Easyresearch\Rapporter\Bostadsr&#228;ttspanelen\andrahandsuthyrning_standardrapport_brfpanel_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plotArea>
      <c:layout/>
      <c:barChart>
        <c:barDir val="bar"/>
        <c:grouping val="clustered"/>
        <c:ser>
          <c:idx val="0"/>
          <c:order val="0"/>
          <c:cat>
            <c:strRef>
              <c:f>'23'!$B$5:$B$9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'23'!$C$5:$C$9</c:f>
              <c:numCache>
                <c:formatCode>0.0%</c:formatCode>
                <c:ptCount val="5"/>
                <c:pt idx="0">
                  <c:v>0.46300000000000002</c:v>
                </c:pt>
                <c:pt idx="1">
                  <c:v>0.21600000000000025</c:v>
                </c:pt>
                <c:pt idx="2">
                  <c:v>0.13700000000000001</c:v>
                </c:pt>
                <c:pt idx="3">
                  <c:v>9.9000000000000074E-2</c:v>
                </c:pt>
                <c:pt idx="4">
                  <c:v>5.2000000000000046E-2</c:v>
                </c:pt>
              </c:numCache>
            </c:numRef>
          </c:val>
        </c:ser>
        <c:axId val="99404032"/>
        <c:axId val="90578944"/>
      </c:barChart>
      <c:catAx>
        <c:axId val="99404032"/>
        <c:scaling>
          <c:orientation val="minMax"/>
        </c:scaling>
        <c:axPos val="l"/>
        <c:tickLblPos val="nextTo"/>
        <c:crossAx val="90578944"/>
        <c:crosses val="autoZero"/>
        <c:auto val="1"/>
        <c:lblAlgn val="ctr"/>
        <c:lblOffset val="100"/>
      </c:catAx>
      <c:valAx>
        <c:axId val="90578944"/>
        <c:scaling>
          <c:orientation val="minMax"/>
          <c:max val="1"/>
        </c:scaling>
        <c:axPos val="b"/>
        <c:majorGridlines/>
        <c:numFmt formatCode="0.0%" sourceLinked="1"/>
        <c:tickLblPos val="nextTo"/>
        <c:crossAx val="99404032"/>
        <c:crosses val="autoZero"/>
        <c:crossBetween val="between"/>
        <c:majorUnit val="0.2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plotArea>
      <c:layout/>
      <c:barChart>
        <c:barDir val="bar"/>
        <c:grouping val="clustered"/>
        <c:ser>
          <c:idx val="0"/>
          <c:order val="0"/>
          <c:cat>
            <c:strRef>
              <c:f>'23'!$B$5:$B$9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'23'!$C$5:$C$9</c:f>
              <c:numCache>
                <c:formatCode>0.0%</c:formatCode>
                <c:ptCount val="5"/>
                <c:pt idx="0">
                  <c:v>0.46</c:v>
                </c:pt>
                <c:pt idx="1">
                  <c:v>0.20700000000000021</c:v>
                </c:pt>
                <c:pt idx="2">
                  <c:v>0.14600000000000021</c:v>
                </c:pt>
                <c:pt idx="3">
                  <c:v>8.7000000000000022E-2</c:v>
                </c:pt>
                <c:pt idx="4">
                  <c:v>4.7000000000000014E-2</c:v>
                </c:pt>
              </c:numCache>
            </c:numRef>
          </c:val>
        </c:ser>
        <c:axId val="90593152"/>
        <c:axId val="90594688"/>
      </c:barChart>
      <c:catAx>
        <c:axId val="90593152"/>
        <c:scaling>
          <c:orientation val="minMax"/>
        </c:scaling>
        <c:axPos val="l"/>
        <c:tickLblPos val="nextTo"/>
        <c:crossAx val="90594688"/>
        <c:crosses val="autoZero"/>
        <c:auto val="1"/>
        <c:lblAlgn val="ctr"/>
        <c:lblOffset val="100"/>
      </c:catAx>
      <c:valAx>
        <c:axId val="90594688"/>
        <c:scaling>
          <c:orientation val="minMax"/>
          <c:max val="1"/>
        </c:scaling>
        <c:axPos val="b"/>
        <c:majorGridlines/>
        <c:numFmt formatCode="0.0%" sourceLinked="1"/>
        <c:tickLblPos val="nextTo"/>
        <c:crossAx val="90593152"/>
        <c:crosses val="autoZero"/>
        <c:crossBetween val="between"/>
        <c:majorUnit val="0.2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85635-76A1-4D48-A2B4-6B710464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0</TotalTime>
  <Pages>3</Pages>
  <Words>539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 Bostadsrättspanelen andrahandsuthyrning</vt:lpstr>
    </vt:vector>
  </TitlesOfParts>
  <Company>Emanuel Identity Manuals AB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Bostadsrättspanelen andrahandsuthyrning</dc:title>
  <dc:creator>Carin Ländström</dc:creator>
  <cp:keywords>Grundmall - HSB</cp:keywords>
  <dc:description>Mars 2011, MS Word 2007, Sv
Carin Ländström, Hangar/C2
070-921 16 60</dc:description>
  <cp:lastModifiedBy>Åke Johansson </cp:lastModifiedBy>
  <cp:revision>2</cp:revision>
  <cp:lastPrinted>2011-02-03T12:22:00Z</cp:lastPrinted>
  <dcterms:created xsi:type="dcterms:W3CDTF">2012-05-30T11:31:00Z</dcterms:created>
  <dcterms:modified xsi:type="dcterms:W3CDTF">2012-05-30T11:31:00Z</dcterms:modified>
</cp:coreProperties>
</file>