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A0" w:rsidRPr="00585AA5" w:rsidRDefault="007B52A0" w:rsidP="007B52A0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lang w:val="sv-SE"/>
        </w:rPr>
      </w:pPr>
      <w:r>
        <w:rPr>
          <w:rFonts w:ascii="Arial" w:hAnsi="Arial" w:cs="Arial"/>
          <w:b/>
          <w:bCs/>
          <w:color w:val="000000"/>
          <w:lang w:val="sv-SE"/>
        </w:rPr>
        <w:t>Datum</w:t>
      </w:r>
      <w:r w:rsidRPr="00585AA5">
        <w:rPr>
          <w:rFonts w:ascii="Arial" w:hAnsi="Arial" w:cs="Arial"/>
          <w:b/>
          <w:bCs/>
          <w:color w:val="000000"/>
          <w:lang w:val="sv-SE"/>
        </w:rPr>
        <w:t xml:space="preserve"> </w:t>
      </w:r>
      <w:r>
        <w:rPr>
          <w:rFonts w:ascii="Arial" w:hAnsi="Arial" w:cs="Arial"/>
          <w:color w:val="000000"/>
          <w:lang w:val="sv-SE"/>
        </w:rPr>
        <w:t>2014-03-09</w:t>
      </w:r>
    </w:p>
    <w:p w:rsidR="007B52A0" w:rsidRPr="00585AA5" w:rsidRDefault="007B52A0" w:rsidP="007B52A0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lang w:val="sv-SE"/>
        </w:rPr>
      </w:pPr>
      <w:r w:rsidRPr="00585AA5">
        <w:rPr>
          <w:rFonts w:ascii="Arial" w:hAnsi="Arial" w:cs="Arial"/>
          <w:b/>
          <w:bCs/>
          <w:color w:val="000000"/>
          <w:lang w:val="sv-SE"/>
        </w:rPr>
        <w:t xml:space="preserve">För publicering </w:t>
      </w:r>
      <w:r w:rsidRPr="00585AA5">
        <w:rPr>
          <w:rFonts w:ascii="Arial" w:hAnsi="Arial" w:cs="Arial"/>
          <w:color w:val="000000"/>
          <w:lang w:val="sv-SE"/>
        </w:rPr>
        <w:t>Omedelbar</w:t>
      </w:r>
    </w:p>
    <w:p w:rsidR="007B52A0" w:rsidRDefault="007B52A0" w:rsidP="007B52A0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  <w:lang w:val="sv-SE"/>
        </w:rPr>
      </w:pPr>
      <w:r w:rsidRPr="00585AA5">
        <w:rPr>
          <w:rFonts w:ascii="Arial" w:hAnsi="Arial" w:cs="Arial"/>
          <w:b/>
          <w:bCs/>
          <w:color w:val="000000"/>
          <w:lang w:val="sv-SE"/>
        </w:rPr>
        <w:t xml:space="preserve">Kontakt </w:t>
      </w:r>
      <w:r>
        <w:rPr>
          <w:rFonts w:ascii="Arial" w:hAnsi="Arial" w:cs="Arial"/>
          <w:color w:val="000000"/>
          <w:lang w:val="sv-SE"/>
        </w:rPr>
        <w:t>Mats WIMAN</w:t>
      </w:r>
      <w:r w:rsidRPr="00585AA5">
        <w:rPr>
          <w:rFonts w:ascii="Arial" w:hAnsi="Arial" w:cs="Arial"/>
          <w:color w:val="000000"/>
          <w:lang w:val="sv-SE"/>
        </w:rPr>
        <w:t>, +46 8 598 940 00</w:t>
      </w:r>
    </w:p>
    <w:p w:rsidR="007B52A0" w:rsidRDefault="007B52A0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lang w:val="sv-SE"/>
        </w:rPr>
      </w:pPr>
    </w:p>
    <w:p w:rsidR="00AA1CFF" w:rsidRPr="00AA1CFF" w:rsidRDefault="00AA1CF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33333"/>
          <w:lang w:val="sv-SE"/>
        </w:rPr>
      </w:pPr>
      <w:r w:rsidRPr="00AA1CFF">
        <w:rPr>
          <w:rFonts w:ascii="Arial" w:hAnsi="Arial" w:cs="Arial"/>
          <w:b/>
          <w:bCs/>
          <w:color w:val="333333"/>
          <w:lang w:val="sv-SE"/>
        </w:rPr>
        <w:t>Danska datacentraler minskar energianvändningen med 10 % tack vare Eaton-teknik</w:t>
      </w:r>
    </w:p>
    <w:p w:rsidR="00AA1CFF" w:rsidRPr="00AA1CFF" w:rsidRDefault="00AA1CF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AA1CFF">
        <w:rPr>
          <w:rFonts w:ascii="Arial" w:hAnsi="Arial" w:cs="Arial"/>
          <w:color w:val="333333"/>
          <w:sz w:val="20"/>
          <w:szCs w:val="20"/>
          <w:lang w:val="sv-SE"/>
        </w:rPr>
        <w:t>Krafthanteringsföretaget Eaton visar att mer än 90 procent av alla datacentraler i Danmark, vilka använder</w:t>
      </w:r>
    </w:p>
    <w:p w:rsidR="00AA1CFF" w:rsidRPr="00AA1CFF" w:rsidRDefault="00AA1CF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AA1CFF">
        <w:rPr>
          <w:rFonts w:ascii="Arial" w:hAnsi="Arial" w:cs="Arial"/>
          <w:color w:val="333333"/>
          <w:sz w:val="20"/>
          <w:szCs w:val="20"/>
          <w:lang w:val="sv-SE"/>
        </w:rPr>
        <w:t>företagets trefas avbrottsfria strömförsörjning (UPS: er) på 40 kW eller mer, minskar energikostnaderna</w:t>
      </w:r>
    </w:p>
    <w:p w:rsidR="00AA1CFF" w:rsidRPr="00AA1CFF" w:rsidRDefault="00AA1CF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AA1CFF">
        <w:rPr>
          <w:rFonts w:ascii="Arial" w:hAnsi="Arial" w:cs="Arial"/>
          <w:color w:val="333333"/>
          <w:sz w:val="20"/>
          <w:szCs w:val="20"/>
          <w:lang w:val="sv-SE"/>
        </w:rPr>
        <w:t>avsevärt genom att utnyttja Eatons unika Energy Saver System-teknik (ESS). ESS-tekniken gör att dessa</w:t>
      </w:r>
    </w:p>
    <w:p w:rsidR="00AA1CFF" w:rsidRPr="00AA1CFF" w:rsidRDefault="00AA1CF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AA1CFF">
        <w:rPr>
          <w:rFonts w:ascii="Arial" w:hAnsi="Arial" w:cs="Arial"/>
          <w:color w:val="333333"/>
          <w:sz w:val="20"/>
          <w:szCs w:val="20"/>
          <w:lang w:val="sv-SE"/>
        </w:rPr>
        <w:t>datacentraler kan sänka sin energiförbrukning med cirka 10 procent, så att de kan möta stigande</w:t>
      </w:r>
    </w:p>
    <w:p w:rsidR="00507273" w:rsidRDefault="00AA1CF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AA1CFF">
        <w:rPr>
          <w:rFonts w:ascii="Arial" w:hAnsi="Arial" w:cs="Arial"/>
          <w:color w:val="333333"/>
          <w:sz w:val="20"/>
          <w:szCs w:val="20"/>
          <w:lang w:val="sv-SE"/>
        </w:rPr>
        <w:t>energikostnader och uppfylla kraven från danska regeringen när det gäller att genomföra energisparåtgärder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AA1CFF">
        <w:rPr>
          <w:rFonts w:ascii="Arial" w:hAnsi="Arial" w:cs="Arial"/>
          <w:color w:val="333333"/>
          <w:sz w:val="20"/>
          <w:szCs w:val="20"/>
          <w:lang w:val="sv-SE"/>
        </w:rPr>
        <w:t>i näringslivet.</w:t>
      </w:r>
    </w:p>
    <w:p w:rsidR="00AA1CFF" w:rsidRDefault="00791E3B" w:rsidP="00791E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0"/>
          <w:szCs w:val="20"/>
          <w:lang w:val="sv-SE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62C0E0F8" wp14:editId="1C8381FB">
            <wp:extent cx="1933074" cy="14501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on data center ais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420" cy="145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Datacenteraktörer i Europa är bland de mest energi-och miljömedvetna i världen, säger Tom Bojland,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försäljningschef på Eaton Danmark. Därför är det inte förvånande att man i Danmark varit snabba, att inte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bara se fördelarna med vår ESS-teknik, utan också att gå från ord till handling genom att implementera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denna unika teknik i stor skala. På Eaton är vi övertygade om att ESS är framtidens teknik, som ger stora</w:t>
      </w:r>
    </w:p>
    <w:p w:rsid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energibesparingar utan prestandakompromisser.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Eaton erbjuder företagets innovativa ESS-driftläge på alla dubbelkonverterande UPS: er i sitt utbud av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datacenterlösningar. I standardutförandet med dubbelkonverteringsläge, erbjuder dessa produkter redan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marknadsledande verkningsgrad på upp till 97 procent, men när kvaliteten på den inkommande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 xml:space="preserve">nätspänningen är bra, ökar ESS-tekniken effektiviteten till 99 procent. Detta minskar </w:t>
      </w:r>
      <w:r>
        <w:rPr>
          <w:rFonts w:ascii="Arial" w:hAnsi="Arial" w:cs="Arial"/>
          <w:color w:val="333333"/>
          <w:sz w:val="20"/>
          <w:szCs w:val="20"/>
          <w:lang w:val="sv-SE"/>
        </w:rPr>
        <w:t>i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nte bara den energi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som krävs för att driva UPS:en, utan genererar också mindre värme, vilket minskar kylbehov och kostnader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och samtidigt förbättrar tillförlitligheten hos UPS:en och förlänger dess livslängd.</w:t>
      </w:r>
    </w:p>
    <w:p w:rsid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Jämfört med enkla bypass-system är ESS-lösningen betydligt mer sofistikerad. UPS:er som är utrustade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med ESS-teknik använder avancerad digital signalbehandling (DSP) för att kontinuerligt övervaka kvaliteten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 xml:space="preserve">på elnätet. Så länge kvaliteten är god levereras ström direkt från elnätet till utrustningen, vilket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lastRenderedPageBreak/>
        <w:t>gör att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systemet kan uppnå en exceptionellt hög verkningsgrad på 99 procent. Även vid drift i det här läget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fortsätter UPS-enheten att filtrera strömmen till utrustningen på ett effektivt och tillförlitligt sätt för att</w:t>
      </w:r>
    </w:p>
    <w:p w:rsidR="00AA1CF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eliminera ström-, spännings- eller frekvensvariationer.</w:t>
      </w:r>
    </w:p>
    <w:p w:rsid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</w:p>
    <w:p w:rsid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När UPS:en känner av att strömkvaliteten har försämrats, växlar den till dubbelkonverterande läge på mindre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än två millisekunder, en övergång så snabb att den är osynlig för även de mest känsliga laster. Denna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snabba övergång är möjlig när UPS-enheten är i ESS-läge eftersom likriktarens in-och utgångskontaktorer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förblir stängda och strömomvandlaren förblir synkroniserad med strömförsörjningen. För att växla tilldubbelkonverterande läge är det därför endast nödvändigt att aktivera outputsteget hos kraftomvandlaren,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vilket kan ske nästan omedelbart.</w:t>
      </w:r>
    </w:p>
    <w:p w:rsid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Eaton elverksamhet är globalt ledande med expertis inom distribution av ström och kretsskydd;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reserveffektsskydd; styrning och automatisering; ljus och säkerhet; konstruktionslösningar och</w:t>
      </w: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kopplingsenheter; lösningar för tuffa och farliga miljöer samt tekniska tjänster. Eaton är genom sina globala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lösningar utrustad för att svara på de viktigaste utmaningar inom strömhantering vi har idag.</w:t>
      </w:r>
    </w:p>
    <w:p w:rsidR="00FD743F" w:rsidRDefault="00FD743F" w:rsidP="00FD743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0"/>
          <w:szCs w:val="20"/>
          <w:lang w:val="sv-SE"/>
        </w:rPr>
      </w:pPr>
    </w:p>
    <w:p w:rsidR="00FD743F" w:rsidRPr="00FD743F" w:rsidRDefault="00FD743F" w:rsidP="00FD743F">
      <w:pPr>
        <w:autoSpaceDE w:val="0"/>
        <w:autoSpaceDN w:val="0"/>
        <w:adjustRightInd w:val="0"/>
        <w:spacing w:after="0" w:line="360" w:lineRule="auto"/>
        <w:rPr>
          <w:lang w:val="sv-SE"/>
        </w:rPr>
      </w:pPr>
      <w:r w:rsidRPr="00FD743F">
        <w:rPr>
          <w:rFonts w:ascii="Arial" w:hAnsi="Arial" w:cs="Arial"/>
          <w:color w:val="333333"/>
          <w:sz w:val="20"/>
          <w:szCs w:val="20"/>
          <w:lang w:val="sv-SE"/>
        </w:rPr>
        <w:t>Eaton är ett företag inom krafthantering som hade en omsättning på 22 miljarder dollar 2013. Eaton levererar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energisparande lösningar som hjälper våra kunder att hantera elektrisk, hydraulisk och mekanisk kraft på ett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mer effektivt, säkert och hållbart sätt. Eaton har runt 102 000 anställda och bedriver försäljning i över 175</w:t>
      </w:r>
      <w:r>
        <w:rPr>
          <w:rFonts w:ascii="Arial" w:hAnsi="Arial" w:cs="Arial"/>
          <w:color w:val="333333"/>
          <w:sz w:val="20"/>
          <w:szCs w:val="20"/>
          <w:lang w:val="sv-SE"/>
        </w:rPr>
        <w:t xml:space="preserve"> </w:t>
      </w:r>
      <w:r w:rsidRPr="00FD743F">
        <w:rPr>
          <w:rFonts w:ascii="Arial" w:hAnsi="Arial" w:cs="Arial"/>
          <w:color w:val="333333"/>
          <w:sz w:val="20"/>
          <w:szCs w:val="20"/>
          <w:lang w:val="sv-SE"/>
        </w:rPr>
        <w:t>länder. Mer information finns på www.eaton.eu.</w:t>
      </w:r>
    </w:p>
    <w:sectPr w:rsidR="00FD743F" w:rsidRPr="00FD743F" w:rsidSect="007B5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9B" w:rsidRDefault="00850E9B" w:rsidP="007B52A0">
      <w:pPr>
        <w:spacing w:after="0" w:line="240" w:lineRule="auto"/>
      </w:pPr>
      <w:r>
        <w:separator/>
      </w:r>
    </w:p>
  </w:endnote>
  <w:endnote w:type="continuationSeparator" w:id="0">
    <w:p w:rsidR="00850E9B" w:rsidRDefault="00850E9B" w:rsidP="007B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A0" w:rsidRDefault="007B5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A0" w:rsidRDefault="007B52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A0" w:rsidRDefault="007B5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9B" w:rsidRDefault="00850E9B" w:rsidP="007B52A0">
      <w:pPr>
        <w:spacing w:after="0" w:line="240" w:lineRule="auto"/>
      </w:pPr>
      <w:r>
        <w:separator/>
      </w:r>
    </w:p>
  </w:footnote>
  <w:footnote w:type="continuationSeparator" w:id="0">
    <w:p w:rsidR="00850E9B" w:rsidRDefault="00850E9B" w:rsidP="007B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A0" w:rsidRDefault="007B52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A0" w:rsidRDefault="007B52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08"/>
      <w:gridCol w:w="2062"/>
      <w:gridCol w:w="1620"/>
    </w:tblGrid>
    <w:tr w:rsidR="007B52A0" w:rsidTr="00D1561B">
      <w:trPr>
        <w:trHeight w:val="1992"/>
      </w:trPr>
      <w:tc>
        <w:tcPr>
          <w:tcW w:w="5408" w:type="dxa"/>
        </w:tcPr>
        <w:p w:rsidR="007B52A0" w:rsidRDefault="007B52A0" w:rsidP="00D1561B">
          <w:pPr>
            <w:pStyle w:val="Heading1"/>
            <w:tabs>
              <w:tab w:val="left" w:pos="1647"/>
            </w:tabs>
            <w:ind w:left="522" w:hanging="630"/>
            <w:contextualSpacing/>
            <w:rPr>
              <w:rFonts w:cs="Arial"/>
            </w:rPr>
          </w:pPr>
        </w:p>
        <w:p w:rsidR="007B52A0" w:rsidRPr="003E0684" w:rsidRDefault="007B52A0" w:rsidP="00D1561B">
          <w:pPr>
            <w:pStyle w:val="Heading1"/>
            <w:ind w:left="-90"/>
            <w:contextualSpacing/>
            <w:rPr>
              <w:rFonts w:cs="Arial"/>
            </w:rPr>
          </w:pPr>
          <w:bookmarkStart w:id="1" w:name="BusinessUnit"/>
          <w:bookmarkEnd w:id="1"/>
          <w:r>
            <w:rPr>
              <w:rFonts w:cs="Arial"/>
              <w:noProof/>
            </w:rPr>
            <w:drawing>
              <wp:anchor distT="0" distB="0" distL="114300" distR="114300" simplePos="0" relativeHeight="251660288" behindDoc="1" locked="0" layoutInCell="1" allowOverlap="1" wp14:anchorId="03D1F48B" wp14:editId="289F206F">
                <wp:simplePos x="0" y="0"/>
                <wp:positionH relativeFrom="column">
                  <wp:posOffset>0</wp:posOffset>
                </wp:positionH>
                <wp:positionV relativeFrom="paragraph">
                  <wp:posOffset>-725805</wp:posOffset>
                </wp:positionV>
                <wp:extent cx="1810385" cy="705485"/>
                <wp:effectExtent l="0" t="0" r="0" b="0"/>
                <wp:wrapTight wrapText="bothSides">
                  <wp:wrapPolygon edited="0">
                    <wp:start x="0" y="0"/>
                    <wp:lineTo x="0" y="20997"/>
                    <wp:lineTo x="21365" y="20997"/>
                    <wp:lineTo x="21365" y="0"/>
                    <wp:lineTo x="0" y="0"/>
                  </wp:wrapPolygon>
                </wp:wrapTight>
                <wp:docPr id="9" name="Picture 9" descr="Eaton_PBW_Lit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aton_PBW_Lit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49" t="20029" r="8931" b="139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62" w:type="dxa"/>
        </w:tcPr>
        <w:p w:rsidR="007B52A0" w:rsidRDefault="007B52A0" w:rsidP="00D1561B">
          <w:pPr>
            <w:contextualSpacing/>
            <w:rPr>
              <w:rFonts w:ascii="Arial Narrow" w:eastAsia="Arial Narrow" w:hAnsi="Arial Narrow" w:cs="Arial Narrow"/>
              <w:sz w:val="17"/>
              <w:szCs w:val="17"/>
            </w:rPr>
          </w:pPr>
          <w:bookmarkStart w:id="2" w:name="Enterprise"/>
          <w:bookmarkEnd w:id="2"/>
          <w:r w:rsidRPr="00EA30B6">
            <w:rPr>
              <w:rFonts w:ascii="Arial Narrow" w:eastAsia="Arial Narrow" w:hAnsi="Arial Narrow" w:cs="Arial Narrow"/>
              <w:sz w:val="17"/>
              <w:szCs w:val="17"/>
            </w:rPr>
            <w:t>Eaton</w:t>
          </w:r>
        </w:p>
        <w:p w:rsidR="007B52A0" w:rsidRPr="006A61C0" w:rsidRDefault="007B52A0" w:rsidP="00D1561B">
          <w:pPr>
            <w:contextualSpacing/>
            <w:rPr>
              <w:rFonts w:ascii="Arial Narrow" w:hAnsi="Arial Narrow"/>
              <w:sz w:val="17"/>
            </w:rPr>
          </w:pPr>
          <w:proofErr w:type="spellStart"/>
          <w:r>
            <w:rPr>
              <w:rFonts w:ascii="Arial Narrow" w:eastAsia="Arial Narrow" w:hAnsi="Arial Narrow" w:cs="Arial Narrow"/>
              <w:sz w:val="17"/>
              <w:szCs w:val="17"/>
            </w:rPr>
            <w:t>Kista</w:t>
          </w:r>
          <w:proofErr w:type="spellEnd"/>
          <w:r>
            <w:rPr>
              <w:rFonts w:ascii="Arial Narrow" w:eastAsia="Arial Narrow" w:hAnsi="Arial Narrow" w:cs="Arial Narrow"/>
              <w:sz w:val="17"/>
              <w:szCs w:val="17"/>
            </w:rPr>
            <w:t xml:space="preserve"> Science Tower</w:t>
          </w:r>
        </w:p>
        <w:p w:rsidR="007B52A0" w:rsidRPr="006A61C0" w:rsidRDefault="007B52A0" w:rsidP="00D1561B">
          <w:pPr>
            <w:contextualSpacing/>
            <w:rPr>
              <w:rFonts w:ascii="Arial Narrow" w:hAnsi="Arial Narrow"/>
              <w:sz w:val="17"/>
            </w:rPr>
          </w:pPr>
          <w:r>
            <w:rPr>
              <w:rFonts w:ascii="Arial Narrow" w:eastAsia="Arial Narrow" w:hAnsi="Arial Narrow" w:cs="Arial Narrow"/>
              <w:sz w:val="17"/>
              <w:szCs w:val="17"/>
            </w:rPr>
            <w:t xml:space="preserve">164 51 </w:t>
          </w:r>
          <w:proofErr w:type="spellStart"/>
          <w:r>
            <w:rPr>
              <w:rFonts w:ascii="Arial Narrow" w:eastAsia="Arial Narrow" w:hAnsi="Arial Narrow" w:cs="Arial Narrow"/>
              <w:sz w:val="17"/>
              <w:szCs w:val="17"/>
            </w:rPr>
            <w:t>Kista</w:t>
          </w:r>
          <w:proofErr w:type="spellEnd"/>
          <w:r>
            <w:rPr>
              <w:rFonts w:ascii="Arial Narrow" w:eastAsia="Arial Narrow" w:hAnsi="Arial Narrow" w:cs="Arial Narrow"/>
              <w:sz w:val="17"/>
              <w:szCs w:val="17"/>
            </w:rPr>
            <w:t>, Sweden</w:t>
          </w:r>
        </w:p>
        <w:p w:rsidR="007B52A0" w:rsidRPr="001E20DA" w:rsidRDefault="007B52A0" w:rsidP="00D1561B">
          <w:pPr>
            <w:contextualSpacing/>
            <w:rPr>
              <w:rFonts w:ascii="Arial Narrow" w:hAnsi="Arial Narrow"/>
              <w:sz w:val="17"/>
            </w:rPr>
          </w:pPr>
          <w:proofErr w:type="spellStart"/>
          <w:r>
            <w:rPr>
              <w:rFonts w:ascii="Arial Narrow" w:eastAsia="Arial Narrow" w:hAnsi="Arial Narrow" w:cs="Arial Narrow"/>
              <w:sz w:val="17"/>
              <w:szCs w:val="17"/>
            </w:rPr>
            <w:t>tel</w:t>
          </w:r>
          <w:proofErr w:type="spellEnd"/>
          <w:r>
            <w:rPr>
              <w:rFonts w:ascii="Arial Narrow" w:eastAsia="Arial Narrow" w:hAnsi="Arial Narrow" w:cs="Arial Narrow"/>
              <w:sz w:val="17"/>
              <w:szCs w:val="17"/>
            </w:rPr>
            <w:t>: +46 8 598 940 00</w:t>
          </w:r>
        </w:p>
        <w:p w:rsidR="007B52A0" w:rsidRPr="001E20DA" w:rsidRDefault="007B52A0" w:rsidP="00D1561B">
          <w:pPr>
            <w:contextualSpacing/>
            <w:rPr>
              <w:rFonts w:ascii="Arial Narrow" w:hAnsi="Arial Narrow"/>
              <w:sz w:val="17"/>
            </w:rPr>
          </w:pPr>
          <w:r w:rsidRPr="00EA30B6">
            <w:rPr>
              <w:rFonts w:ascii="Arial Narrow" w:eastAsia="Arial Narrow" w:hAnsi="Arial Narrow" w:cs="Arial Narrow"/>
              <w:sz w:val="17"/>
              <w:szCs w:val="17"/>
            </w:rPr>
            <w:t>Twitter: @</w:t>
          </w:r>
          <w:proofErr w:type="spellStart"/>
          <w:r w:rsidRPr="00EA30B6">
            <w:rPr>
              <w:rFonts w:ascii="Arial Narrow" w:eastAsia="Arial Narrow" w:hAnsi="Arial Narrow" w:cs="Arial Narrow"/>
              <w:sz w:val="17"/>
              <w:szCs w:val="17"/>
            </w:rPr>
            <w:t>Eaton_UPS</w:t>
          </w:r>
          <w:proofErr w:type="spellEnd"/>
        </w:p>
        <w:p w:rsidR="007B52A0" w:rsidRPr="003E0684" w:rsidRDefault="007B52A0" w:rsidP="00D1561B">
          <w:pPr>
            <w:contextualSpacing/>
            <w:rPr>
              <w:rFonts w:ascii="Arial" w:hAnsi="Arial" w:cs="Arial"/>
              <w:sz w:val="16"/>
            </w:rPr>
          </w:pPr>
          <w:r w:rsidRPr="006A61C0">
            <w:rPr>
              <w:rFonts w:ascii="Arial Narrow" w:eastAsia="Arial Narrow" w:hAnsi="Arial Narrow" w:cs="Arial Narrow"/>
              <w:sz w:val="17"/>
              <w:szCs w:val="17"/>
              <w:lang w:val="sv-SE"/>
            </w:rPr>
            <w:t xml:space="preserve">LinkedIn: Eaton EMEA  </w:t>
          </w:r>
          <w:bookmarkStart w:id="3" w:name="Fax"/>
          <w:bookmarkEnd w:id="3"/>
        </w:p>
      </w:tc>
      <w:tc>
        <w:tcPr>
          <w:tcW w:w="1620" w:type="dxa"/>
        </w:tcPr>
        <w:p w:rsidR="007B52A0" w:rsidRDefault="007B52A0" w:rsidP="00D1561B">
          <w:pPr>
            <w:pStyle w:val="Heading1"/>
            <w:rPr>
              <w:rFonts w:cs="Arial"/>
              <w:sz w:val="36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7BAC150B" wp14:editId="13B03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16000" cy="774700"/>
                <wp:effectExtent l="0" t="0" r="0" b="6350"/>
                <wp:wrapSquare wrapText="bothSides"/>
                <wp:docPr id="10" name="Picture 5" descr="releasesqu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eleasesqu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B52A0" w:rsidRPr="007B52A0" w:rsidRDefault="007B52A0" w:rsidP="007B52A0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2E"/>
    <w:rsid w:val="00507273"/>
    <w:rsid w:val="00791E3B"/>
    <w:rsid w:val="007B52A0"/>
    <w:rsid w:val="00850E9B"/>
    <w:rsid w:val="00AA1CFF"/>
    <w:rsid w:val="00D5512E"/>
    <w:rsid w:val="00F52BD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52A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1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2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A0"/>
  </w:style>
  <w:style w:type="paragraph" w:styleId="Footer">
    <w:name w:val="footer"/>
    <w:basedOn w:val="Normal"/>
    <w:link w:val="FooterChar"/>
    <w:uiPriority w:val="99"/>
    <w:unhideWhenUsed/>
    <w:rsid w:val="007B52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A0"/>
  </w:style>
  <w:style w:type="character" w:customStyle="1" w:styleId="Heading1Char">
    <w:name w:val="Heading 1 Char"/>
    <w:basedOn w:val="DefaultParagraphFont"/>
    <w:link w:val="Heading1"/>
    <w:rsid w:val="007B52A0"/>
    <w:rPr>
      <w:rFonts w:ascii="Arial" w:eastAsia="Times New Roman" w:hAnsi="Arial" w:cs="Times New Roman"/>
      <w:b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52A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1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2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A0"/>
  </w:style>
  <w:style w:type="paragraph" w:styleId="Footer">
    <w:name w:val="footer"/>
    <w:basedOn w:val="Normal"/>
    <w:link w:val="FooterChar"/>
    <w:uiPriority w:val="99"/>
    <w:unhideWhenUsed/>
    <w:rsid w:val="007B52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A0"/>
  </w:style>
  <w:style w:type="character" w:customStyle="1" w:styleId="Heading1Char">
    <w:name w:val="Heading 1 Char"/>
    <w:basedOn w:val="DefaultParagraphFont"/>
    <w:link w:val="Heading1"/>
    <w:rsid w:val="007B52A0"/>
    <w:rPr>
      <w:rFonts w:ascii="Arial" w:eastAsia="Times New Roman" w:hAnsi="Arial" w:cs="Times New Roman"/>
      <w:b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3156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Corp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Rebecca</dc:creator>
  <cp:lastModifiedBy>Karlsson, Rebecca</cp:lastModifiedBy>
  <cp:revision>3</cp:revision>
  <dcterms:created xsi:type="dcterms:W3CDTF">2014-03-11T09:56:00Z</dcterms:created>
  <dcterms:modified xsi:type="dcterms:W3CDTF">2014-03-11T09:59:00Z</dcterms:modified>
</cp:coreProperties>
</file>