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93" w:type="dxa"/>
        <w:tblLayout w:type="fixed"/>
        <w:tblLook w:val="0000" w:firstRow="0" w:lastRow="0" w:firstColumn="0" w:lastColumn="0" w:noHBand="0" w:noVBand="0"/>
      </w:tblPr>
      <w:tblGrid>
        <w:gridCol w:w="5074"/>
        <w:gridCol w:w="2642"/>
        <w:gridCol w:w="2377"/>
      </w:tblGrid>
      <w:tr w:rsidR="009F0994" w:rsidRPr="00BB222E" w:rsidTr="00266AB0">
        <w:trPr>
          <w:trHeight w:val="986"/>
        </w:trPr>
        <w:tc>
          <w:tcPr>
            <w:tcW w:w="5074" w:type="dxa"/>
          </w:tcPr>
          <w:p w:rsidR="009F0994" w:rsidRPr="00BB222E" w:rsidRDefault="009F0994" w:rsidP="00266AB0">
            <w:pPr>
              <w:tabs>
                <w:tab w:val="left" w:pos="913"/>
              </w:tabs>
              <w:rPr>
                <w:rFonts w:ascii="Arial" w:eastAsia="Times New Roman" w:hAnsi="Arial" w:cs="Arial"/>
                <w:sz w:val="24"/>
                <w:szCs w:val="20"/>
                <w:highlight w:val="red"/>
              </w:rPr>
            </w:pPr>
            <w:r w:rsidRPr="00BB222E">
              <w:rPr>
                <w:rFonts w:ascii="Arial" w:eastAsia="Arial Unicode MS" w:hAnsi="Arial" w:cs="Arial"/>
                <w:noProof/>
                <w:sz w:val="24"/>
                <w:szCs w:val="20"/>
                <w:highlight w:val="red"/>
                <w:lang w:eastAsia="en-GB"/>
              </w:rPr>
              <w:drawing>
                <wp:inline distT="0" distB="0" distL="0" distR="0" wp14:anchorId="1285B6DC" wp14:editId="2EC4CC65">
                  <wp:extent cx="1394460" cy="824772"/>
                  <wp:effectExtent l="0" t="0" r="0" b="0"/>
                  <wp:docPr id="1" name="Picture 1" descr="HMRC_327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RC_327_A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9843" cy="827956"/>
                          </a:xfrm>
                          <a:prstGeom prst="rect">
                            <a:avLst/>
                          </a:prstGeom>
                          <a:noFill/>
                          <a:ln>
                            <a:noFill/>
                          </a:ln>
                        </pic:spPr>
                      </pic:pic>
                    </a:graphicData>
                  </a:graphic>
                </wp:inline>
              </w:drawing>
            </w:r>
          </w:p>
        </w:tc>
        <w:tc>
          <w:tcPr>
            <w:tcW w:w="2642" w:type="dxa"/>
          </w:tcPr>
          <w:p w:rsidR="009F0994" w:rsidRPr="002F697C" w:rsidRDefault="009F0994" w:rsidP="00266AB0">
            <w:pPr>
              <w:rPr>
                <w:rFonts w:ascii="Arial" w:hAnsi="Arial" w:cs="Arial"/>
                <w:b/>
                <w:color w:val="FFFFFF" w:themeColor="background1"/>
                <w:sz w:val="44"/>
                <w:szCs w:val="44"/>
                <w:highlight w:val="red"/>
                <w:u w:val="single"/>
              </w:rPr>
            </w:pPr>
          </w:p>
        </w:tc>
        <w:tc>
          <w:tcPr>
            <w:tcW w:w="2377" w:type="dxa"/>
          </w:tcPr>
          <w:p w:rsidR="009F0994" w:rsidRPr="00BB222E" w:rsidRDefault="009F0994" w:rsidP="00266AB0">
            <w:pPr>
              <w:rPr>
                <w:rFonts w:ascii="Arial" w:hAnsi="Arial" w:cs="Arial"/>
                <w:b/>
                <w:color w:val="FF0000"/>
                <w:sz w:val="36"/>
                <w:szCs w:val="36"/>
                <w:highlight w:val="red"/>
              </w:rPr>
            </w:pPr>
          </w:p>
        </w:tc>
      </w:tr>
      <w:tr w:rsidR="009F0994" w:rsidRPr="00BB222E" w:rsidTr="00266AB0">
        <w:trPr>
          <w:trHeight w:hRule="exact" w:val="160"/>
        </w:trPr>
        <w:tc>
          <w:tcPr>
            <w:tcW w:w="5074" w:type="dxa"/>
          </w:tcPr>
          <w:p w:rsidR="009F0994" w:rsidRPr="00BB222E" w:rsidRDefault="009F0994" w:rsidP="00266AB0">
            <w:pPr>
              <w:rPr>
                <w:rFonts w:ascii="Arial" w:hAnsi="Arial" w:cs="Arial"/>
                <w:sz w:val="24"/>
                <w:highlight w:val="red"/>
              </w:rPr>
            </w:pPr>
          </w:p>
        </w:tc>
        <w:tc>
          <w:tcPr>
            <w:tcW w:w="2642" w:type="dxa"/>
          </w:tcPr>
          <w:p w:rsidR="009F0994" w:rsidRPr="00BB222E" w:rsidRDefault="009F0994" w:rsidP="00266AB0">
            <w:pPr>
              <w:rPr>
                <w:rFonts w:ascii="Arial" w:hAnsi="Arial" w:cs="Arial"/>
                <w:b/>
                <w:highlight w:val="red"/>
              </w:rPr>
            </w:pPr>
          </w:p>
        </w:tc>
        <w:tc>
          <w:tcPr>
            <w:tcW w:w="2377" w:type="dxa"/>
          </w:tcPr>
          <w:p w:rsidR="009F0994" w:rsidRPr="00BB222E" w:rsidRDefault="009F0994" w:rsidP="00266AB0">
            <w:pPr>
              <w:rPr>
                <w:rFonts w:ascii="Arial" w:hAnsi="Arial" w:cs="Arial"/>
                <w:b/>
                <w:highlight w:val="red"/>
              </w:rPr>
            </w:pPr>
          </w:p>
        </w:tc>
      </w:tr>
    </w:tbl>
    <w:p w:rsidR="009F0994" w:rsidRPr="00BB222E" w:rsidRDefault="009F0994" w:rsidP="009F0994">
      <w:pPr>
        <w:rPr>
          <w:rFonts w:ascii="Arial" w:hAnsi="Arial" w:cs="Arial"/>
          <w:color w:val="FFFFFF"/>
          <w:sz w:val="24"/>
          <w:highlight w:val="red"/>
        </w:rPr>
      </w:pPr>
      <w:r w:rsidRPr="00BB222E">
        <w:rPr>
          <w:rFonts w:ascii="Arial" w:hAnsi="Arial" w:cs="Arial"/>
          <w:noProof/>
          <w:highlight w:val="red"/>
          <w:lang w:eastAsia="en-GB"/>
        </w:rPr>
        <mc:AlternateContent>
          <mc:Choice Requires="wps">
            <w:drawing>
              <wp:anchor distT="0" distB="0" distL="114300" distR="114300" simplePos="0" relativeHeight="251659264" behindDoc="0" locked="0" layoutInCell="0" allowOverlap="1" wp14:anchorId="4EE21A8E" wp14:editId="53218796">
                <wp:simplePos x="0" y="0"/>
                <wp:positionH relativeFrom="column">
                  <wp:posOffset>12065</wp:posOffset>
                </wp:positionH>
                <wp:positionV relativeFrom="paragraph">
                  <wp:posOffset>41275</wp:posOffset>
                </wp:positionV>
                <wp:extent cx="5733415" cy="366395"/>
                <wp:effectExtent l="20320" t="13970" r="18415" b="1968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3415" cy="366395"/>
                        </a:xfrm>
                        <a:prstGeom prst="rect">
                          <a:avLst/>
                        </a:prstGeom>
                        <a:solidFill>
                          <a:srgbClr val="000000"/>
                        </a:solid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F0994" w:rsidRDefault="009F0994" w:rsidP="009F0994">
                            <w:pPr>
                              <w:tabs>
                                <w:tab w:val="right" w:pos="8931"/>
                              </w:tabs>
                              <w:rPr>
                                <w:rFonts w:ascii="Arial" w:hAnsi="Arial"/>
                                <w:b/>
                                <w:i/>
                                <w:color w:val="FFFFFF"/>
                                <w:sz w:val="44"/>
                              </w:rPr>
                            </w:pPr>
                            <w:r>
                              <w:rPr>
                                <w:b/>
                                <w:i/>
                                <w:sz w:val="44"/>
                              </w:rPr>
                              <w:tab/>
                            </w:r>
                            <w:r w:rsidRPr="00E67228">
                              <w:rPr>
                                <w:rFonts w:ascii="Arial" w:hAnsi="Arial"/>
                                <w:b/>
                                <w:i/>
                                <w:color w:val="FFFFFF"/>
                                <w:sz w:val="44"/>
                              </w:rPr>
                              <w:t xml:space="preserve">News </w:t>
                            </w:r>
                            <w:r>
                              <w:rPr>
                                <w:rFonts w:ascii="Arial" w:hAnsi="Arial"/>
                                <w:b/>
                                <w:i/>
                                <w:color w:val="FFFFFF"/>
                                <w:sz w:val="44"/>
                              </w:rPr>
                              <w:t>Release</w:t>
                            </w:r>
                          </w:p>
                          <w:p w:rsidR="009F0994" w:rsidRDefault="009F0994" w:rsidP="009F0994">
                            <w:pPr>
                              <w:rPr>
                                <w:b/>
                                <w:i/>
                                <w:color w:val="FFFFFF"/>
                                <w:sz w:val="44"/>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E21A8E" id="Rectangle 2" o:spid="_x0000_s1026" style="position:absolute;margin-left:.95pt;margin-top:3.25pt;width:451.45pt;height:2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" o:allowincell="f" fillcolor="black" strokeweight="2pt">
                <v:textbox inset="1pt,1pt,1pt,1pt">
                  <w:txbxContent>
                    <w:p w:rsidR="009F0994" w:rsidRDefault="009F0994" w:rsidP="009F0994">
                      <w:pPr>
                        <w:tabs>
                          <w:tab w:val="right" w:pos="8931"/>
                        </w:tabs>
                        <w:rPr>
                          <w:rFonts w:ascii="Arial" w:hAnsi="Arial"/>
                          <w:b/>
                          <w:i/>
                          <w:color w:val="FFFFFF"/>
                          <w:sz w:val="44"/>
                        </w:rPr>
                      </w:pPr>
                      <w:r>
                        <w:rPr>
                          <w:b/>
                          <w:i/>
                          <w:sz w:val="44"/>
                        </w:rPr>
                        <w:tab/>
                      </w:r>
                      <w:r w:rsidRPr="00E67228">
                        <w:rPr>
                          <w:rFonts w:ascii="Arial" w:hAnsi="Arial"/>
                          <w:b/>
                          <w:i/>
                          <w:color w:val="FFFFFF"/>
                          <w:sz w:val="44"/>
                        </w:rPr>
                        <w:t xml:space="preserve">News </w:t>
                      </w:r>
                      <w:r>
                        <w:rPr>
                          <w:rFonts w:ascii="Arial" w:hAnsi="Arial"/>
                          <w:b/>
                          <w:i/>
                          <w:color w:val="FFFFFF"/>
                          <w:sz w:val="44"/>
                        </w:rPr>
                        <w:t>Release</w:t>
                      </w:r>
                    </w:p>
                    <w:p w:rsidR="009F0994" w:rsidRDefault="009F0994" w:rsidP="009F0994">
                      <w:pPr>
                        <w:rPr>
                          <w:b/>
                          <w:i/>
                          <w:color w:val="FFFFFF"/>
                          <w:sz w:val="44"/>
                        </w:rPr>
                      </w:pPr>
                    </w:p>
                  </w:txbxContent>
                </v:textbox>
              </v:rect>
            </w:pict>
          </mc:Fallback>
        </mc:AlternateContent>
      </w:r>
    </w:p>
    <w:p w:rsidR="009F0994" w:rsidRPr="00BB222E" w:rsidRDefault="009F0994" w:rsidP="009F0994">
      <w:pPr>
        <w:rPr>
          <w:rFonts w:ascii="Arial" w:eastAsia="Times New Roman" w:hAnsi="Arial" w:cs="Arial"/>
          <w:b/>
          <w:sz w:val="20"/>
          <w:szCs w:val="20"/>
          <w:highlight w:val="red"/>
        </w:rPr>
      </w:pPr>
    </w:p>
    <w:p w:rsidR="009F0994" w:rsidRPr="00BB222E" w:rsidRDefault="009F0994" w:rsidP="009F0994">
      <w:pPr>
        <w:suppressAutoHyphens/>
        <w:rPr>
          <w:rFonts w:ascii="Arial" w:eastAsia="Times New Roman" w:hAnsi="Arial" w:cs="Arial"/>
          <w:spacing w:val="-3"/>
          <w:sz w:val="24"/>
          <w:szCs w:val="20"/>
          <w:highlight w:val="red"/>
        </w:rPr>
      </w:pPr>
    </w:p>
    <w:tbl>
      <w:tblPr>
        <w:tblW w:w="10802" w:type="dxa"/>
        <w:tblInd w:w="-913" w:type="dxa"/>
        <w:tblLayout w:type="fixed"/>
        <w:tblLook w:val="0000" w:firstRow="0" w:lastRow="0" w:firstColumn="0" w:lastColumn="0" w:noHBand="0" w:noVBand="0"/>
      </w:tblPr>
      <w:tblGrid>
        <w:gridCol w:w="1021"/>
        <w:gridCol w:w="685"/>
        <w:gridCol w:w="5116"/>
        <w:gridCol w:w="1746"/>
        <w:gridCol w:w="1523"/>
        <w:gridCol w:w="711"/>
      </w:tblGrid>
      <w:tr w:rsidR="009F0994" w:rsidRPr="00BB222E" w:rsidTr="00266AB0">
        <w:trPr>
          <w:cantSplit/>
        </w:trPr>
        <w:tc>
          <w:tcPr>
            <w:tcW w:w="1021" w:type="dxa"/>
          </w:tcPr>
          <w:p w:rsidR="009F0994" w:rsidRPr="00BB222E" w:rsidRDefault="009F0994" w:rsidP="00266AB0">
            <w:pPr>
              <w:spacing w:before="60"/>
              <w:rPr>
                <w:rFonts w:ascii="Arial" w:hAnsi="Arial" w:cs="Arial"/>
                <w:highlight w:val="red"/>
              </w:rPr>
            </w:pPr>
          </w:p>
        </w:tc>
        <w:tc>
          <w:tcPr>
            <w:tcW w:w="5801" w:type="dxa"/>
            <w:gridSpan w:val="2"/>
            <w:tcBorders>
              <w:bottom w:val="single" w:sz="12" w:space="0" w:color="auto"/>
            </w:tcBorders>
          </w:tcPr>
          <w:p w:rsidR="009F0994" w:rsidRPr="00BB222E" w:rsidRDefault="009F0994" w:rsidP="00266AB0">
            <w:pPr>
              <w:overflowPunct w:val="0"/>
              <w:autoSpaceDE w:val="0"/>
              <w:autoSpaceDN w:val="0"/>
              <w:adjustRightInd w:val="0"/>
              <w:spacing w:before="60" w:after="120"/>
              <w:textAlignment w:val="baseline"/>
              <w:rPr>
                <w:rFonts w:ascii="Arial" w:eastAsia="Times New Roman" w:hAnsi="Arial" w:cs="Arial"/>
                <w:sz w:val="20"/>
                <w:szCs w:val="20"/>
              </w:rPr>
            </w:pPr>
            <w:r w:rsidRPr="00BB222E">
              <w:rPr>
                <w:rFonts w:ascii="Arial" w:eastAsia="Times New Roman" w:hAnsi="Arial" w:cs="Arial"/>
                <w:sz w:val="20"/>
                <w:szCs w:val="20"/>
              </w:rPr>
              <w:t xml:space="preserve">For the attention of </w:t>
            </w:r>
            <w:bookmarkStart w:id="0" w:name="Text3"/>
            <w:r w:rsidRPr="00BB222E">
              <w:rPr>
                <w:rFonts w:ascii="Arial" w:eastAsia="Times New Roman" w:hAnsi="Arial" w:cs="Arial"/>
                <w:b/>
                <w:noProof/>
                <w:sz w:val="20"/>
                <w:szCs w:val="20"/>
              </w:rPr>
              <w:t>News Desks</w:t>
            </w:r>
            <w:bookmarkEnd w:id="0"/>
            <w:r w:rsidRPr="00BB222E">
              <w:rPr>
                <w:rFonts w:ascii="Arial" w:eastAsia="Times New Roman" w:hAnsi="Arial" w:cs="Arial"/>
                <w:b/>
                <w:sz w:val="20"/>
                <w:szCs w:val="20"/>
              </w:rPr>
              <w:t xml:space="preserve"> </w:t>
            </w:r>
          </w:p>
        </w:tc>
        <w:tc>
          <w:tcPr>
            <w:tcW w:w="3269" w:type="dxa"/>
            <w:gridSpan w:val="2"/>
            <w:tcBorders>
              <w:bottom w:val="single" w:sz="12" w:space="0" w:color="auto"/>
            </w:tcBorders>
          </w:tcPr>
          <w:p w:rsidR="009F0994" w:rsidRPr="00BB222E" w:rsidRDefault="009F0994" w:rsidP="00544F40">
            <w:pPr>
              <w:overflowPunct w:val="0"/>
              <w:autoSpaceDE w:val="0"/>
              <w:autoSpaceDN w:val="0"/>
              <w:adjustRightInd w:val="0"/>
              <w:spacing w:before="60" w:after="120"/>
              <w:jc w:val="right"/>
              <w:textAlignment w:val="baseline"/>
              <w:rPr>
                <w:rFonts w:ascii="Arial" w:eastAsia="Times New Roman" w:hAnsi="Arial" w:cs="Arial"/>
                <w:sz w:val="20"/>
                <w:szCs w:val="20"/>
              </w:rPr>
            </w:pPr>
            <w:r w:rsidRPr="00BB222E">
              <w:rPr>
                <w:rFonts w:ascii="Arial" w:eastAsia="Times New Roman" w:hAnsi="Arial" w:cs="Arial"/>
                <w:sz w:val="20"/>
                <w:szCs w:val="20"/>
              </w:rPr>
              <w:t>No. of pages</w:t>
            </w:r>
            <w:r w:rsidRPr="0012198B">
              <w:rPr>
                <w:rFonts w:ascii="Arial" w:eastAsia="Times New Roman" w:hAnsi="Arial" w:cs="Arial"/>
                <w:sz w:val="20"/>
                <w:szCs w:val="20"/>
              </w:rPr>
              <w:t xml:space="preserve">: </w:t>
            </w:r>
            <w:r w:rsidR="00544F40">
              <w:rPr>
                <w:rFonts w:ascii="Arial" w:eastAsia="Times New Roman" w:hAnsi="Arial" w:cs="Arial"/>
                <w:sz w:val="20"/>
                <w:szCs w:val="20"/>
              </w:rPr>
              <w:t>3</w:t>
            </w:r>
          </w:p>
        </w:tc>
        <w:tc>
          <w:tcPr>
            <w:tcW w:w="711" w:type="dxa"/>
          </w:tcPr>
          <w:p w:rsidR="009F0994" w:rsidRPr="00BB222E" w:rsidRDefault="009F0994" w:rsidP="00266AB0">
            <w:pPr>
              <w:spacing w:before="60"/>
              <w:rPr>
                <w:rFonts w:ascii="Arial" w:hAnsi="Arial" w:cs="Arial"/>
                <w:highlight w:val="red"/>
              </w:rPr>
            </w:pPr>
          </w:p>
        </w:tc>
      </w:tr>
      <w:tr w:rsidR="009F0994" w:rsidRPr="00BB222E" w:rsidTr="00266AB0">
        <w:trPr>
          <w:cantSplit/>
        </w:trPr>
        <w:tc>
          <w:tcPr>
            <w:tcW w:w="1021" w:type="dxa"/>
          </w:tcPr>
          <w:p w:rsidR="009F0994" w:rsidRPr="00BB222E" w:rsidRDefault="009F0994" w:rsidP="00266AB0">
            <w:pPr>
              <w:spacing w:before="120"/>
              <w:rPr>
                <w:rFonts w:ascii="Arial" w:hAnsi="Arial" w:cs="Arial"/>
                <w:highlight w:val="red"/>
              </w:rPr>
            </w:pPr>
          </w:p>
        </w:tc>
        <w:tc>
          <w:tcPr>
            <w:tcW w:w="685" w:type="dxa"/>
            <w:tcBorders>
              <w:top w:val="single" w:sz="12" w:space="0" w:color="auto"/>
            </w:tcBorders>
            <w:vAlign w:val="center"/>
          </w:tcPr>
          <w:p w:rsidR="009F0994" w:rsidRPr="00BB222E" w:rsidRDefault="009F0994" w:rsidP="00266AB0">
            <w:pPr>
              <w:jc w:val="right"/>
              <w:rPr>
                <w:rFonts w:ascii="Arial" w:hAnsi="Arial" w:cs="Arial"/>
                <w:sz w:val="18"/>
              </w:rPr>
            </w:pPr>
            <w:r w:rsidRPr="00BB222E">
              <w:rPr>
                <w:rFonts w:ascii="Arial" w:hAnsi="Arial" w:cs="Arial"/>
                <w:sz w:val="18"/>
              </w:rPr>
              <w:t>Date:</w:t>
            </w:r>
          </w:p>
        </w:tc>
        <w:tc>
          <w:tcPr>
            <w:tcW w:w="5116" w:type="dxa"/>
            <w:tcBorders>
              <w:top w:val="single" w:sz="12" w:space="0" w:color="auto"/>
            </w:tcBorders>
          </w:tcPr>
          <w:p w:rsidR="009F0994" w:rsidRPr="002571EE" w:rsidRDefault="00794179" w:rsidP="003C48E6">
            <w:pPr>
              <w:tabs>
                <w:tab w:val="center" w:pos="4153"/>
                <w:tab w:val="right" w:pos="8306"/>
              </w:tabs>
              <w:overflowPunct w:val="0"/>
              <w:autoSpaceDE w:val="0"/>
              <w:autoSpaceDN w:val="0"/>
              <w:adjustRightInd w:val="0"/>
              <w:spacing w:before="120" w:after="120"/>
              <w:ind w:right="-57"/>
              <w:textAlignment w:val="baseline"/>
              <w:rPr>
                <w:rFonts w:ascii="Arial" w:eastAsia="Times New Roman" w:hAnsi="Arial" w:cs="Arial"/>
                <w:b/>
                <w:bCs/>
                <w:sz w:val="18"/>
                <w:szCs w:val="20"/>
              </w:rPr>
            </w:pPr>
            <w:r w:rsidRPr="002571EE">
              <w:rPr>
                <w:rFonts w:ascii="Arial" w:eastAsia="Times New Roman" w:hAnsi="Arial" w:cs="Arial"/>
                <w:b/>
                <w:bCs/>
                <w:color w:val="000000"/>
                <w:sz w:val="18"/>
                <w:szCs w:val="20"/>
              </w:rPr>
              <w:t>26</w:t>
            </w:r>
            <w:r w:rsidR="00523144" w:rsidRPr="002571EE">
              <w:rPr>
                <w:rFonts w:ascii="Arial" w:eastAsia="Times New Roman" w:hAnsi="Arial" w:cs="Arial"/>
                <w:b/>
                <w:bCs/>
                <w:color w:val="000000"/>
                <w:sz w:val="18"/>
                <w:szCs w:val="20"/>
              </w:rPr>
              <w:t xml:space="preserve"> </w:t>
            </w:r>
            <w:r w:rsidR="003C48E6" w:rsidRPr="002571EE">
              <w:rPr>
                <w:rFonts w:ascii="Arial" w:eastAsia="Times New Roman" w:hAnsi="Arial" w:cs="Arial"/>
                <w:b/>
                <w:bCs/>
                <w:color w:val="000000"/>
                <w:sz w:val="18"/>
                <w:szCs w:val="20"/>
              </w:rPr>
              <w:t>July</w:t>
            </w:r>
            <w:r w:rsidR="00523144" w:rsidRPr="002571EE">
              <w:rPr>
                <w:rFonts w:ascii="Arial" w:eastAsia="Times New Roman" w:hAnsi="Arial" w:cs="Arial"/>
                <w:b/>
                <w:bCs/>
                <w:color w:val="000000"/>
                <w:sz w:val="18"/>
                <w:szCs w:val="20"/>
              </w:rPr>
              <w:t xml:space="preserve"> 2019</w:t>
            </w:r>
          </w:p>
        </w:tc>
        <w:tc>
          <w:tcPr>
            <w:tcW w:w="1746" w:type="dxa"/>
            <w:tcBorders>
              <w:top w:val="single" w:sz="12" w:space="0" w:color="auto"/>
            </w:tcBorders>
            <w:vAlign w:val="center"/>
          </w:tcPr>
          <w:p w:rsidR="009F0994" w:rsidRPr="00D20630" w:rsidRDefault="009F0994" w:rsidP="00266AB0">
            <w:pPr>
              <w:jc w:val="right"/>
              <w:rPr>
                <w:rFonts w:ascii="Arial" w:hAnsi="Arial" w:cs="Arial"/>
                <w:sz w:val="18"/>
              </w:rPr>
            </w:pPr>
            <w:r w:rsidRPr="00D20630">
              <w:rPr>
                <w:rFonts w:ascii="Arial" w:hAnsi="Arial" w:cs="Arial"/>
                <w:sz w:val="18"/>
              </w:rPr>
              <w:t>Ref:</w:t>
            </w:r>
          </w:p>
        </w:tc>
        <w:tc>
          <w:tcPr>
            <w:tcW w:w="1523" w:type="dxa"/>
            <w:tcBorders>
              <w:top w:val="single" w:sz="12" w:space="0" w:color="auto"/>
            </w:tcBorders>
          </w:tcPr>
          <w:p w:rsidR="009F0994" w:rsidRPr="00D20630" w:rsidRDefault="0012198B" w:rsidP="002C1D99">
            <w:pPr>
              <w:tabs>
                <w:tab w:val="center" w:pos="4153"/>
                <w:tab w:val="right" w:pos="8306"/>
              </w:tabs>
              <w:overflowPunct w:val="0"/>
              <w:autoSpaceDE w:val="0"/>
              <w:autoSpaceDN w:val="0"/>
              <w:adjustRightInd w:val="0"/>
              <w:spacing w:before="120" w:after="120"/>
              <w:ind w:right="-57"/>
              <w:textAlignment w:val="baseline"/>
              <w:rPr>
                <w:rFonts w:ascii="Arial" w:eastAsia="Times New Roman" w:hAnsi="Arial" w:cs="Arial"/>
                <w:b/>
                <w:bCs/>
                <w:sz w:val="18"/>
                <w:szCs w:val="20"/>
              </w:rPr>
            </w:pPr>
            <w:r w:rsidRPr="00D20630">
              <w:rPr>
                <w:rFonts w:ascii="Arial" w:eastAsia="Times New Roman" w:hAnsi="Arial" w:cs="Arial"/>
                <w:b/>
                <w:bCs/>
                <w:noProof/>
                <w:sz w:val="18"/>
                <w:szCs w:val="20"/>
              </w:rPr>
              <w:t>SO</w:t>
            </w:r>
            <w:r w:rsidR="009F0994" w:rsidRPr="00D20630">
              <w:rPr>
                <w:rFonts w:ascii="Arial" w:eastAsia="Times New Roman" w:hAnsi="Arial" w:cs="Arial"/>
                <w:b/>
                <w:bCs/>
                <w:noProof/>
                <w:sz w:val="18"/>
                <w:szCs w:val="20"/>
              </w:rPr>
              <w:t xml:space="preserve"> </w:t>
            </w:r>
            <w:r w:rsidR="003F0C2F" w:rsidRPr="003F0C2F">
              <w:rPr>
                <w:rFonts w:ascii="Arial" w:eastAsia="Times New Roman" w:hAnsi="Arial" w:cs="Arial"/>
                <w:b/>
                <w:bCs/>
                <w:noProof/>
                <w:sz w:val="18"/>
                <w:szCs w:val="20"/>
              </w:rPr>
              <w:t>0</w:t>
            </w:r>
            <w:r w:rsidR="002C1D99">
              <w:rPr>
                <w:rFonts w:ascii="Arial" w:eastAsia="Times New Roman" w:hAnsi="Arial" w:cs="Arial"/>
                <w:b/>
                <w:bCs/>
                <w:noProof/>
                <w:sz w:val="18"/>
                <w:szCs w:val="20"/>
              </w:rPr>
              <w:t>3</w:t>
            </w:r>
            <w:r w:rsidR="003F0C2F" w:rsidRPr="003F0C2F">
              <w:rPr>
                <w:rFonts w:ascii="Arial" w:eastAsia="Times New Roman" w:hAnsi="Arial" w:cs="Arial"/>
                <w:b/>
                <w:bCs/>
                <w:noProof/>
                <w:sz w:val="18"/>
                <w:szCs w:val="20"/>
              </w:rPr>
              <w:t xml:space="preserve"> </w:t>
            </w:r>
            <w:r w:rsidR="00DF4323">
              <w:rPr>
                <w:rFonts w:ascii="Arial" w:eastAsia="Times New Roman" w:hAnsi="Arial" w:cs="Arial"/>
                <w:b/>
                <w:bCs/>
                <w:noProof/>
                <w:sz w:val="18"/>
                <w:szCs w:val="20"/>
              </w:rPr>
              <w:t>19</w:t>
            </w:r>
          </w:p>
        </w:tc>
        <w:tc>
          <w:tcPr>
            <w:tcW w:w="711" w:type="dxa"/>
          </w:tcPr>
          <w:p w:rsidR="009F0994" w:rsidRPr="00BB222E" w:rsidRDefault="009F0994" w:rsidP="00266AB0">
            <w:pPr>
              <w:overflowPunct w:val="0"/>
              <w:autoSpaceDE w:val="0"/>
              <w:autoSpaceDN w:val="0"/>
              <w:adjustRightInd w:val="0"/>
              <w:spacing w:before="120" w:after="120"/>
              <w:textAlignment w:val="baseline"/>
              <w:rPr>
                <w:rFonts w:ascii="Arial" w:eastAsia="Times New Roman" w:hAnsi="Arial" w:cs="Arial"/>
                <w:color w:val="FF0000"/>
                <w:sz w:val="20"/>
                <w:szCs w:val="20"/>
                <w:highlight w:val="red"/>
              </w:rPr>
            </w:pPr>
          </w:p>
        </w:tc>
      </w:tr>
    </w:tbl>
    <w:p w:rsidR="009F0994" w:rsidRPr="00BB222E" w:rsidRDefault="009F0994" w:rsidP="009F0994">
      <w:pPr>
        <w:jc w:val="center"/>
        <w:rPr>
          <w:rFonts w:ascii="Arial" w:hAnsi="Arial" w:cs="Arial"/>
          <w:b/>
          <w:bCs/>
          <w:highlight w:val="red"/>
        </w:rPr>
      </w:pPr>
      <w:bookmarkStart w:id="1" w:name="_GoBack"/>
    </w:p>
    <w:p w:rsidR="004E77FD" w:rsidRDefault="004827FB" w:rsidP="004E77FD">
      <w:pPr>
        <w:jc w:val="center"/>
        <w:rPr>
          <w:rFonts w:ascii="Arial" w:eastAsia="Times New Roman" w:hAnsi="Arial"/>
          <w:b/>
          <w:bCs/>
          <w:sz w:val="42"/>
          <w:szCs w:val="20"/>
        </w:rPr>
      </w:pPr>
      <w:r>
        <w:rPr>
          <w:rFonts w:ascii="Arial" w:eastAsia="Times New Roman" w:hAnsi="Arial"/>
          <w:b/>
          <w:bCs/>
          <w:sz w:val="42"/>
          <w:szCs w:val="20"/>
        </w:rPr>
        <w:t>PPI</w:t>
      </w:r>
      <w:r w:rsidR="00C42366">
        <w:rPr>
          <w:rFonts w:ascii="Arial" w:eastAsia="Times New Roman" w:hAnsi="Arial"/>
          <w:b/>
          <w:bCs/>
          <w:sz w:val="42"/>
          <w:szCs w:val="20"/>
        </w:rPr>
        <w:t xml:space="preserve"> </w:t>
      </w:r>
      <w:r w:rsidR="00D1091E">
        <w:rPr>
          <w:rFonts w:ascii="Arial" w:eastAsia="Times New Roman" w:hAnsi="Arial"/>
          <w:b/>
          <w:bCs/>
          <w:sz w:val="42"/>
          <w:szCs w:val="20"/>
        </w:rPr>
        <w:t>c</w:t>
      </w:r>
      <w:r w:rsidR="00C42366">
        <w:rPr>
          <w:rFonts w:ascii="Arial" w:eastAsia="Times New Roman" w:hAnsi="Arial"/>
          <w:b/>
          <w:bCs/>
          <w:sz w:val="42"/>
          <w:szCs w:val="20"/>
        </w:rPr>
        <w:t xml:space="preserve">all </w:t>
      </w:r>
      <w:r>
        <w:rPr>
          <w:rFonts w:ascii="Arial" w:eastAsia="Times New Roman" w:hAnsi="Arial"/>
          <w:b/>
          <w:bCs/>
          <w:sz w:val="42"/>
          <w:szCs w:val="20"/>
        </w:rPr>
        <w:t>c</w:t>
      </w:r>
      <w:r w:rsidR="00C42366">
        <w:rPr>
          <w:rFonts w:ascii="Arial" w:eastAsia="Times New Roman" w:hAnsi="Arial"/>
          <w:b/>
          <w:bCs/>
          <w:sz w:val="42"/>
          <w:szCs w:val="20"/>
        </w:rPr>
        <w:t xml:space="preserve">entre </w:t>
      </w:r>
      <w:r>
        <w:rPr>
          <w:rFonts w:ascii="Arial" w:eastAsia="Times New Roman" w:hAnsi="Arial"/>
          <w:b/>
          <w:bCs/>
          <w:sz w:val="42"/>
          <w:szCs w:val="20"/>
        </w:rPr>
        <w:t>b</w:t>
      </w:r>
      <w:r w:rsidR="00C42366">
        <w:rPr>
          <w:rFonts w:ascii="Arial" w:eastAsia="Times New Roman" w:hAnsi="Arial"/>
          <w:b/>
          <w:bCs/>
          <w:sz w:val="42"/>
          <w:szCs w:val="20"/>
        </w:rPr>
        <w:t>oss</w:t>
      </w:r>
      <w:r w:rsidR="003C48E6">
        <w:rPr>
          <w:rFonts w:ascii="Arial" w:eastAsia="Times New Roman" w:hAnsi="Arial"/>
          <w:b/>
          <w:bCs/>
          <w:sz w:val="42"/>
          <w:szCs w:val="20"/>
        </w:rPr>
        <w:t xml:space="preserve"> and </w:t>
      </w:r>
      <w:r w:rsidR="00F46987">
        <w:rPr>
          <w:rFonts w:ascii="Arial" w:eastAsia="Times New Roman" w:hAnsi="Arial"/>
          <w:b/>
          <w:bCs/>
          <w:sz w:val="42"/>
          <w:szCs w:val="20"/>
        </w:rPr>
        <w:t xml:space="preserve">his </w:t>
      </w:r>
      <w:r>
        <w:rPr>
          <w:rFonts w:ascii="Arial" w:eastAsia="Times New Roman" w:hAnsi="Arial"/>
          <w:b/>
          <w:bCs/>
          <w:sz w:val="42"/>
          <w:szCs w:val="20"/>
        </w:rPr>
        <w:t>a</w:t>
      </w:r>
      <w:r w:rsidR="003C48E6">
        <w:rPr>
          <w:rFonts w:ascii="Arial" w:eastAsia="Times New Roman" w:hAnsi="Arial"/>
          <w:b/>
          <w:bCs/>
          <w:sz w:val="42"/>
          <w:szCs w:val="20"/>
        </w:rPr>
        <w:t xml:space="preserve">ccountant </w:t>
      </w:r>
      <w:r w:rsidR="003C48E6" w:rsidRPr="006E7332">
        <w:rPr>
          <w:rFonts w:ascii="Arial" w:eastAsia="Times New Roman" w:hAnsi="Arial"/>
          <w:b/>
          <w:bCs/>
          <w:sz w:val="42"/>
          <w:szCs w:val="20"/>
        </w:rPr>
        <w:t>jailed</w:t>
      </w:r>
      <w:r w:rsidR="003C48E6">
        <w:rPr>
          <w:rFonts w:ascii="Arial" w:eastAsia="Times New Roman" w:hAnsi="Arial"/>
          <w:b/>
          <w:bCs/>
          <w:sz w:val="42"/>
          <w:szCs w:val="20"/>
        </w:rPr>
        <w:t xml:space="preserve"> </w:t>
      </w:r>
      <w:r w:rsidR="00927DAC">
        <w:rPr>
          <w:rFonts w:ascii="Arial" w:eastAsia="Times New Roman" w:hAnsi="Arial"/>
          <w:b/>
          <w:bCs/>
          <w:sz w:val="42"/>
          <w:szCs w:val="20"/>
        </w:rPr>
        <w:t xml:space="preserve">in </w:t>
      </w:r>
      <w:r w:rsidR="003C48E6">
        <w:rPr>
          <w:rFonts w:ascii="Arial" w:eastAsia="Times New Roman" w:hAnsi="Arial"/>
          <w:b/>
          <w:bCs/>
          <w:sz w:val="42"/>
          <w:szCs w:val="20"/>
        </w:rPr>
        <w:t>£</w:t>
      </w:r>
      <w:r w:rsidR="00C46A11">
        <w:rPr>
          <w:rFonts w:ascii="Arial" w:eastAsia="Times New Roman" w:hAnsi="Arial"/>
          <w:b/>
          <w:bCs/>
          <w:sz w:val="42"/>
          <w:szCs w:val="20"/>
        </w:rPr>
        <w:t>2</w:t>
      </w:r>
      <w:r w:rsidR="00BF3CFA">
        <w:rPr>
          <w:rFonts w:ascii="Arial" w:eastAsia="Times New Roman" w:hAnsi="Arial"/>
          <w:b/>
          <w:bCs/>
          <w:sz w:val="42"/>
          <w:szCs w:val="20"/>
        </w:rPr>
        <w:t>.</w:t>
      </w:r>
      <w:r w:rsidR="00C46A11">
        <w:rPr>
          <w:rFonts w:ascii="Arial" w:eastAsia="Times New Roman" w:hAnsi="Arial"/>
          <w:b/>
          <w:bCs/>
          <w:sz w:val="42"/>
          <w:szCs w:val="20"/>
        </w:rPr>
        <w:t>3</w:t>
      </w:r>
      <w:r w:rsidR="003C48E6">
        <w:rPr>
          <w:rFonts w:ascii="Arial" w:eastAsia="Times New Roman" w:hAnsi="Arial"/>
          <w:b/>
          <w:bCs/>
          <w:sz w:val="42"/>
          <w:szCs w:val="20"/>
        </w:rPr>
        <w:t xml:space="preserve">m tax </w:t>
      </w:r>
      <w:r w:rsidR="00927DAC">
        <w:rPr>
          <w:rFonts w:ascii="Arial" w:eastAsia="Times New Roman" w:hAnsi="Arial"/>
          <w:b/>
          <w:bCs/>
          <w:sz w:val="42"/>
          <w:szCs w:val="20"/>
        </w:rPr>
        <w:t>probe</w:t>
      </w:r>
    </w:p>
    <w:bookmarkEnd w:id="1"/>
    <w:p w:rsidR="004E77FD" w:rsidRDefault="004E77FD" w:rsidP="004E77FD">
      <w:pPr>
        <w:jc w:val="center"/>
        <w:rPr>
          <w:rFonts w:ascii="Arial" w:eastAsia="Times New Roman" w:hAnsi="Arial"/>
          <w:b/>
          <w:bCs/>
          <w:sz w:val="42"/>
          <w:szCs w:val="20"/>
        </w:rPr>
      </w:pPr>
    </w:p>
    <w:p w:rsidR="00AA3E25" w:rsidRPr="00F335C4" w:rsidRDefault="00AA3E25" w:rsidP="00F335C4">
      <w:pPr>
        <w:spacing w:line="360" w:lineRule="auto"/>
        <w:rPr>
          <w:rFonts w:ascii="Arial" w:eastAsia="Times New Roman" w:hAnsi="Arial" w:cs="Arial"/>
          <w:bCs/>
        </w:rPr>
      </w:pPr>
      <w:bookmarkStart w:id="2" w:name="OLE_LINK1"/>
    </w:p>
    <w:p w:rsidR="00AA3E25" w:rsidRPr="00F335C4" w:rsidRDefault="00927DAC" w:rsidP="00F335C4">
      <w:pPr>
        <w:spacing w:line="360" w:lineRule="auto"/>
        <w:rPr>
          <w:rFonts w:ascii="Arial" w:eastAsia="Times New Roman" w:hAnsi="Arial" w:cs="Arial"/>
          <w:bCs/>
        </w:rPr>
      </w:pPr>
      <w:r>
        <w:rPr>
          <w:rFonts w:ascii="Arial" w:eastAsia="Times New Roman" w:hAnsi="Arial" w:cs="Arial"/>
          <w:bCs/>
        </w:rPr>
        <w:t>The di</w:t>
      </w:r>
      <w:r w:rsidRPr="00927DAC">
        <w:rPr>
          <w:rFonts w:ascii="Arial" w:eastAsia="Times New Roman" w:hAnsi="Arial" w:cs="Arial"/>
          <w:bCs/>
        </w:rPr>
        <w:t xml:space="preserve">rector of a </w:t>
      </w:r>
      <w:r w:rsidR="002C691E">
        <w:rPr>
          <w:rFonts w:ascii="Arial" w:eastAsia="Times New Roman" w:hAnsi="Arial" w:cs="Arial"/>
          <w:bCs/>
        </w:rPr>
        <w:t>Basingstoke</w:t>
      </w:r>
      <w:r>
        <w:rPr>
          <w:rFonts w:ascii="Arial" w:eastAsia="Times New Roman" w:hAnsi="Arial" w:cs="Arial"/>
          <w:bCs/>
        </w:rPr>
        <w:t xml:space="preserve"> call centre business and an accountant</w:t>
      </w:r>
      <w:r w:rsidRPr="00927DAC">
        <w:rPr>
          <w:rFonts w:ascii="Arial" w:eastAsia="Times New Roman" w:hAnsi="Arial" w:cs="Arial"/>
          <w:bCs/>
        </w:rPr>
        <w:t xml:space="preserve">, have been jailed for a total of </w:t>
      </w:r>
      <w:r w:rsidR="00F54E42">
        <w:rPr>
          <w:rFonts w:ascii="Arial" w:eastAsia="Times New Roman" w:hAnsi="Arial" w:cs="Arial"/>
          <w:bCs/>
        </w:rPr>
        <w:t>seven and a half</w:t>
      </w:r>
      <w:r>
        <w:rPr>
          <w:rFonts w:ascii="Arial" w:eastAsia="Times New Roman" w:hAnsi="Arial" w:cs="Arial"/>
          <w:bCs/>
        </w:rPr>
        <w:t xml:space="preserve"> years</w:t>
      </w:r>
      <w:r w:rsidRPr="00927DAC">
        <w:rPr>
          <w:rFonts w:ascii="Arial" w:eastAsia="Times New Roman" w:hAnsi="Arial" w:cs="Arial"/>
          <w:bCs/>
        </w:rPr>
        <w:t xml:space="preserve"> </w:t>
      </w:r>
      <w:r>
        <w:rPr>
          <w:rFonts w:ascii="Arial" w:eastAsia="Times New Roman" w:hAnsi="Arial" w:cs="Arial"/>
          <w:bCs/>
        </w:rPr>
        <w:t>after an investigation into a</w:t>
      </w:r>
      <w:r w:rsidRPr="00927DAC">
        <w:rPr>
          <w:rFonts w:ascii="Arial" w:eastAsia="Times New Roman" w:hAnsi="Arial" w:cs="Arial"/>
          <w:bCs/>
        </w:rPr>
        <w:t xml:space="preserve"> £</w:t>
      </w:r>
      <w:r>
        <w:rPr>
          <w:rFonts w:ascii="Arial" w:eastAsia="Times New Roman" w:hAnsi="Arial" w:cs="Arial"/>
          <w:bCs/>
        </w:rPr>
        <w:t>2.3m</w:t>
      </w:r>
      <w:r w:rsidRPr="00927DAC">
        <w:rPr>
          <w:rFonts w:ascii="Arial" w:eastAsia="Times New Roman" w:hAnsi="Arial" w:cs="Arial"/>
          <w:bCs/>
        </w:rPr>
        <w:t xml:space="preserve"> </w:t>
      </w:r>
      <w:r w:rsidR="00130D86">
        <w:rPr>
          <w:rFonts w:ascii="Arial" w:eastAsia="Times New Roman" w:hAnsi="Arial" w:cs="Arial"/>
          <w:bCs/>
        </w:rPr>
        <w:t xml:space="preserve">income </w:t>
      </w:r>
      <w:r w:rsidRPr="00927DAC">
        <w:rPr>
          <w:rFonts w:ascii="Arial" w:eastAsia="Times New Roman" w:hAnsi="Arial" w:cs="Arial"/>
          <w:bCs/>
        </w:rPr>
        <w:t>tax, National Insurance and VAT</w:t>
      </w:r>
      <w:r>
        <w:rPr>
          <w:rFonts w:ascii="Arial" w:eastAsia="Times New Roman" w:hAnsi="Arial" w:cs="Arial"/>
          <w:bCs/>
        </w:rPr>
        <w:t xml:space="preserve"> fraud.</w:t>
      </w:r>
    </w:p>
    <w:p w:rsidR="00AA3E25" w:rsidRPr="00F335C4" w:rsidRDefault="00AA3E25" w:rsidP="00F335C4">
      <w:pPr>
        <w:spacing w:line="360" w:lineRule="auto"/>
        <w:rPr>
          <w:rFonts w:ascii="Arial" w:eastAsia="Times New Roman" w:hAnsi="Arial" w:cs="Arial"/>
          <w:bCs/>
        </w:rPr>
      </w:pPr>
    </w:p>
    <w:p w:rsidR="002C691E" w:rsidRDefault="006B0BD5" w:rsidP="002C691E">
      <w:pPr>
        <w:pStyle w:val="BodyText"/>
        <w:jc w:val="left"/>
        <w:rPr>
          <w:rFonts w:cs="Arial"/>
          <w:color w:val="000000"/>
          <w:szCs w:val="22"/>
        </w:rPr>
      </w:pPr>
      <w:r w:rsidRPr="00F335C4">
        <w:rPr>
          <w:rFonts w:cs="Arial"/>
          <w:bCs/>
        </w:rPr>
        <w:t xml:space="preserve">HM Revenue and Customs (HMRC) found that David Buckley, 51, </w:t>
      </w:r>
      <w:r w:rsidR="00C42583" w:rsidRPr="000B6257">
        <w:rPr>
          <w:rFonts w:cs="Arial"/>
          <w:bCs/>
        </w:rPr>
        <w:t>stole</w:t>
      </w:r>
      <w:r w:rsidR="000B6257">
        <w:rPr>
          <w:rFonts w:cs="Arial"/>
          <w:bCs/>
        </w:rPr>
        <w:t xml:space="preserve"> </w:t>
      </w:r>
      <w:r w:rsidRPr="00F335C4">
        <w:rPr>
          <w:rFonts w:cs="Arial"/>
          <w:bCs/>
        </w:rPr>
        <w:t>PAYE</w:t>
      </w:r>
      <w:r w:rsidR="00723A49" w:rsidRPr="00F335C4">
        <w:rPr>
          <w:rFonts w:cs="Arial"/>
          <w:bCs/>
        </w:rPr>
        <w:t xml:space="preserve"> </w:t>
      </w:r>
      <w:r w:rsidR="002B5A55" w:rsidRPr="00F335C4">
        <w:rPr>
          <w:rFonts w:cs="Arial"/>
          <w:bCs/>
        </w:rPr>
        <w:t>deductions</w:t>
      </w:r>
      <w:r w:rsidR="00D67F6A" w:rsidRPr="00F335C4">
        <w:rPr>
          <w:rFonts w:cs="Arial"/>
          <w:bCs/>
        </w:rPr>
        <w:t xml:space="preserve"> from employees</w:t>
      </w:r>
      <w:r w:rsidR="003E6EAB" w:rsidRPr="00F335C4">
        <w:rPr>
          <w:rFonts w:cs="Arial"/>
          <w:bCs/>
        </w:rPr>
        <w:t xml:space="preserve"> </w:t>
      </w:r>
      <w:r w:rsidRPr="00F335C4">
        <w:rPr>
          <w:rFonts w:cs="Arial"/>
          <w:bCs/>
        </w:rPr>
        <w:t xml:space="preserve">and VAT </w:t>
      </w:r>
      <w:r w:rsidR="00566859" w:rsidRPr="00F335C4">
        <w:rPr>
          <w:rFonts w:cs="Arial"/>
          <w:bCs/>
        </w:rPr>
        <w:t>whil</w:t>
      </w:r>
      <w:r w:rsidR="00723A49" w:rsidRPr="00F335C4">
        <w:rPr>
          <w:rFonts w:cs="Arial"/>
          <w:bCs/>
        </w:rPr>
        <w:t>st he was</w:t>
      </w:r>
      <w:r w:rsidR="00566859" w:rsidRPr="00F335C4">
        <w:rPr>
          <w:rFonts w:cs="Arial"/>
          <w:bCs/>
        </w:rPr>
        <w:t xml:space="preserve"> the managing director of Compensation Professionals Network Ltd</w:t>
      </w:r>
      <w:r w:rsidR="00C42583" w:rsidRPr="00F335C4">
        <w:rPr>
          <w:rFonts w:cs="Arial"/>
          <w:bCs/>
        </w:rPr>
        <w:t xml:space="preserve"> between </w:t>
      </w:r>
      <w:r w:rsidR="00005A43">
        <w:rPr>
          <w:rFonts w:cs="Arial"/>
          <w:bCs/>
        </w:rPr>
        <w:t>2008</w:t>
      </w:r>
      <w:r w:rsidR="00C42583" w:rsidRPr="00F335C4">
        <w:rPr>
          <w:rFonts w:cs="Arial"/>
          <w:bCs/>
        </w:rPr>
        <w:t xml:space="preserve"> and </w:t>
      </w:r>
      <w:r w:rsidR="00005A43">
        <w:rPr>
          <w:rFonts w:cs="Arial"/>
          <w:bCs/>
        </w:rPr>
        <w:t>2012</w:t>
      </w:r>
      <w:r w:rsidR="00C42583" w:rsidRPr="00F335C4">
        <w:rPr>
          <w:rFonts w:cs="Arial"/>
          <w:bCs/>
        </w:rPr>
        <w:t>.</w:t>
      </w:r>
      <w:r w:rsidRPr="00F335C4">
        <w:rPr>
          <w:rFonts w:cs="Arial"/>
          <w:bCs/>
        </w:rPr>
        <w:t xml:space="preserve"> </w:t>
      </w:r>
    </w:p>
    <w:p w:rsidR="00723A49" w:rsidRPr="00F335C4" w:rsidRDefault="00723A49" w:rsidP="00F335C4">
      <w:pPr>
        <w:spacing w:line="360" w:lineRule="auto"/>
        <w:rPr>
          <w:rFonts w:ascii="Arial" w:eastAsia="Times New Roman" w:hAnsi="Arial" w:cs="Arial"/>
          <w:bCs/>
        </w:rPr>
      </w:pPr>
    </w:p>
    <w:p w:rsidR="00FA11BC" w:rsidRPr="00F335C4" w:rsidRDefault="00C42583" w:rsidP="00F335C4">
      <w:pPr>
        <w:spacing w:line="360" w:lineRule="auto"/>
        <w:rPr>
          <w:rFonts w:ascii="Arial" w:eastAsia="Times New Roman" w:hAnsi="Arial" w:cs="Arial"/>
          <w:bCs/>
        </w:rPr>
      </w:pPr>
      <w:r w:rsidRPr="00F335C4">
        <w:rPr>
          <w:rFonts w:ascii="Arial" w:eastAsia="Times New Roman" w:hAnsi="Arial" w:cs="Arial"/>
          <w:bCs/>
        </w:rPr>
        <w:t xml:space="preserve">The </w:t>
      </w:r>
      <w:r w:rsidR="006B0BD5" w:rsidRPr="00F335C4">
        <w:rPr>
          <w:rFonts w:ascii="Arial" w:eastAsia="Times New Roman" w:hAnsi="Arial" w:cs="Arial"/>
          <w:bCs/>
        </w:rPr>
        <w:t>call centre</w:t>
      </w:r>
      <w:r w:rsidR="00566859" w:rsidRPr="00F335C4">
        <w:rPr>
          <w:rFonts w:ascii="Arial" w:eastAsia="Times New Roman" w:hAnsi="Arial" w:cs="Arial"/>
          <w:bCs/>
        </w:rPr>
        <w:t xml:space="preserve"> employed around 100 people to buy and sell leads for personal injury and PPI claims.</w:t>
      </w:r>
    </w:p>
    <w:p w:rsidR="00866E0F" w:rsidRPr="00F335C4" w:rsidRDefault="00866E0F" w:rsidP="00F335C4">
      <w:pPr>
        <w:spacing w:line="360" w:lineRule="auto"/>
        <w:rPr>
          <w:rFonts w:ascii="Arial" w:eastAsia="Times New Roman" w:hAnsi="Arial" w:cs="Arial"/>
          <w:bCs/>
        </w:rPr>
      </w:pPr>
    </w:p>
    <w:p w:rsidR="006B0BD5" w:rsidRPr="00F335C4" w:rsidRDefault="00C42583" w:rsidP="00F335C4">
      <w:pPr>
        <w:spacing w:line="360" w:lineRule="auto"/>
        <w:rPr>
          <w:rFonts w:ascii="Arial" w:hAnsi="Arial" w:cs="Arial"/>
          <w:iCs/>
        </w:rPr>
      </w:pPr>
      <w:r w:rsidRPr="00F335C4">
        <w:rPr>
          <w:rFonts w:ascii="Arial" w:eastAsia="Times New Roman" w:hAnsi="Arial" w:cs="Arial"/>
          <w:bCs/>
        </w:rPr>
        <w:t xml:space="preserve">Buckley </w:t>
      </w:r>
      <w:r w:rsidR="00C42366" w:rsidRPr="00F335C4">
        <w:rPr>
          <w:rFonts w:ascii="Arial" w:eastAsia="Times New Roman" w:hAnsi="Arial" w:cs="Arial"/>
          <w:bCs/>
        </w:rPr>
        <w:t>hired</w:t>
      </w:r>
      <w:r w:rsidR="00866E0F" w:rsidRPr="00F335C4">
        <w:rPr>
          <w:rFonts w:ascii="Arial" w:eastAsia="Times New Roman" w:hAnsi="Arial" w:cs="Arial"/>
          <w:bCs/>
        </w:rPr>
        <w:t xml:space="preserve"> Swansea</w:t>
      </w:r>
      <w:r w:rsidR="007C2B05" w:rsidRPr="00F335C4">
        <w:rPr>
          <w:rFonts w:ascii="Arial" w:eastAsia="Times New Roman" w:hAnsi="Arial" w:cs="Arial"/>
          <w:bCs/>
        </w:rPr>
        <w:t>-based</w:t>
      </w:r>
      <w:r w:rsidR="00FA11BC" w:rsidRPr="00F335C4">
        <w:rPr>
          <w:rFonts w:ascii="Arial" w:eastAsia="Times New Roman" w:hAnsi="Arial" w:cs="Arial"/>
          <w:bCs/>
        </w:rPr>
        <w:t xml:space="preserve"> accountant </w:t>
      </w:r>
      <w:r w:rsidR="00FA11BC" w:rsidRPr="00F335C4">
        <w:rPr>
          <w:rFonts w:ascii="Arial" w:hAnsi="Arial" w:cs="Arial"/>
          <w:iCs/>
        </w:rPr>
        <w:t xml:space="preserve">Mahmood Sadiq Poptani, </w:t>
      </w:r>
      <w:r w:rsidR="00F54E42">
        <w:rPr>
          <w:rFonts w:ascii="Arial" w:hAnsi="Arial" w:cs="Arial"/>
          <w:iCs/>
        </w:rPr>
        <w:t>60</w:t>
      </w:r>
      <w:r w:rsidR="00FA11BC" w:rsidRPr="00F335C4">
        <w:rPr>
          <w:rFonts w:ascii="Arial" w:hAnsi="Arial" w:cs="Arial"/>
          <w:iCs/>
        </w:rPr>
        <w:t xml:space="preserve">, </w:t>
      </w:r>
      <w:r w:rsidR="00443EEF">
        <w:rPr>
          <w:rFonts w:ascii="Arial" w:hAnsi="Arial" w:cs="Arial"/>
          <w:iCs/>
        </w:rPr>
        <w:t xml:space="preserve">in </w:t>
      </w:r>
      <w:r w:rsidR="00BC6CE7">
        <w:rPr>
          <w:rFonts w:ascii="Arial" w:hAnsi="Arial" w:cs="Arial"/>
          <w:iCs/>
        </w:rPr>
        <w:t>2011</w:t>
      </w:r>
      <w:r w:rsidR="00130D86">
        <w:rPr>
          <w:rFonts w:ascii="Arial" w:hAnsi="Arial" w:cs="Arial"/>
          <w:iCs/>
        </w:rPr>
        <w:t>.</w:t>
      </w:r>
    </w:p>
    <w:p w:rsidR="006B0BD5" w:rsidRDefault="006B0BD5" w:rsidP="00F335C4">
      <w:pPr>
        <w:spacing w:line="360" w:lineRule="auto"/>
        <w:rPr>
          <w:rFonts w:ascii="Arial" w:hAnsi="Arial" w:cs="Arial"/>
          <w:iCs/>
        </w:rPr>
      </w:pPr>
    </w:p>
    <w:p w:rsidR="00F54E42" w:rsidRPr="00D34A87" w:rsidRDefault="002C691E" w:rsidP="00085E84">
      <w:pPr>
        <w:spacing w:line="360" w:lineRule="auto"/>
        <w:rPr>
          <w:rFonts w:ascii="Arial" w:hAnsi="Arial" w:cs="Arial"/>
          <w:iCs/>
        </w:rPr>
      </w:pPr>
      <w:r w:rsidRPr="00BA27EE">
        <w:rPr>
          <w:rFonts w:ascii="Arial" w:hAnsi="Arial" w:cs="Arial"/>
          <w:iCs/>
        </w:rPr>
        <w:t>Investigators found that instead of paying the tax</w:t>
      </w:r>
      <w:r w:rsidR="00D9795F" w:rsidRPr="00BA27EE">
        <w:rPr>
          <w:rFonts w:ascii="Arial" w:hAnsi="Arial" w:cs="Arial"/>
          <w:iCs/>
        </w:rPr>
        <w:t>es due</w:t>
      </w:r>
      <w:r w:rsidRPr="00BA27EE">
        <w:rPr>
          <w:rFonts w:ascii="Arial" w:hAnsi="Arial" w:cs="Arial"/>
          <w:iCs/>
        </w:rPr>
        <w:t xml:space="preserve">, Buckley </w:t>
      </w:r>
      <w:r w:rsidR="00D34A87" w:rsidRPr="00BA27EE">
        <w:rPr>
          <w:rFonts w:ascii="Arial" w:hAnsi="Arial" w:cs="Arial"/>
          <w:iCs/>
        </w:rPr>
        <w:t>bought</w:t>
      </w:r>
      <w:r w:rsidRPr="00BA27EE">
        <w:rPr>
          <w:rFonts w:ascii="Arial" w:hAnsi="Arial" w:cs="Arial"/>
          <w:iCs/>
        </w:rPr>
        <w:t xml:space="preserve"> shares</w:t>
      </w:r>
      <w:r w:rsidR="004669CB" w:rsidRPr="00BA27EE">
        <w:rPr>
          <w:rFonts w:ascii="Arial" w:hAnsi="Arial" w:cs="Arial"/>
          <w:iCs/>
        </w:rPr>
        <w:t xml:space="preserve"> in other business</w:t>
      </w:r>
      <w:r w:rsidR="00C96EAF" w:rsidRPr="00BA27EE">
        <w:rPr>
          <w:rFonts w:ascii="Arial" w:hAnsi="Arial" w:cs="Arial"/>
          <w:iCs/>
        </w:rPr>
        <w:t>es</w:t>
      </w:r>
      <w:r w:rsidR="008455F1" w:rsidRPr="00BA27EE">
        <w:rPr>
          <w:rFonts w:ascii="Arial" w:hAnsi="Arial" w:cs="Arial"/>
          <w:iCs/>
        </w:rPr>
        <w:t xml:space="preserve"> and</w:t>
      </w:r>
      <w:r w:rsidR="00D34A87" w:rsidRPr="00BA27EE">
        <w:rPr>
          <w:rFonts w:ascii="Arial" w:hAnsi="Arial" w:cs="Arial"/>
          <w:iCs/>
        </w:rPr>
        <w:t xml:space="preserve"> propped up his </w:t>
      </w:r>
      <w:r w:rsidR="00C96EAF" w:rsidRPr="00BA27EE">
        <w:rPr>
          <w:rFonts w:ascii="Arial" w:hAnsi="Arial" w:cs="Arial"/>
          <w:iCs/>
        </w:rPr>
        <w:t xml:space="preserve">own </w:t>
      </w:r>
      <w:r w:rsidR="004669CB" w:rsidRPr="00BA27EE">
        <w:rPr>
          <w:rFonts w:ascii="Arial" w:hAnsi="Arial" w:cs="Arial"/>
          <w:iCs/>
        </w:rPr>
        <w:t>failing company</w:t>
      </w:r>
      <w:r w:rsidRPr="00BA27EE">
        <w:rPr>
          <w:rFonts w:ascii="Arial" w:hAnsi="Arial" w:cs="Arial"/>
          <w:iCs/>
          <w:color w:val="000000" w:themeColor="text1"/>
        </w:rPr>
        <w:t>.</w:t>
      </w:r>
      <w:r w:rsidRPr="00BA27EE">
        <w:rPr>
          <w:rFonts w:ascii="Arial" w:hAnsi="Arial" w:cs="Arial"/>
          <w:iCs/>
        </w:rPr>
        <w:t xml:space="preserve"> </w:t>
      </w:r>
      <w:r w:rsidR="00D9795F" w:rsidRPr="00BA27EE">
        <w:rPr>
          <w:rFonts w:ascii="Arial" w:hAnsi="Arial" w:cs="Arial"/>
          <w:iCs/>
        </w:rPr>
        <w:t xml:space="preserve">Poptani played a crucial role in </w:t>
      </w:r>
      <w:r w:rsidR="00103876" w:rsidRPr="00BA27EE">
        <w:rPr>
          <w:rFonts w:ascii="Arial" w:hAnsi="Arial" w:cs="Arial"/>
          <w:iCs/>
        </w:rPr>
        <w:t>the illegal movement of money from</w:t>
      </w:r>
      <w:r w:rsidR="00103876" w:rsidRPr="00BA27EE">
        <w:rPr>
          <w:rFonts w:ascii="Arial" w:eastAsia="Times New Roman" w:hAnsi="Arial" w:cs="Arial"/>
          <w:bCs/>
        </w:rPr>
        <w:t xml:space="preserve"> </w:t>
      </w:r>
      <w:r w:rsidR="00D9795F" w:rsidRPr="00BA27EE">
        <w:rPr>
          <w:rFonts w:ascii="Arial" w:eastAsia="Times New Roman" w:hAnsi="Arial" w:cs="Arial"/>
          <w:bCs/>
        </w:rPr>
        <w:t>Compensation Professionals Network Ltd</w:t>
      </w:r>
      <w:r w:rsidR="00D34A87" w:rsidRPr="00BA27EE">
        <w:rPr>
          <w:rFonts w:ascii="Arial" w:eastAsia="Times New Roman" w:hAnsi="Arial" w:cs="Arial"/>
          <w:bCs/>
        </w:rPr>
        <w:t xml:space="preserve"> and sent £453,000 overseas</w:t>
      </w:r>
      <w:r w:rsidR="00D9795F" w:rsidRPr="00BA27EE">
        <w:rPr>
          <w:rFonts w:ascii="Arial" w:hAnsi="Arial" w:cs="Arial"/>
        </w:rPr>
        <w:t>.</w:t>
      </w:r>
      <w:r w:rsidR="006E7332">
        <w:rPr>
          <w:rFonts w:ascii="Arial" w:hAnsi="Arial" w:cs="Arial"/>
        </w:rPr>
        <w:t xml:space="preserve"> </w:t>
      </w:r>
    </w:p>
    <w:p w:rsidR="00F54E42" w:rsidRDefault="00F54E42" w:rsidP="00085E84">
      <w:pPr>
        <w:spacing w:line="360" w:lineRule="auto"/>
        <w:rPr>
          <w:rFonts w:ascii="Arial" w:hAnsi="Arial" w:cs="Arial"/>
        </w:rPr>
      </w:pPr>
    </w:p>
    <w:p w:rsidR="000F3A5E" w:rsidRPr="00F335C4" w:rsidRDefault="000F3A5E" w:rsidP="00F335C4">
      <w:pPr>
        <w:spacing w:line="360" w:lineRule="auto"/>
        <w:rPr>
          <w:rFonts w:ascii="Arial" w:hAnsi="Arial" w:cs="Arial"/>
        </w:rPr>
      </w:pPr>
      <w:r w:rsidRPr="00F335C4">
        <w:rPr>
          <w:rFonts w:ascii="Arial" w:eastAsia="Times New Roman" w:hAnsi="Arial" w:cs="Arial"/>
          <w:bCs/>
        </w:rPr>
        <w:t xml:space="preserve">Daren Cooley, </w:t>
      </w:r>
      <w:r w:rsidRPr="00F335C4">
        <w:rPr>
          <w:rFonts w:ascii="Arial" w:hAnsi="Arial" w:cs="Arial"/>
        </w:rPr>
        <w:t xml:space="preserve">Assistant Director, Fraud Investigation Service, HMRC, said: </w:t>
      </w:r>
    </w:p>
    <w:p w:rsidR="000F3A5E" w:rsidRPr="00F335C4" w:rsidRDefault="000F3A5E" w:rsidP="00F335C4">
      <w:pPr>
        <w:spacing w:line="360" w:lineRule="auto"/>
        <w:rPr>
          <w:rFonts w:ascii="Arial" w:hAnsi="Arial" w:cs="Arial"/>
          <w:iCs/>
        </w:rPr>
      </w:pPr>
    </w:p>
    <w:p w:rsidR="00D1091E" w:rsidRPr="00F335C4" w:rsidRDefault="000F3A5E" w:rsidP="00F335C4">
      <w:pPr>
        <w:overflowPunct w:val="0"/>
        <w:autoSpaceDE w:val="0"/>
        <w:autoSpaceDN w:val="0"/>
        <w:spacing w:line="360" w:lineRule="auto"/>
        <w:textAlignment w:val="baseline"/>
        <w:rPr>
          <w:rFonts w:ascii="Arial" w:hAnsi="Arial" w:cs="Arial"/>
        </w:rPr>
      </w:pPr>
      <w:r w:rsidRPr="00F335C4">
        <w:rPr>
          <w:rFonts w:ascii="Arial" w:hAnsi="Arial" w:cs="Arial"/>
          <w:iCs/>
        </w:rPr>
        <w:t>“</w:t>
      </w:r>
      <w:r w:rsidR="00384D84" w:rsidRPr="00F335C4">
        <w:rPr>
          <w:rFonts w:ascii="Arial" w:hAnsi="Arial" w:cs="Arial"/>
        </w:rPr>
        <w:t xml:space="preserve">HMRC is committed to ensuring all companies and individuals pay the right tax at the right time and </w:t>
      </w:r>
      <w:r w:rsidR="006C5FC8" w:rsidRPr="00F335C4">
        <w:rPr>
          <w:rFonts w:ascii="Arial" w:hAnsi="Arial" w:cs="Arial"/>
        </w:rPr>
        <w:t xml:space="preserve">we </w:t>
      </w:r>
      <w:r w:rsidR="00384D84" w:rsidRPr="00F335C4">
        <w:rPr>
          <w:rFonts w:ascii="Arial" w:hAnsi="Arial" w:cs="Arial"/>
        </w:rPr>
        <w:t>will pursue those who fail to do so. We used our</w:t>
      </w:r>
      <w:r w:rsidR="003E145F">
        <w:rPr>
          <w:rFonts w:ascii="Arial" w:hAnsi="Arial" w:cs="Arial"/>
        </w:rPr>
        <w:t xml:space="preserve"> </w:t>
      </w:r>
      <w:r w:rsidR="00384D84" w:rsidRPr="00F335C4">
        <w:rPr>
          <w:rFonts w:ascii="Arial" w:hAnsi="Arial" w:cs="Arial"/>
        </w:rPr>
        <w:t>criminal powers to uncover Buckley’s significant failure as a managing director</w:t>
      </w:r>
      <w:r w:rsidR="00AA2D93" w:rsidRPr="00F335C4">
        <w:rPr>
          <w:rFonts w:ascii="Arial" w:hAnsi="Arial" w:cs="Arial"/>
        </w:rPr>
        <w:t xml:space="preserve">. He knew what was owed and when. </w:t>
      </w:r>
    </w:p>
    <w:p w:rsidR="00D1091E" w:rsidRPr="00F335C4" w:rsidRDefault="00D1091E" w:rsidP="00F335C4">
      <w:pPr>
        <w:overflowPunct w:val="0"/>
        <w:autoSpaceDE w:val="0"/>
        <w:autoSpaceDN w:val="0"/>
        <w:spacing w:line="360" w:lineRule="auto"/>
        <w:textAlignment w:val="baseline"/>
        <w:rPr>
          <w:rFonts w:ascii="Arial" w:hAnsi="Arial" w:cs="Arial"/>
        </w:rPr>
      </w:pPr>
    </w:p>
    <w:p w:rsidR="00AA3E25" w:rsidRPr="00F335C4" w:rsidRDefault="00917369" w:rsidP="00F335C4">
      <w:pPr>
        <w:overflowPunct w:val="0"/>
        <w:autoSpaceDE w:val="0"/>
        <w:autoSpaceDN w:val="0"/>
        <w:spacing w:line="360" w:lineRule="auto"/>
        <w:textAlignment w:val="baseline"/>
        <w:rPr>
          <w:rFonts w:ascii="Arial" w:hAnsi="Arial" w:cs="Arial"/>
        </w:rPr>
      </w:pPr>
      <w:r w:rsidRPr="00F335C4">
        <w:rPr>
          <w:rFonts w:ascii="Arial" w:hAnsi="Arial" w:cs="Arial"/>
        </w:rPr>
        <w:lastRenderedPageBreak/>
        <w:t>“</w:t>
      </w:r>
      <w:r w:rsidR="00AA2D93" w:rsidRPr="00F335C4">
        <w:rPr>
          <w:rFonts w:ascii="Arial" w:hAnsi="Arial" w:cs="Arial"/>
        </w:rPr>
        <w:t>Buckley</w:t>
      </w:r>
      <w:r w:rsidR="00D1091E" w:rsidRPr="00F335C4">
        <w:rPr>
          <w:rFonts w:ascii="Arial" w:hAnsi="Arial" w:cs="Arial"/>
        </w:rPr>
        <w:t xml:space="preserve"> </w:t>
      </w:r>
      <w:r w:rsidR="00384D84" w:rsidRPr="00F335C4">
        <w:rPr>
          <w:rFonts w:ascii="Arial" w:hAnsi="Arial" w:cs="Arial"/>
        </w:rPr>
        <w:t>and Poptani are</w:t>
      </w:r>
      <w:r w:rsidR="00AA2D93" w:rsidRPr="00F335C4">
        <w:rPr>
          <w:rFonts w:ascii="Arial" w:hAnsi="Arial" w:cs="Arial"/>
        </w:rPr>
        <w:t xml:space="preserve"> now</w:t>
      </w:r>
      <w:r w:rsidR="00384D84" w:rsidRPr="00F335C4">
        <w:rPr>
          <w:rFonts w:ascii="Arial" w:hAnsi="Arial" w:cs="Arial"/>
        </w:rPr>
        <w:t xml:space="preserve"> paying the price for their dishonesty </w:t>
      </w:r>
      <w:r w:rsidR="00384D84" w:rsidRPr="002571EE">
        <w:rPr>
          <w:rFonts w:ascii="Arial" w:hAnsi="Arial" w:cs="Arial"/>
        </w:rPr>
        <w:t>with a spell in prison</w:t>
      </w:r>
      <w:r w:rsidR="00D1091E" w:rsidRPr="002571EE">
        <w:rPr>
          <w:rFonts w:ascii="Arial" w:hAnsi="Arial" w:cs="Arial"/>
        </w:rPr>
        <w:t>.</w:t>
      </w:r>
      <w:r w:rsidR="00D1091E" w:rsidRPr="002571EE" w:rsidDel="00AA2D93">
        <w:rPr>
          <w:rFonts w:ascii="Arial" w:hAnsi="Arial" w:cs="Arial"/>
        </w:rPr>
        <w:t xml:space="preserve"> </w:t>
      </w:r>
      <w:r w:rsidR="00AA3E25" w:rsidRPr="002571EE">
        <w:rPr>
          <w:rFonts w:ascii="Arial" w:hAnsi="Arial" w:cs="Arial"/>
        </w:rPr>
        <w:t>If</w:t>
      </w:r>
      <w:r w:rsidR="00AA3E25" w:rsidRPr="00F335C4">
        <w:rPr>
          <w:rFonts w:ascii="Arial" w:hAnsi="Arial" w:cs="Arial"/>
        </w:rPr>
        <w:t xml:space="preserve"> you know of anyone committing any type of tax fraud, you can report them to HMRC </w:t>
      </w:r>
      <w:hyperlink r:id="rId9" w:history="1">
        <w:r w:rsidR="00AA3E25" w:rsidRPr="00F335C4">
          <w:rPr>
            <w:rStyle w:val="Hyperlink"/>
            <w:rFonts w:ascii="Arial" w:hAnsi="Arial" w:cs="Arial"/>
          </w:rPr>
          <w:t>online</w:t>
        </w:r>
      </w:hyperlink>
      <w:r w:rsidR="00AA3E25" w:rsidRPr="00F335C4">
        <w:rPr>
          <w:rFonts w:ascii="Arial" w:hAnsi="Arial" w:cs="Arial"/>
        </w:rPr>
        <w:t xml:space="preserve"> </w:t>
      </w:r>
      <w:r w:rsidR="00AA3E25" w:rsidRPr="00F335C4">
        <w:rPr>
          <w:rStyle w:val="Hyperlink"/>
          <w:rFonts w:ascii="Arial" w:hAnsi="Arial" w:cs="Arial"/>
          <w:color w:val="000000"/>
          <w:u w:val="none"/>
        </w:rPr>
        <w:t>or call</w:t>
      </w:r>
      <w:r w:rsidR="00AA3E25" w:rsidRPr="00F335C4">
        <w:rPr>
          <w:rFonts w:ascii="Arial" w:hAnsi="Arial" w:cs="Arial"/>
          <w:color w:val="000000"/>
        </w:rPr>
        <w:t xml:space="preserve"> our Fraud Hotline on 0800 788 887</w:t>
      </w:r>
      <w:r w:rsidR="00AA3E25" w:rsidRPr="00F335C4">
        <w:rPr>
          <w:rFonts w:ascii="Arial" w:hAnsi="Arial" w:cs="Arial"/>
        </w:rPr>
        <w:t>.”</w:t>
      </w:r>
    </w:p>
    <w:p w:rsidR="00866E0F" w:rsidRPr="00F335C4" w:rsidRDefault="00866E0F" w:rsidP="00F335C4">
      <w:pPr>
        <w:spacing w:line="360" w:lineRule="auto"/>
        <w:rPr>
          <w:rFonts w:ascii="Arial" w:hAnsi="Arial" w:cs="Arial"/>
          <w:iCs/>
        </w:rPr>
      </w:pPr>
    </w:p>
    <w:p w:rsidR="000F3A5E" w:rsidRPr="00F335C4" w:rsidRDefault="000F3A5E" w:rsidP="00F335C4">
      <w:pPr>
        <w:tabs>
          <w:tab w:val="left" w:pos="0"/>
          <w:tab w:val="left" w:pos="6840"/>
        </w:tabs>
        <w:spacing w:line="360" w:lineRule="auto"/>
        <w:rPr>
          <w:rFonts w:ascii="Arial" w:hAnsi="Arial" w:cs="Arial"/>
          <w:iCs/>
        </w:rPr>
      </w:pPr>
      <w:r w:rsidRPr="00F335C4">
        <w:rPr>
          <w:rFonts w:ascii="Arial" w:hAnsi="Arial" w:cs="Arial"/>
          <w:iCs/>
        </w:rPr>
        <w:t>Compensation Professional</w:t>
      </w:r>
      <w:r w:rsidR="005E1C60" w:rsidRPr="00F335C4">
        <w:rPr>
          <w:rFonts w:ascii="Arial" w:hAnsi="Arial" w:cs="Arial"/>
          <w:iCs/>
        </w:rPr>
        <w:t>s</w:t>
      </w:r>
      <w:r w:rsidRPr="00F335C4">
        <w:rPr>
          <w:rFonts w:ascii="Arial" w:hAnsi="Arial" w:cs="Arial"/>
          <w:iCs/>
        </w:rPr>
        <w:t xml:space="preserve"> Network Ltd went into liquidation in 2013 and Buckley and Poptani </w:t>
      </w:r>
      <w:r w:rsidR="00A75A90" w:rsidRPr="00F335C4">
        <w:rPr>
          <w:rFonts w:ascii="Arial" w:hAnsi="Arial" w:cs="Arial"/>
          <w:iCs/>
        </w:rPr>
        <w:t>were arrested in November 2015</w:t>
      </w:r>
      <w:r w:rsidRPr="00F335C4">
        <w:rPr>
          <w:rFonts w:ascii="Arial" w:hAnsi="Arial" w:cs="Arial"/>
          <w:iCs/>
        </w:rPr>
        <w:t xml:space="preserve">. They </w:t>
      </w:r>
      <w:r w:rsidR="00A543A4" w:rsidRPr="00F335C4">
        <w:rPr>
          <w:rFonts w:ascii="Arial" w:hAnsi="Arial" w:cs="Arial"/>
          <w:iCs/>
        </w:rPr>
        <w:t xml:space="preserve">went on trial at Winchester Crown Court on 15 July 2019. </w:t>
      </w:r>
    </w:p>
    <w:p w:rsidR="000F3A5E" w:rsidRPr="00F335C4" w:rsidRDefault="000F3A5E" w:rsidP="00F335C4">
      <w:pPr>
        <w:tabs>
          <w:tab w:val="left" w:pos="0"/>
          <w:tab w:val="left" w:pos="6840"/>
        </w:tabs>
        <w:spacing w:line="360" w:lineRule="auto"/>
        <w:rPr>
          <w:rFonts w:ascii="Arial" w:hAnsi="Arial" w:cs="Arial"/>
          <w:iCs/>
        </w:rPr>
      </w:pPr>
    </w:p>
    <w:p w:rsidR="00A543A4" w:rsidRPr="00F335C4" w:rsidRDefault="00A543A4" w:rsidP="00F335C4">
      <w:pPr>
        <w:tabs>
          <w:tab w:val="left" w:pos="0"/>
          <w:tab w:val="left" w:pos="6840"/>
        </w:tabs>
        <w:spacing w:line="360" w:lineRule="auto"/>
        <w:rPr>
          <w:rFonts w:ascii="Arial" w:hAnsi="Arial" w:cs="Arial"/>
          <w:iCs/>
        </w:rPr>
      </w:pPr>
      <w:r w:rsidRPr="00F335C4">
        <w:rPr>
          <w:rFonts w:ascii="Arial" w:hAnsi="Arial" w:cs="Arial"/>
          <w:iCs/>
        </w:rPr>
        <w:t xml:space="preserve">On the second day of their trial Buckley pleaded guilty to one count of the fraudulent evasion of VAT and two counts of the fraudulent evasion of income tax. Poptani pleaded guilty to one count </w:t>
      </w:r>
      <w:r w:rsidRPr="00005A43">
        <w:rPr>
          <w:rFonts w:ascii="Arial" w:hAnsi="Arial" w:cs="Arial"/>
          <w:iCs/>
        </w:rPr>
        <w:t>of concealing criminal property</w:t>
      </w:r>
      <w:r w:rsidR="000F3A5E" w:rsidRPr="00005A43">
        <w:rPr>
          <w:rFonts w:ascii="Arial" w:hAnsi="Arial" w:cs="Arial"/>
          <w:iCs/>
        </w:rPr>
        <w:t>.</w:t>
      </w:r>
      <w:r w:rsidR="000F3A5E" w:rsidRPr="00F335C4">
        <w:rPr>
          <w:rFonts w:ascii="Arial" w:hAnsi="Arial" w:cs="Arial"/>
          <w:iCs/>
        </w:rPr>
        <w:t xml:space="preserve"> </w:t>
      </w:r>
      <w:r w:rsidRPr="00F335C4">
        <w:rPr>
          <w:rFonts w:ascii="Arial" w:hAnsi="Arial" w:cs="Arial"/>
          <w:iCs/>
        </w:rPr>
        <w:t xml:space="preserve"> </w:t>
      </w:r>
    </w:p>
    <w:p w:rsidR="00384D84" w:rsidRPr="00F335C4" w:rsidRDefault="00384D84" w:rsidP="00F335C4">
      <w:pPr>
        <w:tabs>
          <w:tab w:val="left" w:pos="0"/>
          <w:tab w:val="left" w:pos="6840"/>
        </w:tabs>
        <w:spacing w:line="360" w:lineRule="auto"/>
        <w:rPr>
          <w:rFonts w:ascii="Arial" w:hAnsi="Arial" w:cs="Arial"/>
          <w:iCs/>
        </w:rPr>
      </w:pPr>
    </w:p>
    <w:p w:rsidR="006B0480" w:rsidRPr="00F335C4" w:rsidRDefault="006B0480" w:rsidP="00F335C4">
      <w:pPr>
        <w:spacing w:line="360" w:lineRule="auto"/>
        <w:rPr>
          <w:rFonts w:ascii="Arial" w:hAnsi="Arial" w:cs="Arial"/>
          <w:iCs/>
        </w:rPr>
      </w:pPr>
      <w:r w:rsidRPr="002571EE">
        <w:rPr>
          <w:rFonts w:ascii="Arial" w:hAnsi="Arial" w:cs="Arial"/>
          <w:iCs/>
        </w:rPr>
        <w:t>They we</w:t>
      </w:r>
      <w:r w:rsidR="002571EE">
        <w:rPr>
          <w:rFonts w:ascii="Arial" w:hAnsi="Arial" w:cs="Arial"/>
          <w:iCs/>
        </w:rPr>
        <w:t xml:space="preserve">re sentenced at the same court on </w:t>
      </w:r>
      <w:r w:rsidRPr="002571EE">
        <w:rPr>
          <w:rFonts w:ascii="Arial" w:hAnsi="Arial" w:cs="Arial"/>
          <w:iCs/>
        </w:rPr>
        <w:t>25</w:t>
      </w:r>
      <w:r w:rsidR="002571EE">
        <w:rPr>
          <w:rFonts w:ascii="Arial" w:hAnsi="Arial" w:cs="Arial"/>
          <w:iCs/>
        </w:rPr>
        <w:t xml:space="preserve"> July 2</w:t>
      </w:r>
      <w:r w:rsidRPr="002571EE">
        <w:rPr>
          <w:rFonts w:ascii="Arial" w:hAnsi="Arial" w:cs="Arial"/>
          <w:iCs/>
        </w:rPr>
        <w:t xml:space="preserve">019. Buckley </w:t>
      </w:r>
      <w:r w:rsidR="00A40246" w:rsidRPr="002571EE">
        <w:rPr>
          <w:rFonts w:ascii="Arial" w:hAnsi="Arial" w:cs="Arial"/>
          <w:iCs/>
        </w:rPr>
        <w:t>was jailed for four years and 11 months</w:t>
      </w:r>
      <w:r w:rsidRPr="002571EE">
        <w:rPr>
          <w:rFonts w:ascii="Arial" w:hAnsi="Arial" w:cs="Arial"/>
          <w:iCs/>
        </w:rPr>
        <w:t xml:space="preserve"> and Poptani </w:t>
      </w:r>
      <w:r w:rsidR="00A40246" w:rsidRPr="002571EE">
        <w:rPr>
          <w:rFonts w:ascii="Arial" w:hAnsi="Arial" w:cs="Arial"/>
          <w:iCs/>
        </w:rPr>
        <w:t xml:space="preserve">was jailed for two years and </w:t>
      </w:r>
      <w:r w:rsidR="002571EE" w:rsidRPr="002571EE">
        <w:rPr>
          <w:rFonts w:ascii="Arial" w:hAnsi="Arial" w:cs="Arial"/>
          <w:iCs/>
        </w:rPr>
        <w:t>eight months</w:t>
      </w:r>
      <w:r w:rsidR="000B6257">
        <w:rPr>
          <w:rFonts w:ascii="Arial" w:hAnsi="Arial" w:cs="Arial"/>
          <w:iCs/>
        </w:rPr>
        <w:t xml:space="preserve"> </w:t>
      </w:r>
    </w:p>
    <w:p w:rsidR="00A75A90" w:rsidRPr="00F335C4" w:rsidRDefault="00A75A90" w:rsidP="00F335C4">
      <w:pPr>
        <w:spacing w:line="360" w:lineRule="auto"/>
        <w:rPr>
          <w:rFonts w:ascii="Arial" w:hAnsi="Arial" w:cs="Arial"/>
          <w:iCs/>
        </w:rPr>
      </w:pPr>
    </w:p>
    <w:bookmarkEnd w:id="2"/>
    <w:p w:rsidR="00CA2ED6" w:rsidRPr="00215A9C" w:rsidRDefault="0012198B" w:rsidP="00F335C4">
      <w:pPr>
        <w:spacing w:line="360" w:lineRule="auto"/>
        <w:rPr>
          <w:rFonts w:ascii="Arial" w:hAnsi="Arial" w:cs="Arial"/>
          <w:b/>
          <w:bCs/>
          <w:lang w:eastAsia="en-GB"/>
        </w:rPr>
      </w:pPr>
      <w:r w:rsidRPr="00215A9C">
        <w:rPr>
          <w:rFonts w:ascii="Arial" w:hAnsi="Arial" w:cs="Arial"/>
          <w:b/>
          <w:bCs/>
          <w:lang w:eastAsia="en-GB"/>
        </w:rPr>
        <w:t>Notes for E</w:t>
      </w:r>
      <w:r w:rsidR="00CA2ED6" w:rsidRPr="00215A9C">
        <w:rPr>
          <w:rFonts w:ascii="Arial" w:hAnsi="Arial" w:cs="Arial"/>
          <w:b/>
          <w:bCs/>
          <w:lang w:eastAsia="en-GB"/>
        </w:rPr>
        <w:t>ditors</w:t>
      </w:r>
    </w:p>
    <w:p w:rsidR="00CA2ED6" w:rsidRPr="00F335C4" w:rsidRDefault="00CA2ED6" w:rsidP="00F335C4">
      <w:pPr>
        <w:spacing w:line="360" w:lineRule="auto"/>
        <w:ind w:left="360"/>
        <w:rPr>
          <w:rFonts w:ascii="Arial" w:eastAsia="Times New Roman" w:hAnsi="Arial" w:cs="Arial"/>
        </w:rPr>
      </w:pPr>
    </w:p>
    <w:p w:rsidR="003C48E6" w:rsidRPr="00F335C4" w:rsidRDefault="003C48E6" w:rsidP="00F335C4">
      <w:pPr>
        <w:numPr>
          <w:ilvl w:val="0"/>
          <w:numId w:val="10"/>
        </w:numPr>
        <w:spacing w:line="360" w:lineRule="auto"/>
        <w:rPr>
          <w:rFonts w:ascii="Arial" w:eastAsia="Times New Roman" w:hAnsi="Arial" w:cs="Arial"/>
          <w:bCs/>
        </w:rPr>
      </w:pPr>
      <w:r w:rsidRPr="00F335C4">
        <w:rPr>
          <w:rFonts w:ascii="Arial" w:eastAsia="Times New Roman" w:hAnsi="Arial" w:cs="Arial"/>
          <w:bCs/>
        </w:rPr>
        <w:t xml:space="preserve">David Patrick Buckley, (DOB 6/5/1968), of </w:t>
      </w:r>
      <w:r w:rsidR="00C24334" w:rsidRPr="00F335C4">
        <w:rPr>
          <w:rFonts w:ascii="Arial" w:eastAsia="Times New Roman" w:hAnsi="Arial" w:cs="Arial"/>
          <w:bCs/>
        </w:rPr>
        <w:t xml:space="preserve">Redwing Road, </w:t>
      </w:r>
      <w:r w:rsidRPr="00F335C4">
        <w:rPr>
          <w:rFonts w:ascii="Arial" w:eastAsia="Times New Roman" w:hAnsi="Arial" w:cs="Arial"/>
          <w:bCs/>
        </w:rPr>
        <w:t xml:space="preserve">Basingstoke, Hampshire, pleaded guilty to: </w:t>
      </w:r>
    </w:p>
    <w:p w:rsidR="00005A43" w:rsidRPr="00005A43" w:rsidRDefault="00C24334" w:rsidP="00005A43">
      <w:pPr>
        <w:pStyle w:val="ListParagraph"/>
        <w:numPr>
          <w:ilvl w:val="0"/>
          <w:numId w:val="22"/>
        </w:numPr>
        <w:spacing w:line="360" w:lineRule="auto"/>
        <w:textAlignment w:val="center"/>
        <w:rPr>
          <w:rFonts w:ascii="Arial" w:hAnsi="Arial" w:cs="Arial"/>
          <w:bCs/>
          <w:color w:val="000000"/>
        </w:rPr>
      </w:pPr>
      <w:r w:rsidRPr="00005A43">
        <w:rPr>
          <w:rFonts w:ascii="Arial" w:eastAsia="Times New Roman" w:hAnsi="Arial" w:cs="Arial"/>
          <w:bCs/>
        </w:rPr>
        <w:t>B</w:t>
      </w:r>
      <w:r w:rsidR="003C48E6" w:rsidRPr="00005A43">
        <w:rPr>
          <w:rFonts w:ascii="Arial" w:eastAsia="Times New Roman" w:hAnsi="Arial" w:cs="Arial"/>
          <w:bCs/>
        </w:rPr>
        <w:t>eing knowingly concerned i</w:t>
      </w:r>
      <w:r w:rsidRPr="00005A43">
        <w:rPr>
          <w:rFonts w:ascii="Arial" w:eastAsia="Times New Roman" w:hAnsi="Arial" w:cs="Arial"/>
          <w:bCs/>
        </w:rPr>
        <w:t xml:space="preserve">n the fraudulent evasion of VAT contrary to </w:t>
      </w:r>
      <w:r w:rsidRPr="00005A43">
        <w:rPr>
          <w:rFonts w:ascii="Arial" w:hAnsi="Arial" w:cs="Arial"/>
          <w:bCs/>
          <w:color w:val="000000"/>
        </w:rPr>
        <w:t xml:space="preserve">section 72(1) of the Value Added Tax Act 1994, </w:t>
      </w:r>
      <w:r w:rsidRPr="00005A43">
        <w:rPr>
          <w:rFonts w:ascii="Arial" w:eastAsia="Times New Roman" w:hAnsi="Arial" w:cs="Arial"/>
          <w:bCs/>
        </w:rPr>
        <w:t>between 6 April 2009 and 31 December 2012, by failing to state the true financial position of CPN Ltd.</w:t>
      </w:r>
    </w:p>
    <w:p w:rsidR="00005A43" w:rsidRPr="00005A43" w:rsidRDefault="00C24334" w:rsidP="00005A43">
      <w:pPr>
        <w:pStyle w:val="ListParagraph"/>
        <w:numPr>
          <w:ilvl w:val="0"/>
          <w:numId w:val="22"/>
        </w:numPr>
        <w:spacing w:line="360" w:lineRule="auto"/>
        <w:textAlignment w:val="center"/>
        <w:rPr>
          <w:rFonts w:ascii="Arial" w:hAnsi="Arial" w:cs="Arial"/>
          <w:bCs/>
          <w:color w:val="000000"/>
        </w:rPr>
      </w:pPr>
      <w:r w:rsidRPr="00005A43">
        <w:rPr>
          <w:rFonts w:ascii="Arial" w:eastAsia="Times New Roman" w:hAnsi="Arial" w:cs="Arial"/>
          <w:bCs/>
        </w:rPr>
        <w:t>B</w:t>
      </w:r>
      <w:r w:rsidR="003C48E6" w:rsidRPr="00005A43">
        <w:rPr>
          <w:rFonts w:ascii="Arial" w:eastAsia="Times New Roman" w:hAnsi="Arial" w:cs="Arial"/>
          <w:bCs/>
        </w:rPr>
        <w:t xml:space="preserve">eing knowingly </w:t>
      </w:r>
      <w:r w:rsidRPr="00005A43">
        <w:rPr>
          <w:rFonts w:ascii="Arial" w:eastAsia="Times New Roman" w:hAnsi="Arial" w:cs="Arial"/>
          <w:bCs/>
        </w:rPr>
        <w:t>concerned</w:t>
      </w:r>
      <w:r w:rsidR="003C48E6" w:rsidRPr="00005A43">
        <w:rPr>
          <w:rFonts w:ascii="Arial" w:eastAsia="Times New Roman" w:hAnsi="Arial" w:cs="Arial"/>
          <w:bCs/>
        </w:rPr>
        <w:t xml:space="preserve"> in the f</w:t>
      </w:r>
      <w:r w:rsidRPr="00005A43">
        <w:rPr>
          <w:rFonts w:ascii="Arial" w:eastAsia="Times New Roman" w:hAnsi="Arial" w:cs="Arial"/>
          <w:bCs/>
        </w:rPr>
        <w:t xml:space="preserve">raudulent evasion of income tax </w:t>
      </w:r>
      <w:r w:rsidRPr="00005A43">
        <w:rPr>
          <w:rFonts w:ascii="Arial" w:hAnsi="Arial" w:cs="Arial"/>
          <w:bCs/>
          <w:color w:val="000000"/>
        </w:rPr>
        <w:t xml:space="preserve">contrary to section 144 of the Finance Act 2000, between 6 April 2008 and 31 March 2010, by failing to notify HMRC of the true Pay As You Earn liability in respect of employees of </w:t>
      </w:r>
      <w:r w:rsidR="00005A43" w:rsidRPr="00005A43">
        <w:rPr>
          <w:rFonts w:ascii="Arial" w:hAnsi="Arial" w:cs="Arial"/>
          <w:bCs/>
          <w:color w:val="000000"/>
        </w:rPr>
        <w:t>CPN Ltd.</w:t>
      </w:r>
    </w:p>
    <w:p w:rsidR="00C24334" w:rsidRDefault="00C24334" w:rsidP="00005A43">
      <w:pPr>
        <w:pStyle w:val="ListParagraph"/>
        <w:numPr>
          <w:ilvl w:val="0"/>
          <w:numId w:val="22"/>
        </w:numPr>
        <w:spacing w:line="360" w:lineRule="auto"/>
        <w:textAlignment w:val="center"/>
        <w:rPr>
          <w:rFonts w:ascii="Arial" w:hAnsi="Arial" w:cs="Arial"/>
          <w:bCs/>
          <w:color w:val="000000"/>
        </w:rPr>
      </w:pPr>
      <w:r w:rsidRPr="00005A43">
        <w:rPr>
          <w:rFonts w:ascii="Arial" w:hAnsi="Arial" w:cs="Arial"/>
          <w:bCs/>
          <w:color w:val="000000"/>
        </w:rPr>
        <w:t>Being knowingly concerned in the fraudulent evasion of income tax contrary to section 106A of the Taxes Management Act 1970 between 1 April 2010 and 5 April 2013 by failing to notify HMRC of the true Pay As You Earn liability in respect of employees of CPN Ltd.</w:t>
      </w:r>
    </w:p>
    <w:p w:rsidR="008F74E8" w:rsidRPr="00005A43" w:rsidRDefault="008F74E8" w:rsidP="008F74E8">
      <w:pPr>
        <w:pStyle w:val="ListParagraph"/>
        <w:spacing w:line="360" w:lineRule="auto"/>
        <w:ind w:left="1440"/>
        <w:textAlignment w:val="center"/>
        <w:rPr>
          <w:rFonts w:ascii="Arial" w:hAnsi="Arial" w:cs="Arial"/>
          <w:bCs/>
          <w:color w:val="000000"/>
        </w:rPr>
      </w:pPr>
    </w:p>
    <w:p w:rsidR="00C24334" w:rsidRDefault="00C24334" w:rsidP="00215A9C">
      <w:pPr>
        <w:pStyle w:val="ListParagraph"/>
        <w:numPr>
          <w:ilvl w:val="0"/>
          <w:numId w:val="10"/>
        </w:numPr>
        <w:spacing w:line="360" w:lineRule="auto"/>
        <w:textAlignment w:val="center"/>
        <w:rPr>
          <w:rFonts w:ascii="Arial" w:hAnsi="Arial" w:cs="Arial"/>
          <w:bCs/>
          <w:color w:val="000000"/>
        </w:rPr>
      </w:pPr>
      <w:r w:rsidRPr="00005A43">
        <w:rPr>
          <w:rFonts w:ascii="Arial" w:hAnsi="Arial" w:cs="Arial"/>
          <w:bCs/>
          <w:color w:val="000000"/>
        </w:rPr>
        <w:t xml:space="preserve">The total evaded </w:t>
      </w:r>
      <w:r w:rsidR="00005A43" w:rsidRPr="00005A43">
        <w:rPr>
          <w:rFonts w:ascii="Arial" w:hAnsi="Arial" w:cs="Arial"/>
          <w:bCs/>
          <w:color w:val="000000"/>
        </w:rPr>
        <w:t>by</w:t>
      </w:r>
      <w:r w:rsidRPr="00005A43">
        <w:rPr>
          <w:rFonts w:ascii="Arial" w:hAnsi="Arial" w:cs="Arial"/>
          <w:bCs/>
          <w:color w:val="000000"/>
        </w:rPr>
        <w:t xml:space="preserve"> Buckley is £2.3m</w:t>
      </w:r>
      <w:r w:rsidR="004E670B">
        <w:rPr>
          <w:rFonts w:ascii="Arial" w:hAnsi="Arial" w:cs="Arial"/>
          <w:bCs/>
          <w:color w:val="000000"/>
        </w:rPr>
        <w:t xml:space="preserve"> </w:t>
      </w:r>
    </w:p>
    <w:p w:rsidR="008F74E8" w:rsidRPr="00215A9C" w:rsidRDefault="008F74E8" w:rsidP="008F74E8">
      <w:pPr>
        <w:pStyle w:val="ListParagraph"/>
        <w:spacing w:line="360" w:lineRule="auto"/>
        <w:textAlignment w:val="center"/>
        <w:rPr>
          <w:rFonts w:ascii="Arial" w:hAnsi="Arial" w:cs="Arial"/>
          <w:bCs/>
          <w:color w:val="000000"/>
        </w:rPr>
      </w:pPr>
    </w:p>
    <w:p w:rsidR="00C24334" w:rsidRPr="00F335C4" w:rsidRDefault="003C48E6" w:rsidP="00005A43">
      <w:pPr>
        <w:pStyle w:val="NormalWeb"/>
        <w:numPr>
          <w:ilvl w:val="0"/>
          <w:numId w:val="10"/>
        </w:numPr>
        <w:spacing w:before="0" w:beforeAutospacing="0" w:after="0" w:afterAutospacing="0" w:line="360" w:lineRule="auto"/>
        <w:rPr>
          <w:rFonts w:ascii="Arial" w:eastAsia="Times New Roman" w:hAnsi="Arial" w:cs="Arial"/>
          <w:bCs/>
          <w:sz w:val="22"/>
          <w:szCs w:val="22"/>
        </w:rPr>
      </w:pPr>
      <w:r w:rsidRPr="00F335C4">
        <w:rPr>
          <w:rFonts w:ascii="Arial" w:eastAsia="Times New Roman" w:hAnsi="Arial" w:cs="Arial"/>
          <w:bCs/>
          <w:sz w:val="22"/>
          <w:szCs w:val="22"/>
        </w:rPr>
        <w:t>Mahm</w:t>
      </w:r>
      <w:r w:rsidR="003F1B69">
        <w:rPr>
          <w:rFonts w:ascii="Arial" w:eastAsia="Times New Roman" w:hAnsi="Arial" w:cs="Arial"/>
          <w:bCs/>
          <w:sz w:val="22"/>
          <w:szCs w:val="22"/>
        </w:rPr>
        <w:t>ood Sadiq Poptani, (DOB 1/1/1959</w:t>
      </w:r>
      <w:r w:rsidRPr="00F335C4">
        <w:rPr>
          <w:rFonts w:ascii="Arial" w:eastAsia="Times New Roman" w:hAnsi="Arial" w:cs="Arial"/>
          <w:bCs/>
          <w:sz w:val="22"/>
          <w:szCs w:val="22"/>
        </w:rPr>
        <w:t xml:space="preserve">), of </w:t>
      </w:r>
      <w:r w:rsidR="00C24334" w:rsidRPr="00F335C4">
        <w:rPr>
          <w:rFonts w:ascii="Arial" w:hAnsi="Arial" w:cs="Arial"/>
          <w:bCs/>
          <w:color w:val="000000"/>
          <w:sz w:val="22"/>
          <w:szCs w:val="22"/>
        </w:rPr>
        <w:t>Heol y Fran, Cwmrhydyceirw, Swansea</w:t>
      </w:r>
      <w:r w:rsidRPr="00F335C4">
        <w:rPr>
          <w:rFonts w:ascii="Arial" w:eastAsia="Times New Roman" w:hAnsi="Arial" w:cs="Arial"/>
          <w:bCs/>
          <w:sz w:val="22"/>
          <w:szCs w:val="22"/>
        </w:rPr>
        <w:t xml:space="preserve">, pleaded guilty to: </w:t>
      </w:r>
    </w:p>
    <w:p w:rsidR="00F335C4" w:rsidRDefault="00F335C4" w:rsidP="00F335C4">
      <w:pPr>
        <w:pStyle w:val="NormalWeb"/>
        <w:numPr>
          <w:ilvl w:val="0"/>
          <w:numId w:val="20"/>
        </w:numPr>
        <w:spacing w:before="0" w:beforeAutospacing="0" w:after="0" w:afterAutospacing="0" w:line="360" w:lineRule="auto"/>
        <w:rPr>
          <w:rFonts w:ascii="Arial" w:hAnsi="Arial" w:cs="Arial"/>
          <w:bCs/>
          <w:color w:val="000000"/>
          <w:sz w:val="22"/>
          <w:szCs w:val="22"/>
        </w:rPr>
      </w:pPr>
      <w:r w:rsidRPr="00F335C4">
        <w:rPr>
          <w:rFonts w:ascii="Arial" w:eastAsia="Times New Roman" w:hAnsi="Arial" w:cs="Arial"/>
          <w:bCs/>
          <w:sz w:val="22"/>
          <w:szCs w:val="22"/>
        </w:rPr>
        <w:t>concealing</w:t>
      </w:r>
      <w:r w:rsidR="00C24334" w:rsidRPr="00F335C4">
        <w:rPr>
          <w:rFonts w:ascii="Arial" w:hAnsi="Arial" w:cs="Arial"/>
          <w:bCs/>
          <w:color w:val="000000"/>
          <w:sz w:val="22"/>
          <w:szCs w:val="22"/>
        </w:rPr>
        <w:t>/disguising/converting</w:t>
      </w:r>
      <w:r w:rsidRPr="00F335C4">
        <w:rPr>
          <w:rFonts w:ascii="Arial" w:hAnsi="Arial" w:cs="Arial"/>
          <w:bCs/>
          <w:color w:val="000000"/>
          <w:sz w:val="22"/>
          <w:szCs w:val="22"/>
        </w:rPr>
        <w:t>/transferring</w:t>
      </w:r>
      <w:r w:rsidR="00C24334" w:rsidRPr="00F335C4">
        <w:rPr>
          <w:rFonts w:ascii="Arial" w:hAnsi="Arial" w:cs="Arial"/>
          <w:bCs/>
          <w:color w:val="000000"/>
          <w:sz w:val="22"/>
          <w:szCs w:val="22"/>
        </w:rPr>
        <w:t xml:space="preserve">/removing criminal property from England and Wales, Scotland or Northern Ireland, contrary to section 327(1)(a)(b)(c)(d)(e) of </w:t>
      </w:r>
      <w:r w:rsidRPr="00F335C4">
        <w:rPr>
          <w:rFonts w:ascii="Arial" w:hAnsi="Arial" w:cs="Arial"/>
          <w:bCs/>
          <w:color w:val="000000"/>
          <w:sz w:val="22"/>
          <w:szCs w:val="22"/>
        </w:rPr>
        <w:t>the Proceeds of Crime Act 2002. B</w:t>
      </w:r>
      <w:r w:rsidR="00C24334" w:rsidRPr="00F335C4">
        <w:rPr>
          <w:rFonts w:ascii="Arial" w:hAnsi="Arial" w:cs="Arial"/>
          <w:bCs/>
          <w:color w:val="000000"/>
          <w:sz w:val="22"/>
          <w:szCs w:val="22"/>
        </w:rPr>
        <w:t>etween 18 April 2011 and 28 February 2012 concealed, disguised, converted an</w:t>
      </w:r>
      <w:r w:rsidRPr="00F335C4">
        <w:rPr>
          <w:rFonts w:ascii="Arial" w:hAnsi="Arial" w:cs="Arial"/>
          <w:bCs/>
          <w:color w:val="000000"/>
          <w:sz w:val="22"/>
          <w:szCs w:val="22"/>
        </w:rPr>
        <w:t xml:space="preserve">d transferred criminal property, </w:t>
      </w:r>
      <w:r w:rsidR="00C24334" w:rsidRPr="00F335C4">
        <w:rPr>
          <w:rFonts w:ascii="Arial" w:hAnsi="Arial" w:cs="Arial"/>
          <w:bCs/>
          <w:color w:val="000000"/>
          <w:sz w:val="22"/>
          <w:szCs w:val="22"/>
        </w:rPr>
        <w:t>namely monies which he knew should have been paid to HMRC in respect CPN Ltd, by means of bank transfers into accounts controlled by him.</w:t>
      </w:r>
    </w:p>
    <w:p w:rsidR="008F74E8" w:rsidRPr="00F335C4" w:rsidRDefault="008F74E8" w:rsidP="008F74E8">
      <w:pPr>
        <w:pStyle w:val="NormalWeb"/>
        <w:spacing w:before="0" w:beforeAutospacing="0" w:after="0" w:afterAutospacing="0" w:line="360" w:lineRule="auto"/>
        <w:ind w:left="1080"/>
        <w:rPr>
          <w:rFonts w:ascii="Arial" w:hAnsi="Arial" w:cs="Arial"/>
          <w:bCs/>
          <w:color w:val="000000"/>
          <w:sz w:val="22"/>
          <w:szCs w:val="22"/>
        </w:rPr>
      </w:pPr>
    </w:p>
    <w:p w:rsidR="00C24334" w:rsidRDefault="00C24334" w:rsidP="00215A9C">
      <w:pPr>
        <w:pStyle w:val="NormalWeb"/>
        <w:numPr>
          <w:ilvl w:val="0"/>
          <w:numId w:val="10"/>
        </w:numPr>
        <w:spacing w:before="0" w:beforeAutospacing="0" w:after="0" w:afterAutospacing="0" w:line="360" w:lineRule="auto"/>
        <w:rPr>
          <w:rFonts w:ascii="Arial" w:hAnsi="Arial" w:cs="Arial"/>
          <w:bCs/>
          <w:color w:val="000000"/>
          <w:sz w:val="22"/>
          <w:szCs w:val="22"/>
        </w:rPr>
      </w:pPr>
      <w:r w:rsidRPr="00F335C4">
        <w:rPr>
          <w:rFonts w:ascii="Arial" w:hAnsi="Arial" w:cs="Arial"/>
          <w:bCs/>
          <w:color w:val="000000"/>
          <w:sz w:val="22"/>
          <w:szCs w:val="22"/>
        </w:rPr>
        <w:t xml:space="preserve">The total </w:t>
      </w:r>
      <w:r w:rsidR="00EB77D4">
        <w:rPr>
          <w:rFonts w:ascii="Arial" w:hAnsi="Arial" w:cs="Arial"/>
          <w:bCs/>
          <w:color w:val="000000"/>
          <w:sz w:val="22"/>
          <w:szCs w:val="22"/>
        </w:rPr>
        <w:t>evaded by Poptani is £453,000</w:t>
      </w:r>
      <w:r w:rsidRPr="00F335C4">
        <w:rPr>
          <w:rFonts w:ascii="Arial" w:hAnsi="Arial" w:cs="Arial"/>
          <w:bCs/>
          <w:color w:val="000000"/>
          <w:sz w:val="22"/>
          <w:szCs w:val="22"/>
        </w:rPr>
        <w:t>.</w:t>
      </w:r>
      <w:r w:rsidR="004E670B">
        <w:rPr>
          <w:rFonts w:ascii="Arial" w:hAnsi="Arial" w:cs="Arial"/>
          <w:bCs/>
          <w:color w:val="000000"/>
          <w:sz w:val="22"/>
          <w:szCs w:val="22"/>
        </w:rPr>
        <w:t xml:space="preserve"> </w:t>
      </w:r>
    </w:p>
    <w:p w:rsidR="00F25F00" w:rsidRDefault="00F25F00" w:rsidP="00F25F00">
      <w:pPr>
        <w:pStyle w:val="NormalWeb"/>
        <w:spacing w:before="0" w:beforeAutospacing="0" w:after="0" w:afterAutospacing="0" w:line="360" w:lineRule="auto"/>
        <w:ind w:left="720"/>
        <w:rPr>
          <w:rFonts w:ascii="Arial" w:hAnsi="Arial" w:cs="Arial"/>
          <w:bCs/>
          <w:color w:val="000000"/>
          <w:sz w:val="22"/>
          <w:szCs w:val="22"/>
        </w:rPr>
      </w:pPr>
    </w:p>
    <w:p w:rsidR="00F25F00" w:rsidRDefault="00F25F00" w:rsidP="00215A9C">
      <w:pPr>
        <w:pStyle w:val="NormalWeb"/>
        <w:numPr>
          <w:ilvl w:val="0"/>
          <w:numId w:val="10"/>
        </w:numPr>
        <w:spacing w:before="0" w:beforeAutospacing="0" w:after="0" w:afterAutospacing="0" w:line="360" w:lineRule="auto"/>
        <w:rPr>
          <w:rFonts w:ascii="Arial" w:hAnsi="Arial" w:cs="Arial"/>
          <w:bCs/>
          <w:color w:val="000000"/>
          <w:sz w:val="22"/>
          <w:szCs w:val="22"/>
        </w:rPr>
      </w:pPr>
      <w:r>
        <w:rPr>
          <w:rFonts w:ascii="Arial" w:hAnsi="Arial" w:cs="Arial"/>
          <w:bCs/>
          <w:color w:val="000000"/>
          <w:sz w:val="22"/>
          <w:szCs w:val="22"/>
        </w:rPr>
        <w:t xml:space="preserve">Photographs of both defendants are available. </w:t>
      </w:r>
    </w:p>
    <w:p w:rsidR="00F25F00" w:rsidRPr="00F25F00" w:rsidRDefault="00F25F00" w:rsidP="00F25F00">
      <w:pPr>
        <w:spacing w:line="360" w:lineRule="auto"/>
        <w:ind w:left="720"/>
        <w:rPr>
          <w:rFonts w:ascii="Arial" w:eastAsia="Times New Roman" w:hAnsi="Arial" w:cs="Arial"/>
          <w:bCs/>
        </w:rPr>
      </w:pPr>
    </w:p>
    <w:p w:rsidR="00CA2ED6" w:rsidRPr="00F335C4" w:rsidRDefault="00CA2ED6" w:rsidP="00005A43">
      <w:pPr>
        <w:numPr>
          <w:ilvl w:val="0"/>
          <w:numId w:val="10"/>
        </w:numPr>
        <w:spacing w:line="360" w:lineRule="auto"/>
        <w:rPr>
          <w:rFonts w:ascii="Arial" w:eastAsia="Times New Roman" w:hAnsi="Arial" w:cs="Arial"/>
          <w:bCs/>
        </w:rPr>
      </w:pPr>
      <w:r w:rsidRPr="00F335C4">
        <w:rPr>
          <w:rFonts w:ascii="Arial" w:eastAsia="Times New Roman" w:hAnsi="Arial" w:cs="Arial"/>
        </w:rPr>
        <w:t>Follow HMRC’s press office on Twitter @HMRCpressoffice.</w:t>
      </w:r>
    </w:p>
    <w:p w:rsidR="00CA2ED6" w:rsidRPr="00C24334" w:rsidRDefault="00CA2ED6" w:rsidP="009E78F2">
      <w:pPr>
        <w:rPr>
          <w:rFonts w:ascii="Arial" w:hAnsi="Arial" w:cs="Arial"/>
        </w:rPr>
      </w:pPr>
    </w:p>
    <w:p w:rsidR="00DA07D4" w:rsidRPr="00C24334" w:rsidRDefault="00DA07D4" w:rsidP="00DA07D4">
      <w:pPr>
        <w:spacing w:line="360" w:lineRule="auto"/>
        <w:outlineLvl w:val="0"/>
        <w:rPr>
          <w:rFonts w:ascii="Arial" w:hAnsi="Arial" w:cs="Arial"/>
          <w:b/>
        </w:rPr>
      </w:pPr>
      <w:r w:rsidRPr="00C24334">
        <w:rPr>
          <w:rFonts w:ascii="Arial" w:hAnsi="Arial" w:cs="Arial"/>
          <w:b/>
        </w:rPr>
        <w:t>Issued by HM Revenue &amp; Customs Press Office</w:t>
      </w:r>
    </w:p>
    <w:p w:rsidR="00DA07D4" w:rsidRPr="00C24334" w:rsidRDefault="00DA07D4" w:rsidP="00DA07D4">
      <w:pPr>
        <w:spacing w:line="360" w:lineRule="auto"/>
        <w:outlineLvl w:val="0"/>
        <w:rPr>
          <w:rFonts w:ascii="Arial" w:hAnsi="Arial" w:cs="Arial"/>
          <w:b/>
        </w:rPr>
      </w:pPr>
      <w:r w:rsidRPr="00C24334">
        <w:rPr>
          <w:rFonts w:ascii="Arial" w:hAnsi="Arial" w:cs="Arial"/>
          <w:b/>
        </w:rPr>
        <w:t>Press enquiries only please contact:</w:t>
      </w:r>
    </w:p>
    <w:p w:rsidR="00555FF8" w:rsidRPr="00C24334" w:rsidRDefault="00555FF8" w:rsidP="00DA07D4">
      <w:pPr>
        <w:spacing w:line="360" w:lineRule="auto"/>
        <w:jc w:val="both"/>
        <w:rPr>
          <w:rFonts w:ascii="Arial" w:hAnsi="Arial" w:cs="Arial"/>
          <w:b/>
        </w:rPr>
      </w:pPr>
    </w:p>
    <w:p w:rsidR="002C1D99" w:rsidRPr="00D86B1A" w:rsidRDefault="002C1D99" w:rsidP="002C1D99">
      <w:pPr>
        <w:overflowPunct w:val="0"/>
        <w:autoSpaceDE w:val="0"/>
        <w:autoSpaceDN w:val="0"/>
        <w:adjustRightInd w:val="0"/>
        <w:spacing w:line="360" w:lineRule="auto"/>
        <w:textAlignment w:val="baseline"/>
        <w:rPr>
          <w:rFonts w:ascii="Arial" w:eastAsia="Times New Roman" w:hAnsi="Arial"/>
          <w:szCs w:val="20"/>
        </w:rPr>
      </w:pPr>
      <w:r w:rsidRPr="00D86B1A">
        <w:rPr>
          <w:rFonts w:ascii="Arial" w:eastAsia="Times New Roman" w:hAnsi="Arial"/>
          <w:szCs w:val="20"/>
        </w:rPr>
        <w:t>Roger Kasper</w:t>
      </w:r>
    </w:p>
    <w:p w:rsidR="002C1D99" w:rsidRPr="00D86B1A" w:rsidRDefault="002C1D99" w:rsidP="002C1D99">
      <w:pPr>
        <w:overflowPunct w:val="0"/>
        <w:autoSpaceDE w:val="0"/>
        <w:autoSpaceDN w:val="0"/>
        <w:adjustRightInd w:val="0"/>
        <w:spacing w:line="360" w:lineRule="auto"/>
        <w:textAlignment w:val="baseline"/>
        <w:rPr>
          <w:rFonts w:ascii="Arial" w:eastAsia="Times New Roman" w:hAnsi="Arial"/>
          <w:szCs w:val="20"/>
        </w:rPr>
      </w:pPr>
      <w:r w:rsidRPr="00D86B1A">
        <w:rPr>
          <w:rFonts w:ascii="Arial" w:eastAsia="Times New Roman" w:hAnsi="Arial"/>
          <w:szCs w:val="20"/>
        </w:rPr>
        <w:t>Tel: 03000 525110 / 07388 955843</w:t>
      </w:r>
    </w:p>
    <w:p w:rsidR="002C1D99" w:rsidRPr="00D86B1A" w:rsidRDefault="002C1D99" w:rsidP="002C1D99">
      <w:pPr>
        <w:overflowPunct w:val="0"/>
        <w:autoSpaceDE w:val="0"/>
        <w:autoSpaceDN w:val="0"/>
        <w:adjustRightInd w:val="0"/>
        <w:spacing w:line="360" w:lineRule="auto"/>
        <w:textAlignment w:val="baseline"/>
        <w:rPr>
          <w:rFonts w:ascii="Arial" w:eastAsia="Times New Roman" w:hAnsi="Arial"/>
          <w:szCs w:val="20"/>
        </w:rPr>
      </w:pPr>
      <w:r w:rsidRPr="00D86B1A">
        <w:rPr>
          <w:rFonts w:ascii="Arial" w:eastAsia="Times New Roman" w:hAnsi="Arial"/>
          <w:szCs w:val="20"/>
        </w:rPr>
        <w:t xml:space="preserve">Email: </w:t>
      </w:r>
      <w:hyperlink r:id="rId10" w:history="1">
        <w:r w:rsidRPr="00D86B1A">
          <w:rPr>
            <w:rFonts w:ascii="Arial" w:eastAsia="Times New Roman" w:hAnsi="Arial"/>
            <w:color w:val="0000FF"/>
            <w:szCs w:val="20"/>
            <w:u w:val="single"/>
          </w:rPr>
          <w:t>roger.kasper@hmrc.gsi.gov.uk</w:t>
        </w:r>
      </w:hyperlink>
    </w:p>
    <w:p w:rsidR="00DA07D4" w:rsidRPr="00C24334" w:rsidRDefault="00DA07D4" w:rsidP="00DA07D4">
      <w:pPr>
        <w:overflowPunct w:val="0"/>
        <w:autoSpaceDE w:val="0"/>
        <w:autoSpaceDN w:val="0"/>
        <w:adjustRightInd w:val="0"/>
        <w:spacing w:line="360" w:lineRule="auto"/>
        <w:textAlignment w:val="baseline"/>
        <w:rPr>
          <w:rFonts w:ascii="Arial" w:hAnsi="Arial" w:cs="Arial"/>
        </w:rPr>
      </w:pPr>
    </w:p>
    <w:p w:rsidR="00D6192F" w:rsidRPr="00C24334" w:rsidRDefault="00D6192F" w:rsidP="00D6192F">
      <w:pPr>
        <w:tabs>
          <w:tab w:val="left" w:pos="580"/>
          <w:tab w:val="left" w:pos="1180"/>
        </w:tabs>
        <w:spacing w:line="360" w:lineRule="auto"/>
        <w:rPr>
          <w:rFonts w:ascii="Arial" w:hAnsi="Arial" w:cs="Arial"/>
        </w:rPr>
      </w:pPr>
      <w:r w:rsidRPr="00C24334">
        <w:rPr>
          <w:rFonts w:ascii="Arial" w:hAnsi="Arial" w:cs="Arial"/>
        </w:rPr>
        <w:t>Out of hours</w:t>
      </w:r>
    </w:p>
    <w:p w:rsidR="00D6192F" w:rsidRPr="00BA35F1" w:rsidRDefault="00D6192F" w:rsidP="00D6192F">
      <w:pPr>
        <w:tabs>
          <w:tab w:val="left" w:pos="580"/>
          <w:tab w:val="left" w:pos="1180"/>
        </w:tabs>
        <w:spacing w:line="360" w:lineRule="auto"/>
        <w:rPr>
          <w:rFonts w:ascii="Arial" w:hAnsi="Arial"/>
        </w:rPr>
      </w:pPr>
      <w:r w:rsidRPr="00BA35F1">
        <w:rPr>
          <w:rFonts w:ascii="Arial" w:hAnsi="Arial"/>
        </w:rPr>
        <w:t xml:space="preserve">Tel: </w:t>
      </w:r>
      <w:r w:rsidRPr="00BA35F1">
        <w:rPr>
          <w:rFonts w:ascii="Arial" w:hAnsi="Arial"/>
        </w:rPr>
        <w:tab/>
      </w:r>
      <w:r w:rsidRPr="00BA35F1">
        <w:rPr>
          <w:rFonts w:ascii="Arial" w:hAnsi="Arial"/>
        </w:rPr>
        <w:tab/>
      </w:r>
      <w:r w:rsidRPr="00BA35F1">
        <w:rPr>
          <w:rFonts w:ascii="Arial" w:hAnsi="Arial"/>
        </w:rPr>
        <w:tab/>
        <w:t>07860 359</w:t>
      </w:r>
      <w:r>
        <w:rPr>
          <w:rFonts w:ascii="Arial" w:hAnsi="Arial"/>
        </w:rPr>
        <w:t xml:space="preserve"> </w:t>
      </w:r>
      <w:r w:rsidRPr="00BA35F1">
        <w:rPr>
          <w:rFonts w:ascii="Arial" w:hAnsi="Arial"/>
        </w:rPr>
        <w:t>544</w:t>
      </w:r>
    </w:p>
    <w:p w:rsidR="00945335" w:rsidRPr="003610F8" w:rsidRDefault="00D6192F" w:rsidP="003610F8">
      <w:pPr>
        <w:pStyle w:val="BodyText"/>
        <w:jc w:val="left"/>
        <w:rPr>
          <w:szCs w:val="22"/>
        </w:rPr>
      </w:pPr>
      <w:r w:rsidRPr="00BA35F1">
        <w:rPr>
          <w:b/>
        </w:rPr>
        <w:t>Website</w:t>
      </w:r>
      <w:r w:rsidRPr="00BA35F1">
        <w:rPr>
          <w:b/>
        </w:rPr>
        <w:tab/>
      </w:r>
      <w:hyperlink r:id="rId11" w:history="1">
        <w:r w:rsidR="009133A4" w:rsidRPr="004E69C3">
          <w:rPr>
            <w:rStyle w:val="Hyperlink"/>
            <w:szCs w:val="22"/>
          </w:rPr>
          <w:t>www.gov.uk/hmrc</w:t>
        </w:r>
      </w:hyperlink>
    </w:p>
    <w:p w:rsidR="001E3B48" w:rsidRPr="003610F8" w:rsidRDefault="001E3B48">
      <w:pPr>
        <w:pStyle w:val="BodyText"/>
        <w:jc w:val="left"/>
        <w:rPr>
          <w:szCs w:val="22"/>
        </w:rPr>
      </w:pPr>
    </w:p>
    <w:sectPr w:rsidR="001E3B48" w:rsidRPr="003610F8" w:rsidSect="00266AB0">
      <w:pgSz w:w="11906" w:h="16838"/>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1136" w:rsidRDefault="00821136" w:rsidP="00F335C4">
      <w:r>
        <w:separator/>
      </w:r>
    </w:p>
  </w:endnote>
  <w:endnote w:type="continuationSeparator" w:id="0">
    <w:p w:rsidR="00821136" w:rsidRDefault="00821136" w:rsidP="00F33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1136" w:rsidRDefault="00821136" w:rsidP="00F335C4">
      <w:r>
        <w:separator/>
      </w:r>
    </w:p>
  </w:footnote>
  <w:footnote w:type="continuationSeparator" w:id="0">
    <w:p w:rsidR="00821136" w:rsidRDefault="00821136" w:rsidP="00F335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90AB4"/>
    <w:multiLevelType w:val="hybridMultilevel"/>
    <w:tmpl w:val="B7C47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1B7803"/>
    <w:multiLevelType w:val="hybridMultilevel"/>
    <w:tmpl w:val="8D880546"/>
    <w:lvl w:ilvl="0" w:tplc="E2F8E6FE">
      <w:start w:val="1"/>
      <w:numFmt w:val="decimal"/>
      <w:lvlText w:val="%1."/>
      <w:lvlJc w:val="left"/>
      <w:pPr>
        <w:tabs>
          <w:tab w:val="num" w:pos="357"/>
        </w:tabs>
        <w:ind w:left="357" w:hanging="35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9F03EB0"/>
    <w:multiLevelType w:val="hybridMultilevel"/>
    <w:tmpl w:val="2B8C17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9A7E94"/>
    <w:multiLevelType w:val="hybridMultilevel"/>
    <w:tmpl w:val="82707C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D852397"/>
    <w:multiLevelType w:val="hybridMultilevel"/>
    <w:tmpl w:val="DDEE93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94048B"/>
    <w:multiLevelType w:val="hybridMultilevel"/>
    <w:tmpl w:val="DE6C8F8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338F3C2C"/>
    <w:multiLevelType w:val="multilevel"/>
    <w:tmpl w:val="7212A4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C9D1520"/>
    <w:multiLevelType w:val="hybridMultilevel"/>
    <w:tmpl w:val="5A480F1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411232"/>
    <w:multiLevelType w:val="hybridMultilevel"/>
    <w:tmpl w:val="E26E3E9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508742D"/>
    <w:multiLevelType w:val="multilevel"/>
    <w:tmpl w:val="7212A4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8AE7447"/>
    <w:multiLevelType w:val="multilevel"/>
    <w:tmpl w:val="4B624F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0AD35E0"/>
    <w:multiLevelType w:val="multilevel"/>
    <w:tmpl w:val="28165D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6ED0D2A"/>
    <w:multiLevelType w:val="multilevel"/>
    <w:tmpl w:val="5C6AD1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B186376"/>
    <w:multiLevelType w:val="hybridMultilevel"/>
    <w:tmpl w:val="C14C1C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F477FA7"/>
    <w:multiLevelType w:val="hybridMultilevel"/>
    <w:tmpl w:val="64D83090"/>
    <w:lvl w:ilvl="0" w:tplc="040EDDF4">
      <w:start w:val="1"/>
      <w:numFmt w:val="lowerLetter"/>
      <w:lvlText w:val="%1)"/>
      <w:lvlJc w:val="left"/>
      <w:pPr>
        <w:ind w:left="900" w:hanging="360"/>
      </w:pPr>
      <w:rPr>
        <w:rFonts w:eastAsia="Times New Roman" w:hint="default"/>
        <w:color w:val="auto"/>
      </w:rPr>
    </w:lvl>
    <w:lvl w:ilvl="1" w:tplc="08090019">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5" w15:restartNumberingAfterBreak="0">
    <w:nsid w:val="752A305A"/>
    <w:multiLevelType w:val="hybridMultilevel"/>
    <w:tmpl w:val="9AA2B760"/>
    <w:lvl w:ilvl="0" w:tplc="08090001">
      <w:start w:val="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B34E02"/>
    <w:multiLevelType w:val="hybridMultilevel"/>
    <w:tmpl w:val="7E32BE58"/>
    <w:lvl w:ilvl="0" w:tplc="94948A6A">
      <w:start w:val="1"/>
      <w:numFmt w:val="lowerLetter"/>
      <w:lvlText w:val="%1)"/>
      <w:lvlJc w:val="left"/>
      <w:pPr>
        <w:ind w:left="1080" w:hanging="360"/>
      </w:pPr>
      <w:rPr>
        <w:rFonts w:ascii="Arial" w:eastAsia="Times New Roman" w:hAnsi="Arial" w:cs="Arial"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7AE501BA"/>
    <w:multiLevelType w:val="hybridMultilevel"/>
    <w:tmpl w:val="A37A0A38"/>
    <w:lvl w:ilvl="0" w:tplc="BFC6BAAA">
      <w:numFmt w:val="bullet"/>
      <w:lvlText w:val=""/>
      <w:lvlJc w:val="left"/>
      <w:pPr>
        <w:ind w:left="720" w:hanging="360"/>
      </w:pPr>
      <w:rPr>
        <w:rFonts w:ascii="Symbol" w:eastAsia="Times New Roman" w:hAnsi="Symbol" w:cs="Arial"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5D7873"/>
    <w:multiLevelType w:val="hybridMultilevel"/>
    <w:tmpl w:val="710C749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7F467808"/>
    <w:multiLevelType w:val="hybridMultilevel"/>
    <w:tmpl w:val="4BD6D9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9"/>
  </w:num>
  <w:num w:numId="6">
    <w:abstractNumId w:val="0"/>
  </w:num>
  <w:num w:numId="7">
    <w:abstractNumId w:val="4"/>
  </w:num>
  <w:num w:numId="8">
    <w:abstractNumId w:val="8"/>
  </w:num>
  <w:num w:numId="9">
    <w:abstractNumId w:val="17"/>
  </w:num>
  <w:num w:numId="10">
    <w:abstractNumId w:val="7"/>
  </w:num>
  <w:num w:numId="11">
    <w:abstractNumId w:val="15"/>
  </w:num>
  <w:num w:numId="12">
    <w:abstractNumId w:val="3"/>
  </w:num>
  <w:num w:numId="13">
    <w:abstractNumId w:val="15"/>
  </w:num>
  <w:num w:numId="14">
    <w:abstractNumId w:val="13"/>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6"/>
  </w:num>
  <w:num w:numId="21">
    <w:abstractNumId w:val="14"/>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994"/>
    <w:rsid w:val="00000F1A"/>
    <w:rsid w:val="00002B9A"/>
    <w:rsid w:val="00005A43"/>
    <w:rsid w:val="00010238"/>
    <w:rsid w:val="00013B08"/>
    <w:rsid w:val="00017B45"/>
    <w:rsid w:val="00020C3D"/>
    <w:rsid w:val="00035572"/>
    <w:rsid w:val="00035A60"/>
    <w:rsid w:val="000365E6"/>
    <w:rsid w:val="0005678D"/>
    <w:rsid w:val="00062A8C"/>
    <w:rsid w:val="00074FE8"/>
    <w:rsid w:val="0008117F"/>
    <w:rsid w:val="00085E84"/>
    <w:rsid w:val="000869BB"/>
    <w:rsid w:val="000B6257"/>
    <w:rsid w:val="000C65DA"/>
    <w:rsid w:val="000C71F6"/>
    <w:rsid w:val="000D119A"/>
    <w:rsid w:val="000D541E"/>
    <w:rsid w:val="000E028A"/>
    <w:rsid w:val="000E70BB"/>
    <w:rsid w:val="000F3A5E"/>
    <w:rsid w:val="00103876"/>
    <w:rsid w:val="0010553D"/>
    <w:rsid w:val="00113576"/>
    <w:rsid w:val="0012198B"/>
    <w:rsid w:val="00130D86"/>
    <w:rsid w:val="001428CB"/>
    <w:rsid w:val="00156992"/>
    <w:rsid w:val="00187147"/>
    <w:rsid w:val="001A4624"/>
    <w:rsid w:val="001B1050"/>
    <w:rsid w:val="001B7180"/>
    <w:rsid w:val="001C42D0"/>
    <w:rsid w:val="001D7A15"/>
    <w:rsid w:val="001D7B92"/>
    <w:rsid w:val="001E3B48"/>
    <w:rsid w:val="001F5561"/>
    <w:rsid w:val="0020728D"/>
    <w:rsid w:val="00215A9C"/>
    <w:rsid w:val="002246B5"/>
    <w:rsid w:val="00224B40"/>
    <w:rsid w:val="00235C9E"/>
    <w:rsid w:val="002373A9"/>
    <w:rsid w:val="002571EE"/>
    <w:rsid w:val="00261C67"/>
    <w:rsid w:val="00270DF8"/>
    <w:rsid w:val="00272299"/>
    <w:rsid w:val="00280D22"/>
    <w:rsid w:val="00281B94"/>
    <w:rsid w:val="00286E03"/>
    <w:rsid w:val="00291426"/>
    <w:rsid w:val="00296959"/>
    <w:rsid w:val="0029707E"/>
    <w:rsid w:val="002B5A55"/>
    <w:rsid w:val="002B60B2"/>
    <w:rsid w:val="002C1D99"/>
    <w:rsid w:val="002C5097"/>
    <w:rsid w:val="002C691E"/>
    <w:rsid w:val="002C7C04"/>
    <w:rsid w:val="002E1410"/>
    <w:rsid w:val="002E2530"/>
    <w:rsid w:val="002E7D7D"/>
    <w:rsid w:val="002F05A7"/>
    <w:rsid w:val="002F697C"/>
    <w:rsid w:val="002F7F66"/>
    <w:rsid w:val="003006B5"/>
    <w:rsid w:val="0030442A"/>
    <w:rsid w:val="0031690F"/>
    <w:rsid w:val="0032688A"/>
    <w:rsid w:val="003610F8"/>
    <w:rsid w:val="0036672D"/>
    <w:rsid w:val="00384D84"/>
    <w:rsid w:val="00385CAF"/>
    <w:rsid w:val="00385D8A"/>
    <w:rsid w:val="003929B5"/>
    <w:rsid w:val="0039315C"/>
    <w:rsid w:val="003A5F6B"/>
    <w:rsid w:val="003C48E6"/>
    <w:rsid w:val="003E145F"/>
    <w:rsid w:val="003E6EAB"/>
    <w:rsid w:val="003F0C2F"/>
    <w:rsid w:val="003F1B69"/>
    <w:rsid w:val="003F701A"/>
    <w:rsid w:val="00443EEF"/>
    <w:rsid w:val="00444A43"/>
    <w:rsid w:val="00447419"/>
    <w:rsid w:val="00451332"/>
    <w:rsid w:val="00463282"/>
    <w:rsid w:val="004669CB"/>
    <w:rsid w:val="004772CC"/>
    <w:rsid w:val="0048048A"/>
    <w:rsid w:val="004827FB"/>
    <w:rsid w:val="004A259D"/>
    <w:rsid w:val="004A5C1D"/>
    <w:rsid w:val="004C4AEF"/>
    <w:rsid w:val="004D1BDB"/>
    <w:rsid w:val="004D3C8D"/>
    <w:rsid w:val="004E670B"/>
    <w:rsid w:val="004E77FD"/>
    <w:rsid w:val="004F3802"/>
    <w:rsid w:val="00513B8C"/>
    <w:rsid w:val="00522AB3"/>
    <w:rsid w:val="00523144"/>
    <w:rsid w:val="005379CD"/>
    <w:rsid w:val="00544F40"/>
    <w:rsid w:val="00555FF8"/>
    <w:rsid w:val="00557109"/>
    <w:rsid w:val="00560113"/>
    <w:rsid w:val="00566859"/>
    <w:rsid w:val="00573101"/>
    <w:rsid w:val="00590B9F"/>
    <w:rsid w:val="005940C9"/>
    <w:rsid w:val="005952FE"/>
    <w:rsid w:val="005A0E55"/>
    <w:rsid w:val="005C2B00"/>
    <w:rsid w:val="005E0CA1"/>
    <w:rsid w:val="005E1C60"/>
    <w:rsid w:val="005E3132"/>
    <w:rsid w:val="005F3C96"/>
    <w:rsid w:val="00600910"/>
    <w:rsid w:val="00605BDF"/>
    <w:rsid w:val="00666C20"/>
    <w:rsid w:val="00672B71"/>
    <w:rsid w:val="00691AAE"/>
    <w:rsid w:val="00693F53"/>
    <w:rsid w:val="006A2A46"/>
    <w:rsid w:val="006B0480"/>
    <w:rsid w:val="006B0BD5"/>
    <w:rsid w:val="006C5FC8"/>
    <w:rsid w:val="006E7332"/>
    <w:rsid w:val="006F384A"/>
    <w:rsid w:val="007119C7"/>
    <w:rsid w:val="00723A49"/>
    <w:rsid w:val="0074755B"/>
    <w:rsid w:val="0075242A"/>
    <w:rsid w:val="007647FE"/>
    <w:rsid w:val="007724C1"/>
    <w:rsid w:val="00776A9F"/>
    <w:rsid w:val="00794179"/>
    <w:rsid w:val="007B171B"/>
    <w:rsid w:val="007B353B"/>
    <w:rsid w:val="007C2B05"/>
    <w:rsid w:val="007C3AAA"/>
    <w:rsid w:val="007D2C22"/>
    <w:rsid w:val="007E62AF"/>
    <w:rsid w:val="008038C6"/>
    <w:rsid w:val="00814654"/>
    <w:rsid w:val="00820809"/>
    <w:rsid w:val="00821136"/>
    <w:rsid w:val="00825412"/>
    <w:rsid w:val="0082645E"/>
    <w:rsid w:val="008455F1"/>
    <w:rsid w:val="00857377"/>
    <w:rsid w:val="00866E0F"/>
    <w:rsid w:val="008A373E"/>
    <w:rsid w:val="008B2DB4"/>
    <w:rsid w:val="008B3E04"/>
    <w:rsid w:val="008C78E4"/>
    <w:rsid w:val="008E0E96"/>
    <w:rsid w:val="008F2403"/>
    <w:rsid w:val="008F74E8"/>
    <w:rsid w:val="008F7DD1"/>
    <w:rsid w:val="009031E5"/>
    <w:rsid w:val="009133A4"/>
    <w:rsid w:val="0091724E"/>
    <w:rsid w:val="009172D4"/>
    <w:rsid w:val="00917369"/>
    <w:rsid w:val="009208A2"/>
    <w:rsid w:val="0092241E"/>
    <w:rsid w:val="00925B2B"/>
    <w:rsid w:val="00927A60"/>
    <w:rsid w:val="00927DAC"/>
    <w:rsid w:val="00937413"/>
    <w:rsid w:val="009404E9"/>
    <w:rsid w:val="00944A59"/>
    <w:rsid w:val="00945335"/>
    <w:rsid w:val="009648E7"/>
    <w:rsid w:val="00983298"/>
    <w:rsid w:val="009A56B0"/>
    <w:rsid w:val="009B0D11"/>
    <w:rsid w:val="009B3828"/>
    <w:rsid w:val="009B7D6F"/>
    <w:rsid w:val="009C068A"/>
    <w:rsid w:val="009C24A0"/>
    <w:rsid w:val="009C34C5"/>
    <w:rsid w:val="009D5A42"/>
    <w:rsid w:val="009D648A"/>
    <w:rsid w:val="009E78F2"/>
    <w:rsid w:val="009F0994"/>
    <w:rsid w:val="00A00DAA"/>
    <w:rsid w:val="00A2470E"/>
    <w:rsid w:val="00A360BF"/>
    <w:rsid w:val="00A40246"/>
    <w:rsid w:val="00A543A4"/>
    <w:rsid w:val="00A64A83"/>
    <w:rsid w:val="00A725DB"/>
    <w:rsid w:val="00A75A90"/>
    <w:rsid w:val="00A8198E"/>
    <w:rsid w:val="00A91C14"/>
    <w:rsid w:val="00A92C5D"/>
    <w:rsid w:val="00AA2D93"/>
    <w:rsid w:val="00AA3E25"/>
    <w:rsid w:val="00AE025F"/>
    <w:rsid w:val="00AF0904"/>
    <w:rsid w:val="00AF26F1"/>
    <w:rsid w:val="00B03EB0"/>
    <w:rsid w:val="00B069F0"/>
    <w:rsid w:val="00B344F8"/>
    <w:rsid w:val="00B37D6D"/>
    <w:rsid w:val="00B422D9"/>
    <w:rsid w:val="00B468E8"/>
    <w:rsid w:val="00B5404E"/>
    <w:rsid w:val="00B75728"/>
    <w:rsid w:val="00B7749B"/>
    <w:rsid w:val="00B82ECF"/>
    <w:rsid w:val="00B97293"/>
    <w:rsid w:val="00BA27EE"/>
    <w:rsid w:val="00BA36D0"/>
    <w:rsid w:val="00BB0DBE"/>
    <w:rsid w:val="00BB222E"/>
    <w:rsid w:val="00BC6CE7"/>
    <w:rsid w:val="00BD41B1"/>
    <w:rsid w:val="00BF3CFA"/>
    <w:rsid w:val="00C04C77"/>
    <w:rsid w:val="00C24334"/>
    <w:rsid w:val="00C26416"/>
    <w:rsid w:val="00C357E8"/>
    <w:rsid w:val="00C42366"/>
    <w:rsid w:val="00C42583"/>
    <w:rsid w:val="00C44623"/>
    <w:rsid w:val="00C46A11"/>
    <w:rsid w:val="00C667A0"/>
    <w:rsid w:val="00C96EAF"/>
    <w:rsid w:val="00CA2ED6"/>
    <w:rsid w:val="00CB5107"/>
    <w:rsid w:val="00CE5B39"/>
    <w:rsid w:val="00D075A3"/>
    <w:rsid w:val="00D1091E"/>
    <w:rsid w:val="00D20630"/>
    <w:rsid w:val="00D23DD0"/>
    <w:rsid w:val="00D34A87"/>
    <w:rsid w:val="00D35873"/>
    <w:rsid w:val="00D465B5"/>
    <w:rsid w:val="00D50C79"/>
    <w:rsid w:val="00D60C9E"/>
    <w:rsid w:val="00D6192F"/>
    <w:rsid w:val="00D629DB"/>
    <w:rsid w:val="00D66EB5"/>
    <w:rsid w:val="00D67F6A"/>
    <w:rsid w:val="00D8184B"/>
    <w:rsid w:val="00D85E7B"/>
    <w:rsid w:val="00D91CE8"/>
    <w:rsid w:val="00D9795F"/>
    <w:rsid w:val="00DA07D4"/>
    <w:rsid w:val="00DA2DFA"/>
    <w:rsid w:val="00DC5C2B"/>
    <w:rsid w:val="00DC614C"/>
    <w:rsid w:val="00DD1A2E"/>
    <w:rsid w:val="00DD1CB2"/>
    <w:rsid w:val="00DF4323"/>
    <w:rsid w:val="00E1074A"/>
    <w:rsid w:val="00E107E9"/>
    <w:rsid w:val="00E12A1D"/>
    <w:rsid w:val="00E1691E"/>
    <w:rsid w:val="00E27856"/>
    <w:rsid w:val="00E3083A"/>
    <w:rsid w:val="00E652BB"/>
    <w:rsid w:val="00E70504"/>
    <w:rsid w:val="00E80881"/>
    <w:rsid w:val="00E858AD"/>
    <w:rsid w:val="00E9452E"/>
    <w:rsid w:val="00E9481F"/>
    <w:rsid w:val="00EA0714"/>
    <w:rsid w:val="00EB34EA"/>
    <w:rsid w:val="00EB77D4"/>
    <w:rsid w:val="00EC66FA"/>
    <w:rsid w:val="00EC7C1B"/>
    <w:rsid w:val="00EE22C4"/>
    <w:rsid w:val="00F01099"/>
    <w:rsid w:val="00F06DE3"/>
    <w:rsid w:val="00F116F4"/>
    <w:rsid w:val="00F25F00"/>
    <w:rsid w:val="00F31A3A"/>
    <w:rsid w:val="00F335C4"/>
    <w:rsid w:val="00F46987"/>
    <w:rsid w:val="00F54E42"/>
    <w:rsid w:val="00F61CD7"/>
    <w:rsid w:val="00F741DF"/>
    <w:rsid w:val="00F94D35"/>
    <w:rsid w:val="00FA11BC"/>
    <w:rsid w:val="00FA37AE"/>
    <w:rsid w:val="00FB1F0E"/>
    <w:rsid w:val="00FD6E88"/>
    <w:rsid w:val="00FF33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DCE9FD-3822-4709-90CF-B9CCD42B8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9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Para 1,Dot pt,No Spacing1,List Paragraph Char Char Char,Indicator Text,List Paragraph1,Bullet Points,MAIN CONTENT,F5 List Paragraph,Bullet 1,List Paragraph12,Colorful List - Accent 11,Normal numbered,OBC Bullet,List Paragraph2,L"/>
    <w:basedOn w:val="Normal"/>
    <w:link w:val="ListParagraphChar"/>
    <w:uiPriority w:val="34"/>
    <w:qFormat/>
    <w:rsid w:val="009F0994"/>
    <w:pPr>
      <w:ind w:left="720"/>
      <w:contextualSpacing/>
    </w:pPr>
  </w:style>
  <w:style w:type="character" w:styleId="Hyperlink">
    <w:name w:val="Hyperlink"/>
    <w:basedOn w:val="DefaultParagraphFont"/>
    <w:uiPriority w:val="99"/>
    <w:unhideWhenUsed/>
    <w:rsid w:val="009F0994"/>
    <w:rPr>
      <w:color w:val="0563C1" w:themeColor="hyperlink"/>
      <w:u w:val="single"/>
    </w:rPr>
  </w:style>
  <w:style w:type="paragraph" w:styleId="BalloonText">
    <w:name w:val="Balloon Text"/>
    <w:basedOn w:val="Normal"/>
    <w:link w:val="BalloonTextChar"/>
    <w:uiPriority w:val="99"/>
    <w:semiHidden/>
    <w:unhideWhenUsed/>
    <w:rsid w:val="004C4A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4AEF"/>
    <w:rPr>
      <w:rFonts w:ascii="Segoe UI" w:hAnsi="Segoe UI" w:cs="Segoe UI"/>
      <w:sz w:val="18"/>
      <w:szCs w:val="18"/>
    </w:rPr>
  </w:style>
  <w:style w:type="paragraph" w:styleId="BodyText">
    <w:name w:val="Body Text"/>
    <w:aliases w:val="heading_txt,bodytxy2,One Page Summary,CV Body Text,Body Text - Level 2,contents,body text"/>
    <w:basedOn w:val="Normal"/>
    <w:link w:val="BodyTextChar"/>
    <w:rsid w:val="00DA07D4"/>
    <w:pPr>
      <w:spacing w:line="360" w:lineRule="auto"/>
      <w:jc w:val="both"/>
    </w:pPr>
    <w:rPr>
      <w:rFonts w:ascii="Arial" w:eastAsia="Times New Roman" w:hAnsi="Arial"/>
      <w:szCs w:val="20"/>
    </w:rPr>
  </w:style>
  <w:style w:type="character" w:customStyle="1" w:styleId="BodyTextChar">
    <w:name w:val="Body Text Char"/>
    <w:aliases w:val="heading_txt Char,bodytxy2 Char,One Page Summary Char,CV Body Text Char,Body Text - Level 2 Char,contents Char,body text Char"/>
    <w:basedOn w:val="DefaultParagraphFont"/>
    <w:link w:val="BodyText"/>
    <w:rsid w:val="00DA07D4"/>
    <w:rPr>
      <w:rFonts w:ascii="Arial" w:eastAsia="Times New Roman" w:hAnsi="Arial" w:cs="Times New Roman"/>
      <w:szCs w:val="20"/>
    </w:rPr>
  </w:style>
  <w:style w:type="paragraph" w:styleId="Revision">
    <w:name w:val="Revision"/>
    <w:hidden/>
    <w:uiPriority w:val="99"/>
    <w:semiHidden/>
    <w:rsid w:val="00D629DB"/>
    <w:pPr>
      <w:spacing w:after="0" w:line="240" w:lineRule="auto"/>
    </w:pPr>
    <w:rPr>
      <w:rFonts w:ascii="Calibri" w:hAnsi="Calibri" w:cs="Times New Roman"/>
    </w:rPr>
  </w:style>
  <w:style w:type="character" w:styleId="FollowedHyperlink">
    <w:name w:val="FollowedHyperlink"/>
    <w:basedOn w:val="DefaultParagraphFont"/>
    <w:uiPriority w:val="99"/>
    <w:semiHidden/>
    <w:unhideWhenUsed/>
    <w:rsid w:val="00E652BB"/>
    <w:rPr>
      <w:color w:val="954F72" w:themeColor="followedHyperlink"/>
      <w:u w:val="single"/>
    </w:rPr>
  </w:style>
  <w:style w:type="character" w:styleId="CommentReference">
    <w:name w:val="annotation reference"/>
    <w:basedOn w:val="DefaultParagraphFont"/>
    <w:uiPriority w:val="99"/>
    <w:semiHidden/>
    <w:unhideWhenUsed/>
    <w:rsid w:val="00590B9F"/>
    <w:rPr>
      <w:sz w:val="16"/>
      <w:szCs w:val="16"/>
    </w:rPr>
  </w:style>
  <w:style w:type="paragraph" w:styleId="CommentText">
    <w:name w:val="annotation text"/>
    <w:basedOn w:val="Normal"/>
    <w:link w:val="CommentTextChar"/>
    <w:uiPriority w:val="99"/>
    <w:semiHidden/>
    <w:unhideWhenUsed/>
    <w:rsid w:val="00590B9F"/>
    <w:rPr>
      <w:sz w:val="20"/>
      <w:szCs w:val="20"/>
    </w:rPr>
  </w:style>
  <w:style w:type="character" w:customStyle="1" w:styleId="CommentTextChar">
    <w:name w:val="Comment Text Char"/>
    <w:basedOn w:val="DefaultParagraphFont"/>
    <w:link w:val="CommentText"/>
    <w:uiPriority w:val="99"/>
    <w:semiHidden/>
    <w:rsid w:val="00590B9F"/>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90B9F"/>
    <w:rPr>
      <w:b/>
      <w:bCs/>
    </w:rPr>
  </w:style>
  <w:style w:type="character" w:customStyle="1" w:styleId="CommentSubjectChar">
    <w:name w:val="Comment Subject Char"/>
    <w:basedOn w:val="CommentTextChar"/>
    <w:link w:val="CommentSubject"/>
    <w:uiPriority w:val="99"/>
    <w:semiHidden/>
    <w:rsid w:val="00590B9F"/>
    <w:rPr>
      <w:rFonts w:ascii="Calibri" w:hAnsi="Calibri" w:cs="Times New Roman"/>
      <w:b/>
      <w:bCs/>
      <w:sz w:val="20"/>
      <w:szCs w:val="20"/>
    </w:rPr>
  </w:style>
  <w:style w:type="paragraph" w:customStyle="1" w:styleId="DefaultParagraphFontChar">
    <w:name w:val="Default Paragraph Font Char"/>
    <w:aliases w:val="Default Paragraph Font Para Char Char Char Char Char Char Char Char Char Char Char Char Char Char Char Char Char,Default Paragraph Font Para Char Char Char Char Char Char Char Char Char Char Char Char Char Char"/>
    <w:basedOn w:val="Normal"/>
    <w:autoRedefine/>
    <w:rsid w:val="002F697C"/>
    <w:pPr>
      <w:spacing w:after="160" w:line="240" w:lineRule="exact"/>
    </w:pPr>
    <w:rPr>
      <w:rFonts w:ascii="Arial" w:eastAsia="Times New Roman" w:hAnsi="Arial"/>
      <w:szCs w:val="20"/>
      <w:lang w:val="en-US"/>
    </w:r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Bullet 1 Char,List Paragraph12 Char,L Char"/>
    <w:basedOn w:val="DefaultParagraphFont"/>
    <w:link w:val="ListParagraph"/>
    <w:uiPriority w:val="34"/>
    <w:locked/>
    <w:rsid w:val="00384D84"/>
    <w:rPr>
      <w:rFonts w:ascii="Calibri" w:hAnsi="Calibri" w:cs="Times New Roman"/>
    </w:rPr>
  </w:style>
  <w:style w:type="paragraph" w:styleId="NormalWeb">
    <w:name w:val="Normal (Web)"/>
    <w:basedOn w:val="Normal"/>
    <w:uiPriority w:val="99"/>
    <w:unhideWhenUsed/>
    <w:rsid w:val="00C24334"/>
    <w:pPr>
      <w:spacing w:before="100" w:beforeAutospacing="1" w:after="100" w:afterAutospacing="1"/>
    </w:pPr>
    <w:rPr>
      <w:rFonts w:ascii="Times New Roman" w:hAnsi="Times New Roman"/>
      <w:sz w:val="24"/>
      <w:szCs w:val="24"/>
      <w:lang w:eastAsia="en-GB"/>
    </w:rPr>
  </w:style>
  <w:style w:type="paragraph" w:styleId="Header">
    <w:name w:val="header"/>
    <w:basedOn w:val="Normal"/>
    <w:link w:val="HeaderChar"/>
    <w:uiPriority w:val="99"/>
    <w:unhideWhenUsed/>
    <w:rsid w:val="00F335C4"/>
    <w:pPr>
      <w:tabs>
        <w:tab w:val="center" w:pos="4513"/>
        <w:tab w:val="right" w:pos="9026"/>
      </w:tabs>
    </w:pPr>
  </w:style>
  <w:style w:type="character" w:customStyle="1" w:styleId="HeaderChar">
    <w:name w:val="Header Char"/>
    <w:basedOn w:val="DefaultParagraphFont"/>
    <w:link w:val="Header"/>
    <w:uiPriority w:val="99"/>
    <w:rsid w:val="00F335C4"/>
    <w:rPr>
      <w:rFonts w:ascii="Calibri" w:hAnsi="Calibri" w:cs="Times New Roman"/>
    </w:rPr>
  </w:style>
  <w:style w:type="paragraph" w:styleId="Footer">
    <w:name w:val="footer"/>
    <w:basedOn w:val="Normal"/>
    <w:link w:val="FooterChar"/>
    <w:uiPriority w:val="99"/>
    <w:unhideWhenUsed/>
    <w:rsid w:val="00F335C4"/>
    <w:pPr>
      <w:tabs>
        <w:tab w:val="center" w:pos="4513"/>
        <w:tab w:val="right" w:pos="9026"/>
      </w:tabs>
    </w:pPr>
  </w:style>
  <w:style w:type="character" w:customStyle="1" w:styleId="FooterChar">
    <w:name w:val="Footer Char"/>
    <w:basedOn w:val="DefaultParagraphFont"/>
    <w:link w:val="Footer"/>
    <w:uiPriority w:val="99"/>
    <w:rsid w:val="00F335C4"/>
    <w:rPr>
      <w:rFonts w:ascii="Calibri" w:hAnsi="Calibri" w:cs="Times New Roman"/>
    </w:rPr>
  </w:style>
  <w:style w:type="paragraph" w:customStyle="1" w:styleId="CharCharCharChar">
    <w:name w:val="Char Char Char Char"/>
    <w:basedOn w:val="Normal"/>
    <w:rsid w:val="002C691E"/>
    <w:rPr>
      <w:rFonts w:ascii="Times New Roman" w:eastAsia="Times New Roman" w:hAnsi="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339340">
      <w:bodyDiv w:val="1"/>
      <w:marLeft w:val="0"/>
      <w:marRight w:val="0"/>
      <w:marTop w:val="0"/>
      <w:marBottom w:val="0"/>
      <w:divBdr>
        <w:top w:val="none" w:sz="0" w:space="0" w:color="auto"/>
        <w:left w:val="none" w:sz="0" w:space="0" w:color="auto"/>
        <w:bottom w:val="none" w:sz="0" w:space="0" w:color="auto"/>
        <w:right w:val="none" w:sz="0" w:space="0" w:color="auto"/>
      </w:divBdr>
    </w:div>
    <w:div w:id="296377854">
      <w:bodyDiv w:val="1"/>
      <w:marLeft w:val="0"/>
      <w:marRight w:val="0"/>
      <w:marTop w:val="0"/>
      <w:marBottom w:val="0"/>
      <w:divBdr>
        <w:top w:val="none" w:sz="0" w:space="0" w:color="auto"/>
        <w:left w:val="none" w:sz="0" w:space="0" w:color="auto"/>
        <w:bottom w:val="none" w:sz="0" w:space="0" w:color="auto"/>
        <w:right w:val="none" w:sz="0" w:space="0" w:color="auto"/>
      </w:divBdr>
    </w:div>
    <w:div w:id="723987620">
      <w:bodyDiv w:val="1"/>
      <w:marLeft w:val="0"/>
      <w:marRight w:val="0"/>
      <w:marTop w:val="0"/>
      <w:marBottom w:val="0"/>
      <w:divBdr>
        <w:top w:val="none" w:sz="0" w:space="0" w:color="auto"/>
        <w:left w:val="none" w:sz="0" w:space="0" w:color="auto"/>
        <w:bottom w:val="none" w:sz="0" w:space="0" w:color="auto"/>
        <w:right w:val="none" w:sz="0" w:space="0" w:color="auto"/>
      </w:divBdr>
    </w:div>
    <w:div w:id="890381285">
      <w:bodyDiv w:val="1"/>
      <w:marLeft w:val="0"/>
      <w:marRight w:val="0"/>
      <w:marTop w:val="0"/>
      <w:marBottom w:val="0"/>
      <w:divBdr>
        <w:top w:val="none" w:sz="0" w:space="0" w:color="auto"/>
        <w:left w:val="none" w:sz="0" w:space="0" w:color="auto"/>
        <w:bottom w:val="none" w:sz="0" w:space="0" w:color="auto"/>
        <w:right w:val="none" w:sz="0" w:space="0" w:color="auto"/>
      </w:divBdr>
    </w:div>
    <w:div w:id="1147551102">
      <w:bodyDiv w:val="1"/>
      <w:marLeft w:val="0"/>
      <w:marRight w:val="0"/>
      <w:marTop w:val="0"/>
      <w:marBottom w:val="0"/>
      <w:divBdr>
        <w:top w:val="none" w:sz="0" w:space="0" w:color="auto"/>
        <w:left w:val="none" w:sz="0" w:space="0" w:color="auto"/>
        <w:bottom w:val="none" w:sz="0" w:space="0" w:color="auto"/>
        <w:right w:val="none" w:sz="0" w:space="0" w:color="auto"/>
      </w:divBdr>
    </w:div>
    <w:div w:id="1450198547">
      <w:bodyDiv w:val="1"/>
      <w:marLeft w:val="0"/>
      <w:marRight w:val="0"/>
      <w:marTop w:val="0"/>
      <w:marBottom w:val="0"/>
      <w:divBdr>
        <w:top w:val="none" w:sz="0" w:space="0" w:color="auto"/>
        <w:left w:val="none" w:sz="0" w:space="0" w:color="auto"/>
        <w:bottom w:val="none" w:sz="0" w:space="0" w:color="auto"/>
        <w:right w:val="none" w:sz="0" w:space="0" w:color="auto"/>
      </w:divBdr>
    </w:div>
    <w:div w:id="1794405163">
      <w:bodyDiv w:val="1"/>
      <w:marLeft w:val="0"/>
      <w:marRight w:val="0"/>
      <w:marTop w:val="0"/>
      <w:marBottom w:val="0"/>
      <w:divBdr>
        <w:top w:val="none" w:sz="0" w:space="0" w:color="auto"/>
        <w:left w:val="none" w:sz="0" w:space="0" w:color="auto"/>
        <w:bottom w:val="none" w:sz="0" w:space="0" w:color="auto"/>
        <w:right w:val="none" w:sz="0" w:space="0" w:color="auto"/>
      </w:divBdr>
    </w:div>
    <w:div w:id="1849589518">
      <w:bodyDiv w:val="1"/>
      <w:marLeft w:val="0"/>
      <w:marRight w:val="0"/>
      <w:marTop w:val="0"/>
      <w:marBottom w:val="0"/>
      <w:divBdr>
        <w:top w:val="none" w:sz="0" w:space="0" w:color="auto"/>
        <w:left w:val="none" w:sz="0" w:space="0" w:color="auto"/>
        <w:bottom w:val="none" w:sz="0" w:space="0" w:color="auto"/>
        <w:right w:val="none" w:sz="0" w:space="0" w:color="auto"/>
      </w:divBdr>
    </w:div>
    <w:div w:id="188405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uk/hmrc" TargetMode="External"/><Relationship Id="rId5" Type="http://schemas.openxmlformats.org/officeDocument/2006/relationships/webSettings" Target="webSettings.xml"/><Relationship Id="rId10" Type="http://schemas.openxmlformats.org/officeDocument/2006/relationships/hyperlink" Target="mailto:roger.kasper@hmrc.gsi.gov.uk" TargetMode="External"/><Relationship Id="rId4" Type="http://schemas.openxmlformats.org/officeDocument/2006/relationships/settings" Target="settings.xml"/><Relationship Id="rId9" Type="http://schemas.openxmlformats.org/officeDocument/2006/relationships/hyperlink" Target="https://www.gov.uk/report-an-unregistered-trader-or-busin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4DE62-516E-46B6-BB6F-393783865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624</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4173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Cassidy</dc:creator>
  <cp:keywords/>
  <dc:description/>
  <cp:lastModifiedBy>Kasper, Roger (HMRC Comms Press Office)</cp:lastModifiedBy>
  <cp:revision>2</cp:revision>
  <cp:lastPrinted>2018-07-18T12:28:00Z</cp:lastPrinted>
  <dcterms:created xsi:type="dcterms:W3CDTF">2019-07-26T12:57:00Z</dcterms:created>
  <dcterms:modified xsi:type="dcterms:W3CDTF">2019-07-26T12:57:00Z</dcterms:modified>
</cp:coreProperties>
</file>