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Layout w:type="fixed"/>
        <w:tblCellMar>
          <w:left w:w="0" w:type="dxa"/>
          <w:right w:w="0" w:type="dxa"/>
        </w:tblCellMar>
        <w:tblLook w:val="04A0" w:firstRow="1" w:lastRow="0" w:firstColumn="1" w:lastColumn="0" w:noHBand="0" w:noVBand="1"/>
      </w:tblPr>
      <w:tblGrid>
        <w:gridCol w:w="3022"/>
        <w:gridCol w:w="3022"/>
      </w:tblGrid>
      <w:tr w:rsidR="003430DC" w:rsidRPr="00293AE2" w:rsidTr="00155FC3">
        <w:trPr>
          <w:trHeight w:hRule="exact" w:val="433"/>
        </w:trPr>
        <w:tc>
          <w:tcPr>
            <w:tcW w:w="3022" w:type="dxa"/>
            <w:tcBorders>
              <w:top w:val="nil"/>
              <w:left w:val="nil"/>
              <w:bottom w:val="nil"/>
              <w:right w:val="nil"/>
            </w:tcBorders>
            <w:vAlign w:val="bottom"/>
          </w:tcPr>
          <w:p w:rsidR="003430DC" w:rsidRPr="00293AE2" w:rsidRDefault="003430DC" w:rsidP="00155FC3">
            <w:pPr>
              <w:spacing w:line="220" w:lineRule="atLeast"/>
              <w:rPr>
                <w:rFonts w:cstheme="majorHAnsi"/>
                <w:b/>
                <w:sz w:val="20"/>
                <w:szCs w:val="18"/>
              </w:rPr>
            </w:pPr>
            <w:bookmarkStart w:id="0" w:name="_GoBack"/>
            <w:bookmarkEnd w:id="0"/>
          </w:p>
        </w:tc>
        <w:tc>
          <w:tcPr>
            <w:tcW w:w="3022" w:type="dxa"/>
            <w:tcBorders>
              <w:top w:val="nil"/>
              <w:left w:val="nil"/>
              <w:bottom w:val="nil"/>
              <w:right w:val="nil"/>
            </w:tcBorders>
            <w:vAlign w:val="bottom"/>
          </w:tcPr>
          <w:p w:rsidR="003430DC" w:rsidRPr="00293AE2" w:rsidRDefault="003430DC" w:rsidP="00155FC3">
            <w:pPr>
              <w:spacing w:line="220" w:lineRule="atLeast"/>
              <w:rPr>
                <w:rFonts w:cstheme="majorHAnsi"/>
                <w:b/>
                <w:sz w:val="20"/>
                <w:szCs w:val="18"/>
              </w:rPr>
            </w:pPr>
          </w:p>
        </w:tc>
      </w:tr>
      <w:tr w:rsidR="003430DC" w:rsidRPr="00C90AB0" w:rsidTr="00155FC3">
        <w:trPr>
          <w:trHeight w:hRule="exact" w:val="1020"/>
        </w:trPr>
        <w:tc>
          <w:tcPr>
            <w:tcW w:w="3022" w:type="dxa"/>
            <w:tcBorders>
              <w:top w:val="nil"/>
              <w:left w:val="nil"/>
              <w:bottom w:val="nil"/>
              <w:right w:val="nil"/>
            </w:tcBorders>
          </w:tcPr>
          <w:p w:rsidR="003430DC" w:rsidRPr="00AF15B0" w:rsidRDefault="003430DC" w:rsidP="00155FC3">
            <w:pPr>
              <w:spacing w:line="220" w:lineRule="atLeast"/>
              <w:rPr>
                <w:rFonts w:cstheme="majorHAnsi"/>
                <w:sz w:val="20"/>
                <w:szCs w:val="18"/>
              </w:rPr>
            </w:pPr>
            <w:bookmarkStart w:id="1" w:name="Adressaten"/>
            <w:bookmarkEnd w:id="1"/>
          </w:p>
        </w:tc>
        <w:tc>
          <w:tcPr>
            <w:tcW w:w="3022" w:type="dxa"/>
            <w:tcBorders>
              <w:top w:val="nil"/>
              <w:left w:val="nil"/>
              <w:bottom w:val="nil"/>
              <w:right w:val="nil"/>
            </w:tcBorders>
          </w:tcPr>
          <w:p w:rsidR="003430DC" w:rsidRPr="00AF15B0" w:rsidRDefault="003430DC" w:rsidP="00155FC3">
            <w:pPr>
              <w:spacing w:line="220" w:lineRule="atLeast"/>
              <w:rPr>
                <w:rFonts w:cstheme="majorHAnsi"/>
                <w:sz w:val="20"/>
                <w:szCs w:val="18"/>
              </w:rPr>
            </w:pPr>
          </w:p>
        </w:tc>
      </w:tr>
    </w:tbl>
    <w:p w:rsidR="00E13958" w:rsidRDefault="00D41826" w:rsidP="00655CDD">
      <w:pPr>
        <w:pStyle w:val="Rubrik1"/>
      </w:pPr>
      <w:bookmarkStart w:id="2" w:name="Rubriken"/>
      <w:bookmarkEnd w:id="2"/>
      <w:r>
        <w:t xml:space="preserve">Konjunkturärende med planeringsförutsättningar för budget 2015 </w:t>
      </w:r>
      <w:r w:rsidR="00101D31">
        <w:t>med inriktning för 2016 och 2017</w:t>
      </w:r>
    </w:p>
    <w:p w:rsidR="000F5B55" w:rsidRDefault="000F5B55" w:rsidP="000F1527">
      <w:pPr>
        <w:spacing w:line="0" w:lineRule="auto"/>
      </w:pPr>
    </w:p>
    <w:p w:rsidR="00D41826" w:rsidRDefault="00D41826" w:rsidP="00D41826">
      <w:pPr>
        <w:pStyle w:val="Rubrik2"/>
      </w:pPr>
      <w:r>
        <w:t>Stadsledningskontorets förslag till beslut</w:t>
      </w:r>
    </w:p>
    <w:p w:rsidR="00D41826" w:rsidRPr="00D41826" w:rsidRDefault="00D41826" w:rsidP="00D41826"/>
    <w:p w:rsidR="00D41826" w:rsidRPr="00765AB9" w:rsidRDefault="00D41826" w:rsidP="00D41826">
      <w:r w:rsidRPr="00765AB9">
        <w:t>Kommunstyrelsens ekonomiutskott beslutar följande.</w:t>
      </w:r>
    </w:p>
    <w:p w:rsidR="00101D31" w:rsidRDefault="00D41826" w:rsidP="00D41826">
      <w:pPr>
        <w:rPr>
          <w:rStyle w:val="selected"/>
        </w:rPr>
      </w:pPr>
      <w:r w:rsidRPr="00765AB9">
        <w:t>Lägesrapport om konjunkturen i Stockholm med planeringsföru</w:t>
      </w:r>
      <w:r w:rsidRPr="00765AB9">
        <w:t>t</w:t>
      </w:r>
      <w:r w:rsidR="00B11664">
        <w:t>sättningar för budget 2015 med inriktning 2016 och 2017</w:t>
      </w:r>
      <w:r w:rsidRPr="00765AB9">
        <w:t xml:space="preserve"> läggs till handlingarna.</w:t>
      </w:r>
    </w:p>
    <w:p w:rsidR="00101D31" w:rsidRDefault="00101D31" w:rsidP="00316898">
      <w:pPr>
        <w:rPr>
          <w:lang w:eastAsia="sv-SE"/>
        </w:rPr>
      </w:pPr>
    </w:p>
    <w:p w:rsidR="00101D31" w:rsidRDefault="00101D31" w:rsidP="00316898">
      <w:pPr>
        <w:rPr>
          <w:lang w:eastAsia="sv-SE"/>
        </w:rPr>
      </w:pPr>
    </w:p>
    <w:p w:rsidR="00101D31" w:rsidRDefault="00101D31" w:rsidP="00316898">
      <w:pPr>
        <w:rPr>
          <w:lang w:eastAsia="sv-SE"/>
        </w:rPr>
      </w:pPr>
    </w:p>
    <w:p w:rsidR="00101D31" w:rsidRDefault="00101D31" w:rsidP="00316898">
      <w:pPr>
        <w:rPr>
          <w:lang w:eastAsia="sv-SE"/>
        </w:rPr>
      </w:pPr>
    </w:p>
    <w:p w:rsidR="00D41826" w:rsidRPr="006136CF" w:rsidRDefault="00D41826" w:rsidP="009217DB">
      <w:pPr>
        <w:pStyle w:val="Underskrift"/>
      </w:pPr>
      <w:r>
        <w:t>Irene Lundquist Svenonius</w:t>
      </w:r>
      <w:r w:rsidRPr="006136CF">
        <w:tab/>
      </w:r>
      <w:r>
        <w:t>Gunnar Björkman</w:t>
      </w:r>
      <w:r w:rsidRPr="006136CF">
        <w:br/>
      </w:r>
      <w:r>
        <w:t>Stadsdirektör</w:t>
      </w:r>
      <w:r w:rsidRPr="006136CF">
        <w:tab/>
      </w:r>
      <w:r>
        <w:t xml:space="preserve">Biträdande stadsdirektör </w:t>
      </w:r>
    </w:p>
    <w:p w:rsidR="00101D31" w:rsidRPr="006136CF" w:rsidRDefault="00101D31" w:rsidP="009217DB">
      <w:pPr>
        <w:pStyle w:val="Underskrift"/>
      </w:pPr>
    </w:p>
    <w:p w:rsidR="00101D31" w:rsidRDefault="00101D31">
      <w:pPr>
        <w:spacing w:line="0" w:lineRule="auto"/>
        <w:rPr>
          <w:lang w:eastAsia="sv-SE"/>
        </w:rPr>
      </w:pPr>
      <w:r>
        <w:rPr>
          <w:lang w:eastAsia="sv-SE"/>
        </w:rPr>
        <w:br w:type="page"/>
      </w:r>
    </w:p>
    <w:p w:rsidR="00F4376A" w:rsidRDefault="00F4376A" w:rsidP="00F4376A">
      <w:pPr>
        <w:pStyle w:val="Rubrik2"/>
      </w:pPr>
      <w:r>
        <w:lastRenderedPageBreak/>
        <w:t>Sammanfattning</w:t>
      </w:r>
    </w:p>
    <w:p w:rsidR="00854884" w:rsidRDefault="00854884" w:rsidP="00854884">
      <w:r w:rsidRPr="002D660B">
        <w:t>Under 201</w:t>
      </w:r>
      <w:r>
        <w:t>3</w:t>
      </w:r>
      <w:r w:rsidRPr="002D660B">
        <w:t xml:space="preserve"> </w:t>
      </w:r>
      <w:r>
        <w:t xml:space="preserve">utvecklades </w:t>
      </w:r>
      <w:r w:rsidRPr="002D660B">
        <w:t xml:space="preserve">den globala ekonomin </w:t>
      </w:r>
      <w:r>
        <w:t xml:space="preserve">relativt svagt, men nu finns tecken på en återhämtning. Även den svenska ekonomin återhämtar sig successivt. År 2013 uppgick Sveriges BNP-tillväxt till 1,5 procent. </w:t>
      </w:r>
      <w:r w:rsidRPr="002D660B">
        <w:t xml:space="preserve">Tillväxten </w:t>
      </w:r>
      <w:r>
        <w:t xml:space="preserve">förstärks nu </w:t>
      </w:r>
      <w:r w:rsidRPr="002D660B">
        <w:t xml:space="preserve">och väntas uppgå till cirka </w:t>
      </w:r>
      <w:r>
        <w:t>2,6 </w:t>
      </w:r>
      <w:r w:rsidRPr="002D660B">
        <w:t>procent</w:t>
      </w:r>
      <w:r w:rsidRPr="00DF0D93">
        <w:t xml:space="preserve"> </w:t>
      </w:r>
      <w:r w:rsidRPr="002D660B">
        <w:t>201</w:t>
      </w:r>
      <w:r>
        <w:t>4 och drygt 3 procent under 2015</w:t>
      </w:r>
      <w:r w:rsidRPr="002D660B">
        <w:t>. Arbetslöshet</w:t>
      </w:r>
      <w:r>
        <w:t>en minskar något redan i år, men det dröjer till 2017 innan arbetsmar</w:t>
      </w:r>
      <w:r>
        <w:t>k</w:t>
      </w:r>
      <w:r>
        <w:t>naden är i konjunkturell balans</w:t>
      </w:r>
      <w:r w:rsidRPr="002D660B">
        <w:t xml:space="preserve">. </w:t>
      </w:r>
      <w:r>
        <w:t>Konjunkturen i Stockholm håller på att förstärkas, vilket bland annat märks i Handelskammarens ko</w:t>
      </w:r>
      <w:r>
        <w:t>n</w:t>
      </w:r>
      <w:r>
        <w:t>junkturbarometer som nu ligger klart över det historiska genomsni</w:t>
      </w:r>
      <w:r>
        <w:t>t</w:t>
      </w:r>
      <w:r>
        <w:t xml:space="preserve">tet. </w:t>
      </w:r>
      <w:r w:rsidRPr="002D660B">
        <w:t>Sysselsättningen fortsätter att växa</w:t>
      </w:r>
      <w:r>
        <w:t xml:space="preserve"> starkt och andelen sysse</w:t>
      </w:r>
      <w:r>
        <w:t>l</w:t>
      </w:r>
      <w:r>
        <w:t xml:space="preserve">satta i befolkningen 15–74 år visar på en tydligt uppåtgående trend. Även arbetslösheten väntas börja minska under 2014, enligt </w:t>
      </w:r>
      <w:r w:rsidR="0023159D">
        <w:t>A</w:t>
      </w:r>
      <w:r>
        <w:t>rbet</w:t>
      </w:r>
      <w:r>
        <w:t>s</w:t>
      </w:r>
      <w:r>
        <w:t>förmedlingens prognos.</w:t>
      </w:r>
    </w:p>
    <w:p w:rsidR="00854884" w:rsidRPr="002D660B" w:rsidRDefault="00854884" w:rsidP="00854884"/>
    <w:p w:rsidR="00854884" w:rsidRPr="002D660B" w:rsidRDefault="00854884" w:rsidP="00854884">
      <w:r w:rsidRPr="002D660B">
        <w:t xml:space="preserve">I vårpropositionen </w:t>
      </w:r>
      <w:r>
        <w:t>tecknar</w:t>
      </w:r>
      <w:r w:rsidRPr="002D660B">
        <w:t xml:space="preserve"> regeringen </w:t>
      </w:r>
      <w:r>
        <w:t>en ljus bild av svensk ek</w:t>
      </w:r>
      <w:r>
        <w:t>o</w:t>
      </w:r>
      <w:r>
        <w:t xml:space="preserve">nomi, men understryker att det fortfarande råder en stor osäkerhet om den framtida utvecklingen. </w:t>
      </w:r>
      <w:r w:rsidRPr="004D031D">
        <w:t>Regeringens förslag till åtgärder riktar sig framför allt till skolan, men även till vården och för att stimulera företagandet. Satsningen innehåller bland annat fler u</w:t>
      </w:r>
      <w:r w:rsidRPr="004D031D">
        <w:t>t</w:t>
      </w:r>
      <w:r w:rsidRPr="004D031D">
        <w:t>bildningsplatser för</w:t>
      </w:r>
      <w:r>
        <w:t xml:space="preserve"> både förskollärare och lärare och ett </w:t>
      </w:r>
      <w:r w:rsidRPr="004D031D">
        <w:t>l</w:t>
      </w:r>
      <w:r>
        <w:t>ågstad</w:t>
      </w:r>
      <w:r>
        <w:t>i</w:t>
      </w:r>
      <w:r>
        <w:t>elyft för att höja kva</w:t>
      </w:r>
      <w:r w:rsidRPr="004D031D">
        <w:t>liteten i undervisningen</w:t>
      </w:r>
      <w:r>
        <w:t>.</w:t>
      </w:r>
    </w:p>
    <w:p w:rsidR="00854884" w:rsidRPr="002D660B" w:rsidRDefault="00854884" w:rsidP="00854884"/>
    <w:p w:rsidR="00854884" w:rsidRPr="002D660B" w:rsidRDefault="00854884" w:rsidP="00854884">
      <w:r w:rsidRPr="002D660B">
        <w:t>Stockholms starka befolkningsutveckling fortsätter. Vid årsskiftet uppgick stadens befolkning till 8</w:t>
      </w:r>
      <w:r>
        <w:t>97</w:t>
      </w:r>
      <w:r w:rsidRPr="002D660B">
        <w:t xml:space="preserve"> </w:t>
      </w:r>
      <w:r>
        <w:t>700</w:t>
      </w:r>
      <w:r w:rsidRPr="002D660B">
        <w:t xml:space="preserve"> invånare</w:t>
      </w:r>
      <w:r>
        <w:t xml:space="preserve"> och i februari pa</w:t>
      </w:r>
      <w:r>
        <w:t>s</w:t>
      </w:r>
      <w:r>
        <w:t>serades 900 000 invånare</w:t>
      </w:r>
      <w:r w:rsidRPr="002D660B">
        <w:t>. Den största ökningen sker av antal barn i lägre grundskoleålder</w:t>
      </w:r>
      <w:r>
        <w:t xml:space="preserve"> och det är en utveckling som kommer att for</w:t>
      </w:r>
      <w:r>
        <w:t>t</w:t>
      </w:r>
      <w:r>
        <w:t>sätta den närmaste 10</w:t>
      </w:r>
      <w:r w:rsidRPr="002D660B">
        <w:t>–</w:t>
      </w:r>
      <w:r>
        <w:t>årsperioden</w:t>
      </w:r>
      <w:r w:rsidRPr="002D660B">
        <w:t>. En stor utbyggnad av grundsk</w:t>
      </w:r>
      <w:r w:rsidRPr="002D660B">
        <w:t>o</w:t>
      </w:r>
      <w:r w:rsidRPr="002D660B">
        <w:t>lan är nödvändig. Ett särskilt projekt ”</w:t>
      </w:r>
      <w:r>
        <w:t>S</w:t>
      </w:r>
      <w:r w:rsidRPr="002D660B">
        <w:t>kolplane</w:t>
      </w:r>
      <w:r>
        <w:t>ring för ett väx</w:t>
      </w:r>
      <w:r w:rsidRPr="002D660B">
        <w:t>ande Stockholm” pågår för att säkra utbyggnaden av grundskolekap</w:t>
      </w:r>
      <w:r w:rsidRPr="002D660B">
        <w:t>a</w:t>
      </w:r>
      <w:r>
        <w:t>citeten i sta</w:t>
      </w:r>
      <w:r w:rsidRPr="002D660B">
        <w:t>den.</w:t>
      </w:r>
    </w:p>
    <w:p w:rsidR="00854884" w:rsidRPr="002D660B" w:rsidRDefault="00854884" w:rsidP="00854884"/>
    <w:p w:rsidR="00854884" w:rsidRDefault="00854884" w:rsidP="00854884">
      <w:r w:rsidRPr="002D660B">
        <w:t xml:space="preserve">Enligt befolkningsprognosen förväntas antalet 65–79-åringar </w:t>
      </w:r>
      <w:r>
        <w:t xml:space="preserve">öka med 28 procent </w:t>
      </w:r>
      <w:r w:rsidRPr="002D660B">
        <w:t>under perioden 201</w:t>
      </w:r>
      <w:r>
        <w:t>3</w:t>
      </w:r>
      <w:r w:rsidRPr="002D660B">
        <w:t>–202</w:t>
      </w:r>
      <w:r w:rsidR="00D23BC6">
        <w:t>3</w:t>
      </w:r>
      <w:r>
        <w:t>. S</w:t>
      </w:r>
      <w:r w:rsidRPr="002D660B">
        <w:t xml:space="preserve">amtidigt </w:t>
      </w:r>
      <w:r>
        <w:t xml:space="preserve">minskar </w:t>
      </w:r>
      <w:r w:rsidRPr="002D660B">
        <w:t>ant</w:t>
      </w:r>
      <w:r w:rsidRPr="002D660B">
        <w:t>a</w:t>
      </w:r>
      <w:r w:rsidRPr="002D660B">
        <w:t xml:space="preserve">let personer som är 80 år och äldre </w:t>
      </w:r>
      <w:r>
        <w:t>de närmaste åren för att därefter öka relativt svagt.</w:t>
      </w:r>
      <w:r w:rsidRPr="002D660B">
        <w:t xml:space="preserve"> </w:t>
      </w:r>
      <w:r>
        <w:t>Behovet av servicehus och vård- och omsorgsb</w:t>
      </w:r>
      <w:r>
        <w:t>o</w:t>
      </w:r>
      <w:r>
        <w:t>enden minskar de kommande åren, samtidigt som det finns ett ökat behov av boenden för äldre med särskilda behov. Utvecklingen ski</w:t>
      </w:r>
      <w:r>
        <w:t>l</w:t>
      </w:r>
      <w:r>
        <w:t>jer sig mellan olika stadsdelsnämnder, vilket ställer stora krav på en samordnad boendeplanering. Samarbete är även viktigt när det gä</w:t>
      </w:r>
      <w:r>
        <w:t>l</w:t>
      </w:r>
      <w:r>
        <w:t>ler kvalitetsutveckling och en rad projekt pågår i staden för att säkra kvaliteten i verksamheten och lära av varandra.</w:t>
      </w:r>
    </w:p>
    <w:p w:rsidR="00854884" w:rsidRPr="002D660B" w:rsidRDefault="00854884" w:rsidP="00854884"/>
    <w:p w:rsidR="00854884" w:rsidRDefault="00854884" w:rsidP="00854884">
      <w:r>
        <w:t>Antalet insatser inom ramen för LSS fortsätter att öka. Stadsdel</w:t>
      </w:r>
      <w:r>
        <w:t>s</w:t>
      </w:r>
      <w:r>
        <w:t xml:space="preserve">nämnderna anger det växande behovet av bostäder för personer med </w:t>
      </w:r>
      <w:r>
        <w:lastRenderedPageBreak/>
        <w:t>funktionsnedsättning som en utmaning för staden de närmaste åren. En annan gemensam utmaning är medarbetarnas behov av komp</w:t>
      </w:r>
      <w:r>
        <w:t>e</w:t>
      </w:r>
      <w:r>
        <w:t>tensutveckling avseende upphandling, uppföljning och samverkan med privata utförare.</w:t>
      </w:r>
    </w:p>
    <w:p w:rsidR="00854884" w:rsidRDefault="00854884" w:rsidP="00854884"/>
    <w:p w:rsidR="00854884" w:rsidRDefault="00854884" w:rsidP="00854884">
      <w:r w:rsidRPr="002D660B">
        <w:t>Hur befolkningsstrukturen i staden utvecklas påverkar det totala personalbehovet för alla verksamheter som staden finansierar. Pe</w:t>
      </w:r>
      <w:r w:rsidRPr="002D660B">
        <w:t>r</w:t>
      </w:r>
      <w:r w:rsidRPr="002D660B">
        <w:t>sonalb</w:t>
      </w:r>
      <w:r>
        <w:t>ehovet inom grundskolan är stor</w:t>
      </w:r>
      <w:r w:rsidR="00CE2464">
        <w:t>t</w:t>
      </w:r>
      <w:r w:rsidRPr="002D660B">
        <w:t xml:space="preserve"> och prognostiseras att öka med totalt drygt 30 procent fram till 202</w:t>
      </w:r>
      <w:r>
        <w:t>2</w:t>
      </w:r>
      <w:r w:rsidRPr="002D660B">
        <w:t>. Även inom verksamhet</w:t>
      </w:r>
      <w:r w:rsidRPr="002D660B">
        <w:t>s</w:t>
      </w:r>
      <w:r w:rsidRPr="002D660B">
        <w:t>område</w:t>
      </w:r>
      <w:r>
        <w:t xml:space="preserve">na </w:t>
      </w:r>
      <w:r w:rsidRPr="002D660B">
        <w:t xml:space="preserve">skolbarnomsorg </w:t>
      </w:r>
      <w:r>
        <w:t xml:space="preserve">och gymnasieskola </w:t>
      </w:r>
      <w:r w:rsidRPr="002D660B">
        <w:t>förväntas persona</w:t>
      </w:r>
      <w:r w:rsidRPr="002D660B">
        <w:t>l</w:t>
      </w:r>
      <w:r w:rsidRPr="002D660B">
        <w:t>behovet öka kraftigt med cirka 2</w:t>
      </w:r>
      <w:r>
        <w:t>3</w:t>
      </w:r>
      <w:r w:rsidRPr="002D660B">
        <w:t xml:space="preserve"> procent </w:t>
      </w:r>
      <w:r>
        <w:t xml:space="preserve">vardera </w:t>
      </w:r>
      <w:r w:rsidRPr="002D660B">
        <w:t>till 202</w:t>
      </w:r>
      <w:r>
        <w:t>2</w:t>
      </w:r>
      <w:r w:rsidRPr="002D660B">
        <w:t>. Försk</w:t>
      </w:r>
      <w:r w:rsidRPr="002D660B">
        <w:t>o</w:t>
      </w:r>
      <w:r w:rsidRPr="002D660B">
        <w:t>leverksamheten har stora personalbehov</w:t>
      </w:r>
      <w:r>
        <w:t xml:space="preserve"> framför allt de närmaste åren</w:t>
      </w:r>
      <w:r w:rsidRPr="002D660B">
        <w:t xml:space="preserve">, men </w:t>
      </w:r>
      <w:r>
        <w:t xml:space="preserve">behoven </w:t>
      </w:r>
      <w:r w:rsidRPr="002D660B">
        <w:t xml:space="preserve">förväntas enbart öka med </w:t>
      </w:r>
      <w:r>
        <w:t>6</w:t>
      </w:r>
      <w:r w:rsidRPr="002D660B">
        <w:t xml:space="preserve"> procent under pr</w:t>
      </w:r>
      <w:r w:rsidRPr="002D660B">
        <w:t>o</w:t>
      </w:r>
      <w:r w:rsidRPr="002D660B">
        <w:t xml:space="preserve">gnosperioden. </w:t>
      </w:r>
      <w:r>
        <w:t>I</w:t>
      </w:r>
      <w:r w:rsidRPr="002D660B">
        <w:t xml:space="preserve">nom äldreomsorgen </w:t>
      </w:r>
      <w:r>
        <w:t xml:space="preserve">är </w:t>
      </w:r>
      <w:r w:rsidRPr="002D660B">
        <w:t xml:space="preserve">rekryteringsbehovet </w:t>
      </w:r>
      <w:r>
        <w:t>relativt konstant under prognosperioden, men det finns problem med att rekrytera kvalificerade medarbetare och fortsatta satsningar på kompetensutveckling är nödvändiga.</w:t>
      </w:r>
    </w:p>
    <w:p w:rsidR="00854884" w:rsidRPr="002D660B" w:rsidRDefault="00854884" w:rsidP="00854884"/>
    <w:p w:rsidR="00854884" w:rsidRPr="002D660B" w:rsidRDefault="00854884" w:rsidP="00854884">
      <w:r w:rsidRPr="002D660B">
        <w:t xml:space="preserve">Ökade resurser krävs för att finansiera de omfattande investeringar som behövs för att möta stadens befolkningstillväxt. </w:t>
      </w:r>
      <w:r>
        <w:t>Bostadsm</w:t>
      </w:r>
      <w:r w:rsidRPr="002D660B">
        <w:t>ålet i Stockholm stad är 1</w:t>
      </w:r>
      <w:r>
        <w:t>40 </w:t>
      </w:r>
      <w:r w:rsidRPr="002D660B">
        <w:t>000 nya bostä</w:t>
      </w:r>
      <w:r>
        <w:t>der till 2030. Där</w:t>
      </w:r>
      <w:r w:rsidRPr="002D660B">
        <w:t>till kommer investeringar i gator, parker, idrottshallar, förskolor, skolor, grup</w:t>
      </w:r>
      <w:r w:rsidRPr="002D660B">
        <w:t>p</w:t>
      </w:r>
      <w:r w:rsidRPr="002D660B">
        <w:t xml:space="preserve">bostäder och äldreboenden. </w:t>
      </w:r>
      <w:r>
        <w:t>Ett växande Stockholm kommer att bli tätare och mer sammankopplat.</w:t>
      </w:r>
      <w:r w:rsidRPr="002D660B">
        <w:t xml:space="preserve"> Eftersom de finansiella resurserna är begränsade blir det allt mer angeläget att tydligt prioritera mellan stadens fram</w:t>
      </w:r>
      <w:r>
        <w:t>tida investerings</w:t>
      </w:r>
      <w:r w:rsidRPr="002D660B">
        <w:t xml:space="preserve">projekt. </w:t>
      </w:r>
      <w:r>
        <w:t>Staden bör prioritera områden för bostadsexploatering där det finns eller planeras infrastrukturlö</w:t>
      </w:r>
      <w:r>
        <w:t>s</w:t>
      </w:r>
      <w:r>
        <w:t>ningar.</w:t>
      </w:r>
    </w:p>
    <w:p w:rsidR="00854884" w:rsidRPr="002D660B" w:rsidRDefault="00854884" w:rsidP="00854884"/>
    <w:p w:rsidR="00854884" w:rsidRDefault="00854884" w:rsidP="00854884">
      <w:r>
        <w:t>T</w:t>
      </w:r>
      <w:r w:rsidRPr="002D660B">
        <w:t>rots en relativt god utveckling av skatteintäkterna</w:t>
      </w:r>
      <w:r>
        <w:t xml:space="preserve"> de närmaste åren är u</w:t>
      </w:r>
      <w:r w:rsidRPr="002D660B">
        <w:t>tmaningarna inför framtiden många. På kort sikt behöver staden hantera bland annat kraftigt ökande investeringsbehov och minskade bidrag från kostnadsutjämningen till följd av ett förändrat utjämningssystem. F</w:t>
      </w:r>
      <w:r>
        <w:t>ramöver väntar allt större demo</w:t>
      </w:r>
      <w:r w:rsidRPr="002D660B">
        <w:t>grafiska utm</w:t>
      </w:r>
      <w:r w:rsidRPr="002D660B">
        <w:t>a</w:t>
      </w:r>
      <w:r w:rsidRPr="002D660B">
        <w:t xml:space="preserve">ningar för välfärdssektorn. Just </w:t>
      </w:r>
      <w:r>
        <w:t>nu ökar behoven mest inom grun</w:t>
      </w:r>
      <w:r>
        <w:t>d</w:t>
      </w:r>
      <w:r w:rsidRPr="002D660B">
        <w:t xml:space="preserve">skolan medan gymnasieskolan och äldreomsorgen har minskade behov. Om några år </w:t>
      </w:r>
      <w:r>
        <w:t>ökar behoven inom alla verksamhetsområden</w:t>
      </w:r>
      <w:r w:rsidRPr="002D660B">
        <w:t>, vilket kommer att sätta ytterligare press på stadens ekonomi.</w:t>
      </w:r>
    </w:p>
    <w:p w:rsidR="00F4376A" w:rsidRDefault="00F4376A" w:rsidP="00F4376A">
      <w:pPr>
        <w:pStyle w:val="Rubrik2"/>
      </w:pPr>
      <w:r>
        <w:t>Bakgrund</w:t>
      </w:r>
    </w:p>
    <w:p w:rsidR="00F4376A" w:rsidRPr="00765AB9" w:rsidRDefault="00F4376A" w:rsidP="00F4376A">
      <w:r w:rsidRPr="00765AB9">
        <w:t>Enligt kommunallagens 8 kapitel om ekonomisk förvaltning 5 § ska budgeten innehålla en plan för ekonomin för en period av tre år. Budgetåret ska alltid vara periodens första år. Syftet med detta ärende är att ge underlag och planeringsförutsättningar inför arbetet med budget 201</w:t>
      </w:r>
      <w:r>
        <w:t>5</w:t>
      </w:r>
      <w:r w:rsidRPr="00765AB9">
        <w:t xml:space="preserve"> för Stockholms stad och inriktning för 201</w:t>
      </w:r>
      <w:r>
        <w:t>6</w:t>
      </w:r>
      <w:r w:rsidRPr="00765AB9">
        <w:t xml:space="preserve"> och </w:t>
      </w:r>
      <w:r w:rsidRPr="00765AB9">
        <w:lastRenderedPageBreak/>
        <w:t>201</w:t>
      </w:r>
      <w:r>
        <w:t>7</w:t>
      </w:r>
      <w:r w:rsidRPr="00765AB9">
        <w:t xml:space="preserve"> samt ge en lägesrapport om konjunkturen för Stockholmsre</w:t>
      </w:r>
      <w:r w:rsidRPr="00765AB9">
        <w:t>g</w:t>
      </w:r>
      <w:r w:rsidRPr="00765AB9">
        <w:t>ionen.</w:t>
      </w:r>
    </w:p>
    <w:p w:rsidR="00F4376A" w:rsidRDefault="00F4376A" w:rsidP="00F4376A">
      <w:pPr>
        <w:pStyle w:val="Rubrik2"/>
      </w:pPr>
      <w:r>
        <w:t>Ärendet</w:t>
      </w:r>
    </w:p>
    <w:p w:rsidR="00F4376A" w:rsidRDefault="00F4376A" w:rsidP="00F4376A">
      <w:r w:rsidRPr="00765AB9">
        <w:t>Stadens nämnder har fått anvisningar för hur de ska redovisa sin plan för 201</w:t>
      </w:r>
      <w:r>
        <w:t>5</w:t>
      </w:r>
      <w:r w:rsidRPr="00765AB9">
        <w:t xml:space="preserve"> till 201</w:t>
      </w:r>
      <w:r>
        <w:t>7</w:t>
      </w:r>
      <w:r w:rsidRPr="00765AB9">
        <w:t>. Nämndernas planer har varit ett av flera underlag som grund för detta ärende.</w:t>
      </w:r>
      <w:r w:rsidRPr="00765AB9">
        <w:rPr>
          <w:i/>
        </w:rPr>
        <w:t xml:space="preserve"> </w:t>
      </w:r>
      <w:r w:rsidRPr="00765AB9">
        <w:t>Ärendet har utarbetats av stadsledningskontorets finansavdelning och förnyelseavdelning i samråd med personalstrategiska avdelningen.</w:t>
      </w:r>
    </w:p>
    <w:p w:rsidR="002208DA" w:rsidRDefault="002208DA">
      <w:pPr>
        <w:spacing w:line="0" w:lineRule="auto"/>
        <w:rPr>
          <w:lang w:eastAsia="sv-SE"/>
        </w:rPr>
      </w:pPr>
    </w:p>
    <w:p w:rsidR="002208DA" w:rsidRDefault="002208DA" w:rsidP="00F4376A">
      <w:pPr>
        <w:pStyle w:val="Rubrik2"/>
      </w:pPr>
      <w:r>
        <w:t>Konjunkturläget och finansiering av stadens verksa</w:t>
      </w:r>
      <w:r>
        <w:t>m</w:t>
      </w:r>
      <w:r>
        <w:t>heter</w:t>
      </w:r>
    </w:p>
    <w:p w:rsidR="002208DA" w:rsidRPr="00155FC3" w:rsidRDefault="002208DA" w:rsidP="00155FC3">
      <w:pPr>
        <w:pStyle w:val="Rubrik3"/>
        <w:rPr>
          <w:rFonts w:eastAsia="Times New Roman"/>
          <w:lang w:eastAsia="sv-SE"/>
        </w:rPr>
      </w:pPr>
      <w:r w:rsidRPr="00155FC3">
        <w:rPr>
          <w:rFonts w:eastAsia="Times New Roman"/>
          <w:lang w:eastAsia="sv-SE"/>
        </w:rPr>
        <w:t>Den globala ekonomin stabiliseras</w:t>
      </w:r>
    </w:p>
    <w:p w:rsidR="002208DA" w:rsidRPr="00155FC3" w:rsidRDefault="002208DA" w:rsidP="00155FC3">
      <w:pPr>
        <w:rPr>
          <w:rFonts w:ascii="Times New Roman" w:eastAsia="Times New Roman" w:hAnsi="Times New Roman" w:cs="Times New Roman"/>
          <w:color w:val="000000"/>
          <w:kern w:val="24"/>
          <w:lang w:eastAsia="sv-SE"/>
        </w:rPr>
      </w:pPr>
      <w:r w:rsidRPr="00155FC3">
        <w:rPr>
          <w:rFonts w:ascii="Times New Roman" w:eastAsia="Times New Roman" w:hAnsi="Times New Roman" w:cs="Times New Roman"/>
          <w:color w:val="000000"/>
          <w:kern w:val="24"/>
          <w:lang w:eastAsia="sv-SE"/>
        </w:rPr>
        <w:t>Under 2013 utvecklades världsekonomin relativt svagt, med stora skillnader mellan olika regioner och länder. Den globala tillväxtta</w:t>
      </w:r>
      <w:r w:rsidRPr="00155FC3">
        <w:rPr>
          <w:rFonts w:ascii="Times New Roman" w:eastAsia="Times New Roman" w:hAnsi="Times New Roman" w:cs="Times New Roman"/>
          <w:color w:val="000000"/>
          <w:kern w:val="24"/>
          <w:lang w:eastAsia="sv-SE"/>
        </w:rPr>
        <w:t>k</w:t>
      </w:r>
      <w:r w:rsidRPr="00155FC3">
        <w:rPr>
          <w:rFonts w:ascii="Times New Roman" w:eastAsia="Times New Roman" w:hAnsi="Times New Roman" w:cs="Times New Roman"/>
          <w:color w:val="000000"/>
          <w:kern w:val="24"/>
          <w:lang w:eastAsia="sv-SE"/>
        </w:rPr>
        <w:t>ten beräknas ha uppgått till cirka 3 procent. Internationella valut</w:t>
      </w:r>
      <w:r w:rsidRPr="00155FC3">
        <w:rPr>
          <w:rFonts w:ascii="Times New Roman" w:eastAsia="Times New Roman" w:hAnsi="Times New Roman" w:cs="Times New Roman"/>
          <w:color w:val="000000"/>
          <w:kern w:val="24"/>
          <w:lang w:eastAsia="sv-SE"/>
        </w:rPr>
        <w:t>a</w:t>
      </w:r>
      <w:r w:rsidRPr="00155FC3">
        <w:rPr>
          <w:rFonts w:ascii="Times New Roman" w:eastAsia="Times New Roman" w:hAnsi="Times New Roman" w:cs="Times New Roman"/>
          <w:color w:val="000000"/>
          <w:kern w:val="24"/>
          <w:lang w:eastAsia="sv-SE"/>
        </w:rPr>
        <w:t>fonden, IMF, bedömer att tillväxten kommer att öka till cirka 3,6</w:t>
      </w:r>
      <w:r>
        <w:rPr>
          <w:rFonts w:ascii="Times New Roman" w:eastAsia="Times New Roman" w:hAnsi="Times New Roman" w:cs="Times New Roman"/>
          <w:color w:val="000000"/>
          <w:kern w:val="24"/>
          <w:lang w:eastAsia="sv-SE"/>
        </w:rPr>
        <w:t> </w:t>
      </w:r>
      <w:r w:rsidRPr="00155FC3">
        <w:rPr>
          <w:rFonts w:ascii="Times New Roman" w:eastAsia="Times New Roman" w:hAnsi="Times New Roman" w:cs="Times New Roman"/>
          <w:color w:val="000000"/>
          <w:kern w:val="24"/>
          <w:lang w:eastAsia="sv-SE"/>
        </w:rPr>
        <w:t>procent under 2014, för att tillta ytterligare under 2015. Det är framför</w:t>
      </w:r>
      <w:r>
        <w:rPr>
          <w:rFonts w:ascii="Times New Roman" w:eastAsia="Times New Roman" w:hAnsi="Times New Roman" w:cs="Times New Roman"/>
          <w:color w:val="000000"/>
          <w:kern w:val="24"/>
          <w:lang w:eastAsia="sv-SE"/>
        </w:rPr>
        <w:t xml:space="preserve"> </w:t>
      </w:r>
      <w:r w:rsidRPr="00155FC3">
        <w:rPr>
          <w:rFonts w:ascii="Times New Roman" w:eastAsia="Times New Roman" w:hAnsi="Times New Roman" w:cs="Times New Roman"/>
          <w:color w:val="000000"/>
          <w:kern w:val="24"/>
          <w:lang w:eastAsia="sv-SE"/>
        </w:rPr>
        <w:t xml:space="preserve">allt de utvecklade ekonomiernas återhämtning som väntas driva den positiva utvecklingen i den globala ekonomin. </w:t>
      </w:r>
    </w:p>
    <w:p w:rsidR="002208DA" w:rsidRPr="00155FC3" w:rsidRDefault="002208DA" w:rsidP="00155FC3">
      <w:pPr>
        <w:rPr>
          <w:rFonts w:ascii="Times New Roman" w:eastAsia="Times New Roman" w:hAnsi="Times New Roman" w:cs="Times New Roman"/>
          <w:color w:val="000000"/>
          <w:kern w:val="24"/>
          <w:lang w:eastAsia="sv-SE"/>
        </w:rPr>
      </w:pPr>
    </w:p>
    <w:p w:rsidR="002208DA" w:rsidRPr="00155FC3" w:rsidRDefault="002208DA" w:rsidP="00155FC3">
      <w:pPr>
        <w:rPr>
          <w:rFonts w:ascii="Times New Roman" w:eastAsia="Times New Roman" w:hAnsi="Times New Roman" w:cs="Times New Roman"/>
          <w:color w:val="000000"/>
          <w:kern w:val="24"/>
          <w:lang w:eastAsia="sv-SE"/>
        </w:rPr>
      </w:pPr>
      <w:r w:rsidRPr="00155FC3">
        <w:rPr>
          <w:rFonts w:ascii="Times New Roman" w:eastAsia="Times New Roman" w:hAnsi="Times New Roman" w:cs="Times New Roman"/>
          <w:color w:val="000000"/>
          <w:kern w:val="24"/>
          <w:lang w:eastAsia="sv-SE"/>
        </w:rPr>
        <w:t>Euroländerna, som har haft två år med negativ tillväxt, går nu in i en period av återhämtning. Tillväxten i dessa länder förväntas uppgå till 1</w:t>
      </w:r>
      <w:r>
        <w:rPr>
          <w:rFonts w:ascii="Times New Roman" w:eastAsia="Times New Roman" w:hAnsi="Times New Roman" w:cs="Times New Roman"/>
          <w:color w:val="000000"/>
          <w:kern w:val="24"/>
          <w:lang w:eastAsia="sv-SE"/>
        </w:rPr>
        <w:t>,0</w:t>
      </w:r>
      <w:r w:rsidRPr="00155FC3">
        <w:rPr>
          <w:rFonts w:ascii="Times New Roman" w:eastAsia="Times New Roman" w:hAnsi="Times New Roman" w:cs="Times New Roman"/>
          <w:color w:val="000000"/>
          <w:kern w:val="24"/>
          <w:lang w:eastAsia="sv-SE"/>
        </w:rPr>
        <w:t xml:space="preserve"> procent 2014 och 1,4 procent 2015. Utvecklingen förväntas</w:t>
      </w:r>
      <w:r>
        <w:rPr>
          <w:rFonts w:ascii="Times New Roman" w:eastAsia="Times New Roman" w:hAnsi="Times New Roman" w:cs="Times New Roman"/>
          <w:color w:val="000000"/>
          <w:kern w:val="24"/>
          <w:lang w:eastAsia="sv-SE"/>
        </w:rPr>
        <w:t xml:space="preserve"> </w:t>
      </w:r>
      <w:r w:rsidRPr="00155FC3">
        <w:rPr>
          <w:rFonts w:ascii="Times New Roman" w:eastAsia="Times New Roman" w:hAnsi="Times New Roman" w:cs="Times New Roman"/>
          <w:color w:val="000000"/>
          <w:kern w:val="24"/>
          <w:lang w:eastAsia="sv-SE"/>
        </w:rPr>
        <w:t>vara svagare i redan utsatta ekonomier, som exempelvis Spanien. Där hämmar bland annat den höga privata och offentliga skuldsät</w:t>
      </w:r>
      <w:r w:rsidRPr="00155FC3">
        <w:rPr>
          <w:rFonts w:ascii="Times New Roman" w:eastAsia="Times New Roman" w:hAnsi="Times New Roman" w:cs="Times New Roman"/>
          <w:color w:val="000000"/>
          <w:kern w:val="24"/>
          <w:lang w:eastAsia="sv-SE"/>
        </w:rPr>
        <w:t>t</w:t>
      </w:r>
      <w:r w:rsidRPr="00155FC3">
        <w:rPr>
          <w:rFonts w:ascii="Times New Roman" w:eastAsia="Times New Roman" w:hAnsi="Times New Roman" w:cs="Times New Roman"/>
          <w:color w:val="000000"/>
          <w:kern w:val="24"/>
          <w:lang w:eastAsia="sv-SE"/>
        </w:rPr>
        <w:t>ningen den inhemska ef</w:t>
      </w:r>
      <w:r>
        <w:rPr>
          <w:rFonts w:ascii="Times New Roman" w:eastAsia="Times New Roman" w:hAnsi="Times New Roman" w:cs="Times New Roman"/>
          <w:color w:val="000000"/>
          <w:kern w:val="24"/>
          <w:lang w:eastAsia="sv-SE"/>
        </w:rPr>
        <w:t>terfrågan. I USA förväntas</w:t>
      </w:r>
      <w:r w:rsidRPr="00155FC3">
        <w:rPr>
          <w:rFonts w:ascii="Times New Roman" w:eastAsia="Times New Roman" w:hAnsi="Times New Roman" w:cs="Times New Roman"/>
          <w:color w:val="000000"/>
          <w:kern w:val="24"/>
          <w:lang w:eastAsia="sv-SE"/>
        </w:rPr>
        <w:t xml:space="preserve"> en starkare u</w:t>
      </w:r>
      <w:r w:rsidRPr="00155FC3">
        <w:rPr>
          <w:rFonts w:ascii="Times New Roman" w:eastAsia="Times New Roman" w:hAnsi="Times New Roman" w:cs="Times New Roman"/>
          <w:color w:val="000000"/>
          <w:kern w:val="24"/>
          <w:lang w:eastAsia="sv-SE"/>
        </w:rPr>
        <w:t>t</w:t>
      </w:r>
      <w:r w:rsidRPr="00155FC3">
        <w:rPr>
          <w:rFonts w:ascii="Times New Roman" w:eastAsia="Times New Roman" w:hAnsi="Times New Roman" w:cs="Times New Roman"/>
          <w:color w:val="000000"/>
          <w:kern w:val="24"/>
          <w:lang w:eastAsia="sv-SE"/>
        </w:rPr>
        <w:t xml:space="preserve">veckling under 2014 och tillväxten beräknas stiga till 2,8 procent. </w:t>
      </w:r>
    </w:p>
    <w:p w:rsidR="002208DA" w:rsidRPr="00155FC3" w:rsidRDefault="002208DA" w:rsidP="00155FC3">
      <w:pPr>
        <w:rPr>
          <w:rFonts w:ascii="Times New Roman" w:eastAsia="Times New Roman" w:hAnsi="Times New Roman" w:cs="Times New Roman"/>
          <w:color w:val="000000"/>
          <w:kern w:val="24"/>
          <w:lang w:eastAsia="sv-SE"/>
        </w:rPr>
      </w:pPr>
    </w:p>
    <w:p w:rsidR="002208DA" w:rsidRPr="00155FC3" w:rsidRDefault="002208DA" w:rsidP="00155FC3">
      <w:pPr>
        <w:rPr>
          <w:rFonts w:ascii="Times New Roman" w:eastAsia="Times New Roman" w:hAnsi="Times New Roman" w:cs="Times New Roman"/>
          <w:color w:val="000000"/>
          <w:kern w:val="24"/>
          <w:lang w:eastAsia="sv-SE"/>
        </w:rPr>
      </w:pPr>
      <w:r w:rsidRPr="00155FC3">
        <w:rPr>
          <w:rFonts w:ascii="Times New Roman" w:eastAsia="Times New Roman" w:hAnsi="Times New Roman" w:cs="Times New Roman"/>
          <w:color w:val="000000"/>
          <w:kern w:val="24"/>
          <w:lang w:eastAsia="sv-SE"/>
        </w:rPr>
        <w:t>Tillväxtekonomierna uppvisar fortfarande de högsta tillväxtsif</w:t>
      </w:r>
      <w:r w:rsidRPr="00155FC3">
        <w:rPr>
          <w:rFonts w:ascii="Times New Roman" w:eastAsia="Times New Roman" w:hAnsi="Times New Roman" w:cs="Times New Roman"/>
          <w:color w:val="000000"/>
          <w:kern w:val="24"/>
          <w:lang w:eastAsia="sv-SE"/>
        </w:rPr>
        <w:t>f</w:t>
      </w:r>
      <w:r w:rsidRPr="00155FC3">
        <w:rPr>
          <w:rFonts w:ascii="Times New Roman" w:eastAsia="Times New Roman" w:hAnsi="Times New Roman" w:cs="Times New Roman"/>
          <w:color w:val="000000"/>
          <w:kern w:val="24"/>
          <w:lang w:eastAsia="sv-SE"/>
        </w:rPr>
        <w:t>rorna, i synnerhet Kina där tillväxten uppgick till 7,7 procent under 2013. Tillväxten bedöms minska något under 2014 och det finns betydande risker i form av hög skuldsättning och snabbt stigande bostadspriser.</w:t>
      </w:r>
    </w:p>
    <w:p w:rsidR="002208DA" w:rsidRPr="00155FC3" w:rsidRDefault="002208DA" w:rsidP="00155FC3">
      <w:pPr>
        <w:rPr>
          <w:rFonts w:ascii="Times New Roman" w:eastAsia="Times New Roman" w:hAnsi="Times New Roman" w:cs="Times New Roman"/>
          <w:color w:val="000000"/>
          <w:kern w:val="24"/>
          <w:lang w:eastAsia="sv-SE"/>
        </w:rPr>
      </w:pPr>
    </w:p>
    <w:p w:rsidR="002208DA" w:rsidRPr="00155FC3" w:rsidRDefault="002208DA" w:rsidP="00155FC3">
      <w:pPr>
        <w:pStyle w:val="Rubrik4"/>
        <w:rPr>
          <w:rFonts w:eastAsia="Times New Roman"/>
          <w:lang w:eastAsia="sv-SE"/>
        </w:rPr>
      </w:pPr>
      <w:r w:rsidRPr="00155FC3">
        <w:rPr>
          <w:rFonts w:eastAsia="Times New Roman"/>
          <w:lang w:eastAsia="sv-SE"/>
        </w:rPr>
        <w:lastRenderedPageBreak/>
        <w:t xml:space="preserve">Tillväxten i världen förväntas vända uppåt under 2014. </w:t>
      </w:r>
    </w:p>
    <w:p w:rsidR="002208DA" w:rsidRPr="00155FC3" w:rsidRDefault="002208DA" w:rsidP="00155FC3">
      <w:pPr>
        <w:keepNext/>
        <w:keepLines/>
        <w:rPr>
          <w:rFonts w:ascii="Calibri" w:eastAsia="Times New Roman" w:hAnsi="Calibri" w:cs="Calibri"/>
          <w:iCs/>
          <w:kern w:val="24"/>
          <w:sz w:val="20"/>
          <w:szCs w:val="20"/>
          <w:lang w:eastAsia="sv-SE"/>
        </w:rPr>
      </w:pPr>
      <w:r w:rsidRPr="00155FC3">
        <w:rPr>
          <w:rFonts w:ascii="Calibri" w:eastAsia="Times New Roman" w:hAnsi="Calibri" w:cs="Calibri"/>
          <w:iCs/>
          <w:kern w:val="24"/>
          <w:sz w:val="20"/>
          <w:szCs w:val="20"/>
          <w:lang w:eastAsia="sv-SE"/>
        </w:rPr>
        <w:t>BNP, procentuell förändring</w:t>
      </w:r>
    </w:p>
    <w:p w:rsidR="002208DA" w:rsidRPr="00155FC3" w:rsidRDefault="002208DA" w:rsidP="00155FC3">
      <w:pPr>
        <w:rPr>
          <w:rFonts w:ascii="Calibri" w:eastAsia="Times New Roman" w:hAnsi="Calibri" w:cs="Calibri"/>
          <w:iCs/>
          <w:kern w:val="24"/>
          <w:sz w:val="20"/>
          <w:szCs w:val="20"/>
          <w:lang w:eastAsia="sv-SE"/>
        </w:rPr>
      </w:pPr>
      <w:r w:rsidRPr="00155FC3">
        <w:rPr>
          <w:rFonts w:ascii="Times New Roman" w:eastAsia="Times New Roman" w:hAnsi="Times New Roman" w:cs="Times New Roman"/>
          <w:noProof/>
          <w:kern w:val="24"/>
          <w:lang w:eastAsia="sv-SE"/>
        </w:rPr>
        <w:drawing>
          <wp:inline distT="0" distB="0" distL="0" distR="0" wp14:anchorId="169C5CFA" wp14:editId="07A7A97B">
            <wp:extent cx="4579951" cy="2615979"/>
            <wp:effectExtent l="0" t="0" r="0" b="0"/>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08DA" w:rsidRPr="00155FC3" w:rsidRDefault="002208DA" w:rsidP="00155FC3">
      <w:pPr>
        <w:spacing w:after="80" w:line="200" w:lineRule="atLeast"/>
        <w:ind w:left="567" w:hanging="567"/>
        <w:rPr>
          <w:rFonts w:ascii="Times New Roman" w:eastAsia="Times New Roman" w:hAnsi="Times New Roman" w:cs="Times New Roman"/>
          <w:iCs/>
          <w:sz w:val="20"/>
          <w:szCs w:val="20"/>
          <w:lang w:eastAsia="sv-SE"/>
        </w:rPr>
      </w:pPr>
      <w:r w:rsidRPr="00155FC3">
        <w:rPr>
          <w:rFonts w:ascii="Times New Roman" w:eastAsia="Times New Roman" w:hAnsi="Times New Roman" w:cs="Times New Roman"/>
          <w:iCs/>
          <w:sz w:val="20"/>
          <w:szCs w:val="20"/>
          <w:lang w:eastAsia="sv-SE"/>
        </w:rPr>
        <w:t>Källa: IMF</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Den pågående konflikten mellan Ryssland och Ukraina skulle kunna få konsekvenser för den ekonomiska utvecklingen om den eskalerar. Hittills har förtroendet på finansmarknaderna endast påverkats i liten omfattning.</w:t>
      </w:r>
    </w:p>
    <w:p w:rsidR="002208DA" w:rsidRPr="00155FC3" w:rsidRDefault="002208DA" w:rsidP="00155FC3">
      <w:pPr>
        <w:pStyle w:val="Rubrik3"/>
        <w:rPr>
          <w:rFonts w:eastAsia="Times New Roman"/>
          <w:lang w:eastAsia="sv-SE"/>
        </w:rPr>
      </w:pPr>
      <w:r w:rsidRPr="00155FC3">
        <w:rPr>
          <w:rFonts w:eastAsia="Times New Roman"/>
          <w:lang w:eastAsia="sv-SE"/>
        </w:rPr>
        <w:t xml:space="preserve">Återhämtning i den svenska konjunkturen </w:t>
      </w:r>
    </w:p>
    <w:p w:rsidR="002208DA" w:rsidRPr="00155FC3" w:rsidRDefault="002208DA" w:rsidP="00155FC3">
      <w:pPr>
        <w:rPr>
          <w:rFonts w:ascii="Times New Roman" w:eastAsia="Times New Roman" w:hAnsi="Times New Roman" w:cs="Times New Roman"/>
          <w:color w:val="000000"/>
          <w:kern w:val="24"/>
          <w:lang w:eastAsia="sv-SE"/>
        </w:rPr>
      </w:pPr>
      <w:r w:rsidRPr="00155FC3">
        <w:rPr>
          <w:rFonts w:ascii="Times New Roman" w:eastAsia="Times New Roman" w:hAnsi="Times New Roman" w:cs="Times New Roman"/>
          <w:color w:val="000000"/>
          <w:kern w:val="24"/>
          <w:lang w:eastAsia="sv-SE"/>
        </w:rPr>
        <w:t>Sverige står inför en försiktig konjunkturåterhämtning. Efter en svag utveckling under 2012 och större delen av 2013, vände ko</w:t>
      </w:r>
      <w:r w:rsidRPr="00155FC3">
        <w:rPr>
          <w:rFonts w:ascii="Times New Roman" w:eastAsia="Times New Roman" w:hAnsi="Times New Roman" w:cs="Times New Roman"/>
          <w:color w:val="000000"/>
          <w:kern w:val="24"/>
          <w:lang w:eastAsia="sv-SE"/>
        </w:rPr>
        <w:t>n</w:t>
      </w:r>
      <w:r w:rsidRPr="00155FC3">
        <w:rPr>
          <w:rFonts w:ascii="Times New Roman" w:eastAsia="Times New Roman" w:hAnsi="Times New Roman" w:cs="Times New Roman"/>
          <w:color w:val="000000"/>
          <w:kern w:val="24"/>
          <w:lang w:eastAsia="sv-SE"/>
        </w:rPr>
        <w:t xml:space="preserve">junkturen upp sista kvartalet 2013. För helåret 2013 </w:t>
      </w:r>
      <w:r>
        <w:rPr>
          <w:rFonts w:ascii="Times New Roman" w:eastAsia="Times New Roman" w:hAnsi="Times New Roman" w:cs="Times New Roman"/>
          <w:color w:val="000000"/>
          <w:kern w:val="24"/>
          <w:lang w:eastAsia="sv-SE"/>
        </w:rPr>
        <w:t>blev BNP-tillväxten 1,5 procent</w:t>
      </w:r>
      <w:r w:rsidRPr="00155FC3">
        <w:rPr>
          <w:rFonts w:ascii="Times New Roman" w:eastAsia="Times New Roman" w:hAnsi="Times New Roman" w:cs="Times New Roman"/>
          <w:color w:val="000000"/>
          <w:kern w:val="24"/>
          <w:lang w:eastAsia="sv-SE"/>
        </w:rPr>
        <w:t xml:space="preserve"> enligt SCB:s Nationalräkenskaper, vilket var högre än 2012. Konjunkturinstitutet prognostiserar att BNP-tillväxten kommer att uppgå till 2,6 procent i år och till drygt 3 pr</w:t>
      </w:r>
      <w:r w:rsidRPr="00155FC3">
        <w:rPr>
          <w:rFonts w:ascii="Times New Roman" w:eastAsia="Times New Roman" w:hAnsi="Times New Roman" w:cs="Times New Roman"/>
          <w:color w:val="000000"/>
          <w:kern w:val="24"/>
          <w:lang w:eastAsia="sv-SE"/>
        </w:rPr>
        <w:t>o</w:t>
      </w:r>
      <w:r w:rsidRPr="00155FC3">
        <w:rPr>
          <w:rFonts w:ascii="Times New Roman" w:eastAsia="Times New Roman" w:hAnsi="Times New Roman" w:cs="Times New Roman"/>
          <w:color w:val="000000"/>
          <w:kern w:val="24"/>
          <w:lang w:eastAsia="sv-SE"/>
        </w:rPr>
        <w:t>cent under 2015. Denna utveckling drivs av att både investeringarna och exporten vänder upp när efterfrågan från omvärlden tar fart. En annan bidragande orsak är ökade investeringar i och med att b</w:t>
      </w:r>
      <w:r w:rsidRPr="00155FC3">
        <w:rPr>
          <w:rFonts w:ascii="Times New Roman" w:eastAsia="Times New Roman" w:hAnsi="Times New Roman" w:cs="Times New Roman"/>
          <w:color w:val="000000"/>
          <w:kern w:val="24"/>
          <w:lang w:eastAsia="sv-SE"/>
        </w:rPr>
        <w:t>o</w:t>
      </w:r>
      <w:r w:rsidRPr="00155FC3">
        <w:rPr>
          <w:rFonts w:ascii="Times New Roman" w:eastAsia="Times New Roman" w:hAnsi="Times New Roman" w:cs="Times New Roman"/>
          <w:color w:val="000000"/>
          <w:kern w:val="24"/>
          <w:lang w:eastAsia="sv-SE"/>
        </w:rPr>
        <w:t>stadsbyggandet nu tydligt ökar.</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Under 2013 låg arbetslösheten i Sverige still</w:t>
      </w:r>
      <w:r>
        <w:rPr>
          <w:rFonts w:ascii="Times New Roman" w:eastAsia="Times New Roman" w:hAnsi="Times New Roman" w:cs="Times New Roman"/>
          <w:kern w:val="24"/>
          <w:lang w:eastAsia="sv-SE"/>
        </w:rPr>
        <w:t>a</w:t>
      </w:r>
      <w:r w:rsidRPr="00155FC3">
        <w:rPr>
          <w:rFonts w:ascii="Times New Roman" w:eastAsia="Times New Roman" w:hAnsi="Times New Roman" w:cs="Times New Roman"/>
          <w:kern w:val="24"/>
          <w:lang w:eastAsia="sv-SE"/>
        </w:rPr>
        <w:t xml:space="preserve"> kring 8,0 procent, vilket var samma nivå som under 201</w:t>
      </w:r>
      <w:r>
        <w:rPr>
          <w:rFonts w:ascii="Times New Roman" w:eastAsia="Times New Roman" w:hAnsi="Times New Roman" w:cs="Times New Roman"/>
          <w:kern w:val="24"/>
          <w:lang w:eastAsia="sv-SE"/>
        </w:rPr>
        <w:t>2</w:t>
      </w:r>
      <w:r w:rsidRPr="00155FC3">
        <w:rPr>
          <w:rFonts w:ascii="Times New Roman" w:eastAsia="Times New Roman" w:hAnsi="Times New Roman" w:cs="Times New Roman"/>
          <w:kern w:val="24"/>
          <w:lang w:eastAsia="sv-SE"/>
        </w:rPr>
        <w:t>. I februari 2014 var 8,5 pr</w:t>
      </w:r>
      <w:r w:rsidRPr="00155FC3">
        <w:rPr>
          <w:rFonts w:ascii="Times New Roman" w:eastAsia="Times New Roman" w:hAnsi="Times New Roman" w:cs="Times New Roman"/>
          <w:kern w:val="24"/>
          <w:lang w:eastAsia="sv-SE"/>
        </w:rPr>
        <w:t>o</w:t>
      </w:r>
      <w:r w:rsidRPr="00155FC3">
        <w:rPr>
          <w:rFonts w:ascii="Times New Roman" w:eastAsia="Times New Roman" w:hAnsi="Times New Roman" w:cs="Times New Roman"/>
          <w:kern w:val="24"/>
          <w:lang w:eastAsia="sv-SE"/>
        </w:rPr>
        <w:t>cent av arbetskraften arbetslös enligt SCB:s arbetskraftsundersö</w:t>
      </w:r>
      <w:r w:rsidRPr="00155FC3">
        <w:rPr>
          <w:rFonts w:ascii="Times New Roman" w:eastAsia="Times New Roman" w:hAnsi="Times New Roman" w:cs="Times New Roman"/>
          <w:kern w:val="24"/>
          <w:lang w:eastAsia="sv-SE"/>
        </w:rPr>
        <w:t>k</w:t>
      </w:r>
      <w:r w:rsidRPr="00155FC3">
        <w:rPr>
          <w:rFonts w:ascii="Times New Roman" w:eastAsia="Times New Roman" w:hAnsi="Times New Roman" w:cs="Times New Roman"/>
          <w:kern w:val="24"/>
          <w:lang w:eastAsia="sv-SE"/>
        </w:rPr>
        <w:t>ning, vilket var samma nivå som motsvarande månad 2013. Nu när tillväxten väntas ta fart beräknas arbetslösheten börja falla. Ko</w:t>
      </w:r>
      <w:r w:rsidRPr="00155FC3">
        <w:rPr>
          <w:rFonts w:ascii="Times New Roman" w:eastAsia="Times New Roman" w:hAnsi="Times New Roman" w:cs="Times New Roman"/>
          <w:kern w:val="24"/>
          <w:lang w:eastAsia="sv-SE"/>
        </w:rPr>
        <w:t>n</w:t>
      </w:r>
      <w:r w:rsidRPr="00155FC3">
        <w:rPr>
          <w:rFonts w:ascii="Times New Roman" w:eastAsia="Times New Roman" w:hAnsi="Times New Roman" w:cs="Times New Roman"/>
          <w:kern w:val="24"/>
          <w:lang w:eastAsia="sv-SE"/>
        </w:rPr>
        <w:t>junkturinstitutet</w:t>
      </w:r>
      <w:r>
        <w:rPr>
          <w:rFonts w:ascii="Times New Roman" w:eastAsia="Times New Roman" w:hAnsi="Times New Roman" w:cs="Times New Roman"/>
          <w:kern w:val="24"/>
          <w:lang w:eastAsia="sv-SE"/>
        </w:rPr>
        <w:t>s</w:t>
      </w:r>
      <w:r w:rsidRPr="00155FC3">
        <w:rPr>
          <w:rFonts w:ascii="Times New Roman" w:eastAsia="Times New Roman" w:hAnsi="Times New Roman" w:cs="Times New Roman"/>
          <w:kern w:val="24"/>
          <w:lang w:eastAsia="sv-SE"/>
        </w:rPr>
        <w:t xml:space="preserve"> prognos är</w:t>
      </w:r>
      <w:r>
        <w:rPr>
          <w:rFonts w:ascii="Times New Roman" w:eastAsia="Times New Roman" w:hAnsi="Times New Roman" w:cs="Times New Roman"/>
          <w:kern w:val="24"/>
          <w:lang w:eastAsia="sv-SE"/>
        </w:rPr>
        <w:t xml:space="preserve"> </w:t>
      </w:r>
      <w:r w:rsidRPr="00155FC3">
        <w:rPr>
          <w:rFonts w:ascii="Times New Roman" w:eastAsia="Times New Roman" w:hAnsi="Times New Roman" w:cs="Times New Roman"/>
          <w:kern w:val="24"/>
          <w:lang w:eastAsia="sv-SE"/>
        </w:rPr>
        <w:t>att det dröjer fram till andra halvåret 2017 innan arbetsmarknaden är i konjunkturell balans, vilket inn</w:t>
      </w:r>
      <w:r w:rsidRPr="00155FC3">
        <w:rPr>
          <w:rFonts w:ascii="Times New Roman" w:eastAsia="Times New Roman" w:hAnsi="Times New Roman" w:cs="Times New Roman"/>
          <w:kern w:val="24"/>
          <w:lang w:eastAsia="sv-SE"/>
        </w:rPr>
        <w:t>e</w:t>
      </w:r>
      <w:r w:rsidRPr="00155FC3">
        <w:rPr>
          <w:rFonts w:ascii="Times New Roman" w:eastAsia="Times New Roman" w:hAnsi="Times New Roman" w:cs="Times New Roman"/>
          <w:kern w:val="24"/>
          <w:lang w:eastAsia="sv-SE"/>
        </w:rPr>
        <w:t>bär en arbetslöshet på cirka 6,5 procent. Detta förutsätter samtidigt en förbättrad matchning på arbetsmarknaden.</w:t>
      </w:r>
    </w:p>
    <w:p w:rsidR="002208DA" w:rsidRPr="00155FC3" w:rsidRDefault="002208DA" w:rsidP="00155FC3">
      <w:pPr>
        <w:pStyle w:val="Rubrik3"/>
        <w:rPr>
          <w:rFonts w:eastAsia="Times New Roman"/>
          <w:lang w:eastAsia="sv-SE"/>
        </w:rPr>
      </w:pPr>
      <w:r w:rsidRPr="00155FC3">
        <w:rPr>
          <w:rFonts w:eastAsia="Times New Roman"/>
          <w:lang w:eastAsia="sv-SE"/>
        </w:rPr>
        <w:lastRenderedPageBreak/>
        <w:t>Stockholmskonjunkturen</w:t>
      </w: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Konjunkturen i Stockholm håller på att förstärkas. Ett tecken på de</w:t>
      </w:r>
      <w:r>
        <w:rPr>
          <w:rFonts w:ascii="Times New Roman" w:eastAsia="Times New Roman" w:hAnsi="Times New Roman" w:cs="Times New Roman"/>
          <w:kern w:val="24"/>
          <w:lang w:eastAsia="sv-SE"/>
        </w:rPr>
        <w:t>t</w:t>
      </w:r>
      <w:r w:rsidRPr="00155FC3">
        <w:rPr>
          <w:rFonts w:ascii="Times New Roman" w:eastAsia="Times New Roman" w:hAnsi="Times New Roman" w:cs="Times New Roman"/>
          <w:kern w:val="24"/>
          <w:lang w:eastAsia="sv-SE"/>
        </w:rPr>
        <w:t>t</w:t>
      </w:r>
      <w:r>
        <w:rPr>
          <w:rFonts w:ascii="Times New Roman" w:eastAsia="Times New Roman" w:hAnsi="Times New Roman" w:cs="Times New Roman"/>
          <w:kern w:val="24"/>
          <w:lang w:eastAsia="sv-SE"/>
        </w:rPr>
        <w:t>a</w:t>
      </w:r>
      <w:r w:rsidRPr="00155FC3">
        <w:rPr>
          <w:rFonts w:ascii="Times New Roman" w:eastAsia="Times New Roman" w:hAnsi="Times New Roman" w:cs="Times New Roman"/>
          <w:kern w:val="24"/>
          <w:lang w:eastAsia="sv-SE"/>
        </w:rPr>
        <w:t xml:space="preserve"> är </w:t>
      </w:r>
      <w:r>
        <w:rPr>
          <w:rFonts w:ascii="Times New Roman" w:eastAsia="Times New Roman" w:hAnsi="Times New Roman" w:cs="Times New Roman"/>
          <w:kern w:val="24"/>
          <w:lang w:eastAsia="sv-SE"/>
        </w:rPr>
        <w:t xml:space="preserve">att </w:t>
      </w:r>
      <w:r w:rsidRPr="00155FC3">
        <w:rPr>
          <w:rFonts w:ascii="Times New Roman" w:eastAsia="Times New Roman" w:hAnsi="Times New Roman" w:cs="Times New Roman"/>
          <w:kern w:val="24"/>
          <w:lang w:eastAsia="sv-SE"/>
        </w:rPr>
        <w:t>Handelskammarens konjunkturindikator för Stockholms näringsliv succes</w:t>
      </w:r>
      <w:r>
        <w:rPr>
          <w:rFonts w:ascii="Times New Roman" w:eastAsia="Times New Roman" w:hAnsi="Times New Roman" w:cs="Times New Roman"/>
          <w:kern w:val="24"/>
          <w:lang w:eastAsia="sv-SE"/>
        </w:rPr>
        <w:t>s</w:t>
      </w:r>
      <w:r w:rsidRPr="00155FC3">
        <w:rPr>
          <w:rFonts w:ascii="Times New Roman" w:eastAsia="Times New Roman" w:hAnsi="Times New Roman" w:cs="Times New Roman"/>
          <w:kern w:val="24"/>
          <w:lang w:eastAsia="sv-SE"/>
        </w:rPr>
        <w:t>ivt har stärkts under de senaste kvartalen och nu ligger tydligt över det historiska genomsnittet på 12. Under fjärde kvartalet 2013 steg konjunkturindikatorn för Stockholms län från 16 till 23, vilket visar att företagen är optimistiska om framtiden.</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Undersökningen bygger på Konjunkturinstitutets rikstäckande ko</w:t>
      </w:r>
      <w:r w:rsidRPr="00155FC3">
        <w:rPr>
          <w:rFonts w:ascii="Times New Roman" w:eastAsia="Times New Roman" w:hAnsi="Times New Roman" w:cs="Times New Roman"/>
          <w:kern w:val="24"/>
          <w:lang w:eastAsia="sv-SE"/>
        </w:rPr>
        <w:t>n</w:t>
      </w:r>
      <w:r w:rsidRPr="00155FC3">
        <w:rPr>
          <w:rFonts w:ascii="Times New Roman" w:eastAsia="Times New Roman" w:hAnsi="Times New Roman" w:cs="Times New Roman"/>
          <w:kern w:val="24"/>
          <w:lang w:eastAsia="sv-SE"/>
        </w:rPr>
        <w:t>junkturbarometer och visar hur företag i olika branscher upplever nuläget och vad de har för förväntningar om den närmaste framtiden när det gäller orderingång, produktion och sysselsättning. Under fjärde kvartalet 2013 påvisa</w:t>
      </w:r>
      <w:r>
        <w:rPr>
          <w:rFonts w:ascii="Times New Roman" w:eastAsia="Times New Roman" w:hAnsi="Times New Roman" w:cs="Times New Roman"/>
          <w:kern w:val="24"/>
          <w:lang w:eastAsia="sv-SE"/>
        </w:rPr>
        <w:t>de</w:t>
      </w:r>
      <w:r w:rsidRPr="00155FC3">
        <w:rPr>
          <w:rFonts w:ascii="Times New Roman" w:eastAsia="Times New Roman" w:hAnsi="Times New Roman" w:cs="Times New Roman"/>
          <w:kern w:val="24"/>
          <w:lang w:eastAsia="sv-SE"/>
        </w:rPr>
        <w:t xml:space="preserve"> majoriteten av branscherna en fö</w:t>
      </w:r>
      <w:r w:rsidRPr="00155FC3">
        <w:rPr>
          <w:rFonts w:ascii="Times New Roman" w:eastAsia="Times New Roman" w:hAnsi="Times New Roman" w:cs="Times New Roman"/>
          <w:kern w:val="24"/>
          <w:lang w:eastAsia="sv-SE"/>
        </w:rPr>
        <w:t>r</w:t>
      </w:r>
      <w:r w:rsidRPr="00155FC3">
        <w:rPr>
          <w:rFonts w:ascii="Times New Roman" w:eastAsia="Times New Roman" w:hAnsi="Times New Roman" w:cs="Times New Roman"/>
          <w:kern w:val="24"/>
          <w:lang w:eastAsia="sv-SE"/>
        </w:rPr>
        <w:t>bättrad tillväxttakt. Den bransch som visa</w:t>
      </w:r>
      <w:r>
        <w:rPr>
          <w:rFonts w:ascii="Times New Roman" w:eastAsia="Times New Roman" w:hAnsi="Times New Roman" w:cs="Times New Roman"/>
          <w:kern w:val="24"/>
          <w:lang w:eastAsia="sv-SE"/>
        </w:rPr>
        <w:t>de</w:t>
      </w:r>
      <w:r w:rsidRPr="00155FC3">
        <w:rPr>
          <w:rFonts w:ascii="Times New Roman" w:eastAsia="Times New Roman" w:hAnsi="Times New Roman" w:cs="Times New Roman"/>
          <w:kern w:val="24"/>
          <w:lang w:eastAsia="sv-SE"/>
        </w:rPr>
        <w:t xml:space="preserve"> starkast tilltro på fra</w:t>
      </w:r>
      <w:r w:rsidRPr="00155FC3">
        <w:rPr>
          <w:rFonts w:ascii="Times New Roman" w:eastAsia="Times New Roman" w:hAnsi="Times New Roman" w:cs="Times New Roman"/>
          <w:kern w:val="24"/>
          <w:lang w:eastAsia="sv-SE"/>
        </w:rPr>
        <w:t>m</w:t>
      </w:r>
      <w:r w:rsidRPr="00155FC3">
        <w:rPr>
          <w:rFonts w:ascii="Times New Roman" w:eastAsia="Times New Roman" w:hAnsi="Times New Roman" w:cs="Times New Roman"/>
          <w:kern w:val="24"/>
          <w:lang w:eastAsia="sv-SE"/>
        </w:rPr>
        <w:t xml:space="preserve">tiden </w:t>
      </w:r>
      <w:r>
        <w:rPr>
          <w:rFonts w:ascii="Times New Roman" w:eastAsia="Times New Roman" w:hAnsi="Times New Roman" w:cs="Times New Roman"/>
          <w:kern w:val="24"/>
          <w:lang w:eastAsia="sv-SE"/>
        </w:rPr>
        <w:t>va</w:t>
      </w:r>
      <w:r w:rsidRPr="00155FC3">
        <w:rPr>
          <w:rFonts w:ascii="Times New Roman" w:eastAsia="Times New Roman" w:hAnsi="Times New Roman" w:cs="Times New Roman"/>
          <w:kern w:val="24"/>
          <w:lang w:eastAsia="sv-SE"/>
        </w:rPr>
        <w:t>r databranschen (41). Även handeln uppvisa</w:t>
      </w:r>
      <w:r>
        <w:rPr>
          <w:rFonts w:ascii="Times New Roman" w:eastAsia="Times New Roman" w:hAnsi="Times New Roman" w:cs="Times New Roman"/>
          <w:kern w:val="24"/>
          <w:lang w:eastAsia="sv-SE"/>
        </w:rPr>
        <w:t>de</w:t>
      </w:r>
      <w:r w:rsidRPr="00155FC3">
        <w:rPr>
          <w:rFonts w:ascii="Times New Roman" w:eastAsia="Times New Roman" w:hAnsi="Times New Roman" w:cs="Times New Roman"/>
          <w:kern w:val="24"/>
          <w:lang w:eastAsia="sv-SE"/>
        </w:rPr>
        <w:t xml:space="preserve"> en stark u</w:t>
      </w:r>
      <w:r w:rsidRPr="00155FC3">
        <w:rPr>
          <w:rFonts w:ascii="Times New Roman" w:eastAsia="Times New Roman" w:hAnsi="Times New Roman" w:cs="Times New Roman"/>
          <w:kern w:val="24"/>
          <w:lang w:eastAsia="sv-SE"/>
        </w:rPr>
        <w:t>t</w:t>
      </w:r>
      <w:r w:rsidRPr="00155FC3">
        <w:rPr>
          <w:rFonts w:ascii="Times New Roman" w:eastAsia="Times New Roman" w:hAnsi="Times New Roman" w:cs="Times New Roman"/>
          <w:kern w:val="24"/>
          <w:lang w:eastAsia="sv-SE"/>
        </w:rPr>
        <w:t xml:space="preserve">veckling. </w:t>
      </w:r>
    </w:p>
    <w:p w:rsidR="002208DA" w:rsidRPr="00155FC3" w:rsidRDefault="002208DA" w:rsidP="00155FC3">
      <w:pPr>
        <w:pStyle w:val="Rubrik4"/>
        <w:rPr>
          <w:rFonts w:eastAsia="Times New Roman"/>
          <w:lang w:eastAsia="sv-SE"/>
        </w:rPr>
      </w:pPr>
      <w:r w:rsidRPr="00155FC3">
        <w:rPr>
          <w:rFonts w:eastAsia="Times New Roman"/>
          <w:lang w:eastAsia="sv-SE"/>
        </w:rPr>
        <w:t>Konjunkturindikator för Stockholms län till och med kvartal 4, 2013</w:t>
      </w: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noProof/>
          <w:kern w:val="24"/>
          <w:lang w:eastAsia="sv-SE"/>
        </w:rPr>
        <w:drawing>
          <wp:inline distT="0" distB="0" distL="0" distR="0" wp14:anchorId="461D922C" wp14:editId="777D8E8D">
            <wp:extent cx="4585666" cy="2738940"/>
            <wp:effectExtent l="0" t="0" r="5715" b="4445"/>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08DA" w:rsidRPr="00155FC3" w:rsidRDefault="002208DA" w:rsidP="00155FC3">
      <w:pPr>
        <w:spacing w:after="80" w:line="200" w:lineRule="atLeast"/>
        <w:ind w:left="567" w:hanging="567"/>
        <w:rPr>
          <w:rFonts w:ascii="Times New Roman" w:eastAsia="Times New Roman" w:hAnsi="Times New Roman" w:cs="Times New Roman"/>
          <w:sz w:val="20"/>
          <w:szCs w:val="20"/>
          <w:lang w:eastAsia="sv-SE"/>
        </w:rPr>
      </w:pPr>
      <w:r w:rsidRPr="00155FC3">
        <w:rPr>
          <w:rFonts w:ascii="Times New Roman" w:eastAsia="Times New Roman" w:hAnsi="Times New Roman" w:cs="Times New Roman"/>
          <w:sz w:val="20"/>
          <w:szCs w:val="20"/>
          <w:lang w:eastAsia="sv-SE"/>
        </w:rPr>
        <w:t>Källa: Stockholms Handelskammare och Konjunkturinstitutet</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Lönesumman är en annan indikator på regional tillväxt. Lönesu</w:t>
      </w:r>
      <w:r w:rsidRPr="00155FC3">
        <w:rPr>
          <w:rFonts w:ascii="Times New Roman" w:eastAsia="Times New Roman" w:hAnsi="Times New Roman" w:cs="Times New Roman"/>
          <w:kern w:val="24"/>
          <w:lang w:eastAsia="sv-SE"/>
        </w:rPr>
        <w:t>m</w:t>
      </w:r>
      <w:r w:rsidRPr="00155FC3">
        <w:rPr>
          <w:rFonts w:ascii="Times New Roman" w:eastAsia="Times New Roman" w:hAnsi="Times New Roman" w:cs="Times New Roman"/>
          <w:kern w:val="24"/>
          <w:lang w:eastAsia="sv-SE"/>
        </w:rPr>
        <w:t>man utgör huvuddelen av bruttoregionprodukten (BRP) men publ</w:t>
      </w:r>
      <w:r w:rsidRPr="00155FC3">
        <w:rPr>
          <w:rFonts w:ascii="Times New Roman" w:eastAsia="Times New Roman" w:hAnsi="Times New Roman" w:cs="Times New Roman"/>
          <w:kern w:val="24"/>
          <w:lang w:eastAsia="sv-SE"/>
        </w:rPr>
        <w:t>i</w:t>
      </w:r>
      <w:r w:rsidRPr="00155FC3">
        <w:rPr>
          <w:rFonts w:ascii="Times New Roman" w:eastAsia="Times New Roman" w:hAnsi="Times New Roman" w:cs="Times New Roman"/>
          <w:kern w:val="24"/>
          <w:lang w:eastAsia="sv-SE"/>
        </w:rPr>
        <w:t>ceras betydligt tidigare. Sedan slutet av 2011 har tillväxten i lön</w:t>
      </w:r>
      <w:r w:rsidRPr="00155FC3">
        <w:rPr>
          <w:rFonts w:ascii="Times New Roman" w:eastAsia="Times New Roman" w:hAnsi="Times New Roman" w:cs="Times New Roman"/>
          <w:kern w:val="24"/>
          <w:lang w:eastAsia="sv-SE"/>
        </w:rPr>
        <w:t>e</w:t>
      </w:r>
      <w:r w:rsidRPr="00155FC3">
        <w:rPr>
          <w:rFonts w:ascii="Times New Roman" w:eastAsia="Times New Roman" w:hAnsi="Times New Roman" w:cs="Times New Roman"/>
          <w:kern w:val="24"/>
          <w:lang w:eastAsia="sv-SE"/>
        </w:rPr>
        <w:t xml:space="preserve">summan dämpats succesivt i Stockholms stad liksom i övriga riket, vilket avspeglar den allmänna nedgången i konjunkturen. Fjärde kvartalet 2013 ökade lönesumman med 2,5 procent jämfört med motsvarande kvartal 2012. </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pStyle w:val="Rubrik4"/>
        <w:rPr>
          <w:rFonts w:eastAsia="Times New Roman"/>
          <w:lang w:eastAsia="sv-SE"/>
        </w:rPr>
      </w:pPr>
      <w:r w:rsidRPr="00155FC3">
        <w:rPr>
          <w:rFonts w:eastAsia="Times New Roman"/>
          <w:lang w:eastAsia="sv-SE"/>
        </w:rPr>
        <w:lastRenderedPageBreak/>
        <w:t>Lönesummor, procentuell förändring jämfört med motsv</w:t>
      </w:r>
      <w:r w:rsidRPr="00155FC3">
        <w:rPr>
          <w:rFonts w:eastAsia="Times New Roman"/>
          <w:lang w:eastAsia="sv-SE"/>
        </w:rPr>
        <w:t>a</w:t>
      </w:r>
      <w:r w:rsidRPr="00155FC3">
        <w:rPr>
          <w:rFonts w:eastAsia="Times New Roman"/>
          <w:lang w:eastAsia="sv-SE"/>
        </w:rPr>
        <w:t>rande kvartal året innan</w:t>
      </w:r>
    </w:p>
    <w:p w:rsidR="002208DA" w:rsidRPr="00155FC3" w:rsidRDefault="002208DA" w:rsidP="005D01C5">
      <w:pPr>
        <w:ind w:left="-567"/>
        <w:rPr>
          <w:rFonts w:ascii="Times New Roman" w:eastAsia="Times New Roman" w:hAnsi="Times New Roman" w:cs="Times New Roman"/>
          <w:kern w:val="24"/>
          <w:lang w:eastAsia="sv-SE"/>
        </w:rPr>
      </w:pPr>
      <w:r w:rsidRPr="00155FC3">
        <w:rPr>
          <w:rFonts w:ascii="Times New Roman" w:eastAsia="Times New Roman" w:hAnsi="Times New Roman" w:cs="Times New Roman"/>
          <w:noProof/>
          <w:kern w:val="24"/>
          <w:lang w:eastAsia="sv-SE"/>
        </w:rPr>
        <w:drawing>
          <wp:inline distT="0" distB="0" distL="0" distR="0" wp14:anchorId="26D2BEFF" wp14:editId="7DF5F534">
            <wp:extent cx="4915729" cy="2971800"/>
            <wp:effectExtent l="0" t="0" r="0" b="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08DA" w:rsidRPr="00155FC3" w:rsidRDefault="002208DA" w:rsidP="00155FC3">
      <w:pPr>
        <w:spacing w:after="80" w:line="200" w:lineRule="atLeast"/>
        <w:rPr>
          <w:rFonts w:ascii="Times New Roman" w:eastAsia="Times New Roman" w:hAnsi="Times New Roman" w:cs="Times New Roman"/>
          <w:bCs/>
          <w:color w:val="000000"/>
          <w:sz w:val="20"/>
          <w:szCs w:val="20"/>
          <w:lang w:eastAsia="sv-SE"/>
        </w:rPr>
      </w:pPr>
      <w:r w:rsidRPr="00155FC3">
        <w:rPr>
          <w:rFonts w:ascii="Times New Roman" w:eastAsia="Times New Roman" w:hAnsi="Times New Roman" w:cs="Times New Roman"/>
          <w:bCs/>
          <w:color w:val="000000"/>
          <w:sz w:val="20"/>
          <w:szCs w:val="20"/>
          <w:lang w:eastAsia="sv-SE"/>
        </w:rPr>
        <w:t>Källa: SCB</w:t>
      </w:r>
    </w:p>
    <w:p w:rsidR="002208DA" w:rsidRPr="00155FC3" w:rsidRDefault="002208DA" w:rsidP="00155FC3">
      <w:pPr>
        <w:spacing w:after="80" w:line="200" w:lineRule="atLeast"/>
        <w:rPr>
          <w:rFonts w:ascii="Times New Roman" w:eastAsia="Times New Roman" w:hAnsi="Times New Roman" w:cs="Times New Roman"/>
          <w:bCs/>
          <w:color w:val="000000"/>
          <w:sz w:val="20"/>
          <w:szCs w:val="20"/>
          <w:lang w:eastAsia="sv-SE"/>
        </w:rPr>
      </w:pPr>
      <w:r w:rsidRPr="00155FC3">
        <w:rPr>
          <w:rFonts w:ascii="Times New Roman" w:eastAsia="Times New Roman" w:hAnsi="Times New Roman" w:cs="Times New Roman"/>
          <w:bCs/>
          <w:color w:val="000000"/>
          <w:sz w:val="20"/>
          <w:szCs w:val="20"/>
          <w:lang w:eastAsia="sv-SE"/>
        </w:rPr>
        <w:t>Anm. Lönesumma =antal arbetade timmar * timlön</w:t>
      </w:r>
    </w:p>
    <w:p w:rsidR="002208DA" w:rsidRPr="00155FC3" w:rsidRDefault="002208DA" w:rsidP="00155FC3">
      <w:pPr>
        <w:pStyle w:val="Rubrik3"/>
        <w:rPr>
          <w:rFonts w:eastAsia="Times New Roman"/>
          <w:lang w:eastAsia="sv-SE"/>
        </w:rPr>
      </w:pPr>
      <w:r w:rsidRPr="00155FC3">
        <w:rPr>
          <w:rFonts w:eastAsia="Times New Roman"/>
          <w:lang w:eastAsia="sv-SE"/>
        </w:rPr>
        <w:t>Fler i sysselsättning och bättre utsikter på arbetsmarknaden</w:t>
      </w: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Läget på Stockholms arbetsmarknad förbä</w:t>
      </w:r>
      <w:r>
        <w:rPr>
          <w:rFonts w:ascii="Times New Roman" w:eastAsia="Times New Roman" w:hAnsi="Times New Roman" w:cs="Times New Roman"/>
          <w:kern w:val="24"/>
          <w:lang w:eastAsia="sv-SE"/>
        </w:rPr>
        <w:t>ttrades under 2013. Det visade</w:t>
      </w:r>
      <w:r w:rsidRPr="00155FC3">
        <w:rPr>
          <w:rFonts w:ascii="Times New Roman" w:eastAsia="Times New Roman" w:hAnsi="Times New Roman" w:cs="Times New Roman"/>
          <w:kern w:val="24"/>
          <w:lang w:eastAsia="sv-SE"/>
        </w:rPr>
        <w:t xml:space="preserve"> sig främst</w:t>
      </w:r>
      <w:r>
        <w:rPr>
          <w:rFonts w:ascii="Times New Roman" w:eastAsia="Times New Roman" w:hAnsi="Times New Roman" w:cs="Times New Roman"/>
          <w:kern w:val="24"/>
          <w:lang w:eastAsia="sv-SE"/>
        </w:rPr>
        <w:t xml:space="preserve"> genom att sysselsättningen ökade</w:t>
      </w:r>
      <w:r w:rsidRPr="00155FC3">
        <w:rPr>
          <w:rFonts w:ascii="Times New Roman" w:eastAsia="Times New Roman" w:hAnsi="Times New Roman" w:cs="Times New Roman"/>
          <w:kern w:val="24"/>
          <w:lang w:eastAsia="sv-SE"/>
        </w:rPr>
        <w:t>. Fjärde kvartalet 2013 var cirka 16 800 fler personer sysselsatta jämfört med motsv</w:t>
      </w:r>
      <w:r w:rsidRPr="00155FC3">
        <w:rPr>
          <w:rFonts w:ascii="Times New Roman" w:eastAsia="Times New Roman" w:hAnsi="Times New Roman" w:cs="Times New Roman"/>
          <w:kern w:val="24"/>
          <w:lang w:eastAsia="sv-SE"/>
        </w:rPr>
        <w:t>a</w:t>
      </w:r>
      <w:r w:rsidRPr="00155FC3">
        <w:rPr>
          <w:rFonts w:ascii="Times New Roman" w:eastAsia="Times New Roman" w:hAnsi="Times New Roman" w:cs="Times New Roman"/>
          <w:kern w:val="24"/>
          <w:lang w:eastAsia="sv-SE"/>
        </w:rPr>
        <w:t>rande period 2012, en ökning med 3,4 procent. Andelen sysselsatta av befolkningen i åldern 15–74 år, den så kallade sysselsättning</w:t>
      </w:r>
      <w:r w:rsidRPr="00155FC3">
        <w:rPr>
          <w:rFonts w:ascii="Times New Roman" w:eastAsia="Times New Roman" w:hAnsi="Times New Roman" w:cs="Times New Roman"/>
          <w:kern w:val="24"/>
          <w:lang w:eastAsia="sv-SE"/>
        </w:rPr>
        <w:t>s</w:t>
      </w:r>
      <w:r>
        <w:rPr>
          <w:rFonts w:ascii="Times New Roman" w:eastAsia="Times New Roman" w:hAnsi="Times New Roman" w:cs="Times New Roman"/>
          <w:kern w:val="24"/>
          <w:lang w:eastAsia="sv-SE"/>
        </w:rPr>
        <w:t>graden, visade</w:t>
      </w:r>
      <w:r w:rsidRPr="00155FC3">
        <w:rPr>
          <w:rFonts w:ascii="Times New Roman" w:eastAsia="Times New Roman" w:hAnsi="Times New Roman" w:cs="Times New Roman"/>
          <w:kern w:val="24"/>
          <w:lang w:eastAsia="sv-SE"/>
        </w:rPr>
        <w:t xml:space="preserve"> samtidigt en tydligt uppåtgående trend och steg med 1,2 procentenheter till 73,9 procent mellan fjärde kvartalet 2012 och 2013. Sysselsättningsgraden är betydligt högre i Stockholm än i resten av landet och övriga storstadsregioner, vilket framgår av di</w:t>
      </w:r>
      <w:r w:rsidRPr="00155FC3">
        <w:rPr>
          <w:rFonts w:ascii="Times New Roman" w:eastAsia="Times New Roman" w:hAnsi="Times New Roman" w:cs="Times New Roman"/>
          <w:kern w:val="24"/>
          <w:lang w:eastAsia="sv-SE"/>
        </w:rPr>
        <w:t>a</w:t>
      </w:r>
      <w:r w:rsidRPr="00155FC3">
        <w:rPr>
          <w:rFonts w:ascii="Times New Roman" w:eastAsia="Times New Roman" w:hAnsi="Times New Roman" w:cs="Times New Roman"/>
          <w:kern w:val="24"/>
          <w:lang w:eastAsia="sv-SE"/>
        </w:rPr>
        <w:t xml:space="preserve">grammet nedan. </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Arbetslösheten som andel av arbetskraften har legat mellan 6 och 7</w:t>
      </w:r>
      <w:r>
        <w:rPr>
          <w:rFonts w:ascii="Times New Roman" w:eastAsia="Times New Roman" w:hAnsi="Times New Roman" w:cs="Times New Roman"/>
          <w:kern w:val="24"/>
          <w:lang w:eastAsia="sv-SE"/>
        </w:rPr>
        <w:t> </w:t>
      </w:r>
      <w:r w:rsidRPr="00155FC3">
        <w:rPr>
          <w:rFonts w:ascii="Times New Roman" w:eastAsia="Times New Roman" w:hAnsi="Times New Roman" w:cs="Times New Roman"/>
          <w:kern w:val="24"/>
          <w:lang w:eastAsia="sv-SE"/>
        </w:rPr>
        <w:t>procent i Stockholms stad under 2013, enligt SCB:s arbetskraft</w:t>
      </w:r>
      <w:r w:rsidRPr="00155FC3">
        <w:rPr>
          <w:rFonts w:ascii="Times New Roman" w:eastAsia="Times New Roman" w:hAnsi="Times New Roman" w:cs="Times New Roman"/>
          <w:kern w:val="24"/>
          <w:lang w:eastAsia="sv-SE"/>
        </w:rPr>
        <w:t>s</w:t>
      </w:r>
      <w:r w:rsidRPr="00155FC3">
        <w:rPr>
          <w:rFonts w:ascii="Times New Roman" w:eastAsia="Times New Roman" w:hAnsi="Times New Roman" w:cs="Times New Roman"/>
          <w:kern w:val="24"/>
          <w:lang w:eastAsia="sv-SE"/>
        </w:rPr>
        <w:t xml:space="preserve">undersökning. </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Arbetsförmedlingens prognos för arbetsmarknaden i Stockholms län 2014 pekar</w:t>
      </w:r>
      <w:r>
        <w:rPr>
          <w:rFonts w:ascii="Times New Roman" w:eastAsia="Times New Roman" w:hAnsi="Times New Roman" w:cs="Times New Roman"/>
          <w:kern w:val="24"/>
          <w:lang w:eastAsia="sv-SE"/>
        </w:rPr>
        <w:t xml:space="preserve"> </w:t>
      </w:r>
      <w:r w:rsidRPr="00155FC3">
        <w:rPr>
          <w:rFonts w:ascii="Times New Roman" w:eastAsia="Times New Roman" w:hAnsi="Times New Roman" w:cs="Times New Roman"/>
          <w:kern w:val="24"/>
          <w:lang w:eastAsia="sv-SE"/>
        </w:rPr>
        <w:t>på en minskande arbetslöshet de närmaste åren. Arbet</w:t>
      </w:r>
      <w:r w:rsidRPr="00155FC3">
        <w:rPr>
          <w:rFonts w:ascii="Times New Roman" w:eastAsia="Times New Roman" w:hAnsi="Times New Roman" w:cs="Times New Roman"/>
          <w:kern w:val="24"/>
          <w:lang w:eastAsia="sv-SE"/>
        </w:rPr>
        <w:t>s</w:t>
      </w:r>
      <w:r w:rsidRPr="00155FC3">
        <w:rPr>
          <w:rFonts w:ascii="Times New Roman" w:eastAsia="Times New Roman" w:hAnsi="Times New Roman" w:cs="Times New Roman"/>
          <w:kern w:val="24"/>
          <w:lang w:eastAsia="sv-SE"/>
        </w:rPr>
        <w:t>förmedlingen bedömer att den viktigaste arbetsmarknadspolitiska utmaningen för Stockholms län under 2014 är matchningen mellan arbetskraften</w:t>
      </w:r>
      <w:r>
        <w:rPr>
          <w:rFonts w:ascii="Times New Roman" w:eastAsia="Times New Roman" w:hAnsi="Times New Roman" w:cs="Times New Roman"/>
          <w:kern w:val="24"/>
          <w:lang w:eastAsia="sv-SE"/>
        </w:rPr>
        <w:t>s</w:t>
      </w:r>
      <w:r w:rsidRPr="00155FC3">
        <w:rPr>
          <w:rFonts w:ascii="Times New Roman" w:eastAsia="Times New Roman" w:hAnsi="Times New Roman" w:cs="Times New Roman"/>
          <w:kern w:val="24"/>
          <w:lang w:eastAsia="sv-SE"/>
        </w:rPr>
        <w:t xml:space="preserve"> kompetens och arbetsgivarnas behov. Flera branscher upplever stora problem med att hitta kvalificerad arbetskraft. Bland de tydligaste bristyrkena kan mjukvaru- och systemutvecklare nä</w:t>
      </w:r>
      <w:r w:rsidRPr="00155FC3">
        <w:rPr>
          <w:rFonts w:ascii="Times New Roman" w:eastAsia="Times New Roman" w:hAnsi="Times New Roman" w:cs="Times New Roman"/>
          <w:kern w:val="24"/>
          <w:lang w:eastAsia="sv-SE"/>
        </w:rPr>
        <w:t>m</w:t>
      </w:r>
      <w:r w:rsidRPr="00155FC3">
        <w:rPr>
          <w:rFonts w:ascii="Times New Roman" w:eastAsia="Times New Roman" w:hAnsi="Times New Roman" w:cs="Times New Roman"/>
          <w:kern w:val="24"/>
          <w:lang w:eastAsia="sv-SE"/>
        </w:rPr>
        <w:t>nas, liksom lärare i matematik och specialistsjuksköterskor. Geme</w:t>
      </w:r>
      <w:r w:rsidRPr="00155FC3">
        <w:rPr>
          <w:rFonts w:ascii="Times New Roman" w:eastAsia="Times New Roman" w:hAnsi="Times New Roman" w:cs="Times New Roman"/>
          <w:kern w:val="24"/>
          <w:lang w:eastAsia="sv-SE"/>
        </w:rPr>
        <w:t>n</w:t>
      </w:r>
      <w:r w:rsidRPr="00155FC3">
        <w:rPr>
          <w:rFonts w:ascii="Times New Roman" w:eastAsia="Times New Roman" w:hAnsi="Times New Roman" w:cs="Times New Roman"/>
          <w:kern w:val="24"/>
          <w:lang w:eastAsia="sv-SE"/>
        </w:rPr>
        <w:t xml:space="preserve">samt för många bristyrken är höga utbildnings- eller kompetenskrav. </w:t>
      </w:r>
      <w:r>
        <w:rPr>
          <w:rFonts w:ascii="Times New Roman" w:eastAsia="Times New Roman" w:hAnsi="Times New Roman" w:cs="Times New Roman"/>
          <w:kern w:val="24"/>
          <w:lang w:eastAsia="sv-SE"/>
        </w:rPr>
        <w:lastRenderedPageBreak/>
        <w:t>Detta s</w:t>
      </w:r>
      <w:r w:rsidRPr="00155FC3">
        <w:rPr>
          <w:rFonts w:ascii="Times New Roman" w:eastAsia="Times New Roman" w:hAnsi="Times New Roman" w:cs="Times New Roman"/>
          <w:kern w:val="24"/>
          <w:lang w:eastAsia="sv-SE"/>
        </w:rPr>
        <w:t>amtidigt som majoriteten av de inskrivna arbetslösa endast har förgymnasial utbildning. Av de inskrivna arbetslösa i Stoc</w:t>
      </w:r>
      <w:r w:rsidRPr="00155FC3">
        <w:rPr>
          <w:rFonts w:ascii="Times New Roman" w:eastAsia="Times New Roman" w:hAnsi="Times New Roman" w:cs="Times New Roman"/>
          <w:kern w:val="24"/>
          <w:lang w:eastAsia="sv-SE"/>
        </w:rPr>
        <w:t>k</w:t>
      </w:r>
      <w:r w:rsidRPr="00155FC3">
        <w:rPr>
          <w:rFonts w:ascii="Times New Roman" w:eastAsia="Times New Roman" w:hAnsi="Times New Roman" w:cs="Times New Roman"/>
          <w:kern w:val="24"/>
          <w:lang w:eastAsia="sv-SE"/>
        </w:rPr>
        <w:t xml:space="preserve">holms län tillhör 69 procent </w:t>
      </w:r>
      <w:r>
        <w:rPr>
          <w:rFonts w:ascii="Times New Roman" w:eastAsia="Times New Roman" w:hAnsi="Times New Roman" w:cs="Times New Roman"/>
          <w:kern w:val="24"/>
          <w:lang w:eastAsia="sv-SE"/>
        </w:rPr>
        <w:t>grupper som står längre från arbet</w:t>
      </w:r>
      <w:r>
        <w:rPr>
          <w:rFonts w:ascii="Times New Roman" w:eastAsia="Times New Roman" w:hAnsi="Times New Roman" w:cs="Times New Roman"/>
          <w:kern w:val="24"/>
          <w:lang w:eastAsia="sv-SE"/>
        </w:rPr>
        <w:t>s</w:t>
      </w:r>
      <w:r>
        <w:rPr>
          <w:rFonts w:ascii="Times New Roman" w:eastAsia="Times New Roman" w:hAnsi="Times New Roman" w:cs="Times New Roman"/>
          <w:kern w:val="24"/>
          <w:lang w:eastAsia="sv-SE"/>
        </w:rPr>
        <w:t>marknaden</w:t>
      </w:r>
      <w:r w:rsidRPr="00155FC3">
        <w:rPr>
          <w:rFonts w:ascii="Times New Roman" w:eastAsia="Times New Roman" w:hAnsi="Times New Roman" w:cs="Times New Roman"/>
          <w:kern w:val="24"/>
          <w:lang w:eastAsia="sv-SE"/>
        </w:rPr>
        <w:t>. Hit räknas de som har högst förgymnasial utbildning, är födda utanför Europa, har funktionsnedsättning, eller är äldre än 55 år.</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pStyle w:val="Rubrik4"/>
        <w:rPr>
          <w:rFonts w:ascii="Times New Roman" w:eastAsia="Times New Roman" w:hAnsi="Times New Roman"/>
          <w:lang w:eastAsia="sv-SE"/>
        </w:rPr>
      </w:pPr>
      <w:r w:rsidRPr="00155FC3">
        <w:rPr>
          <w:rFonts w:eastAsia="Times New Roman"/>
          <w:lang w:eastAsia="sv-SE"/>
        </w:rPr>
        <w:t>Sysselsatta som andel av befolkningen 15–74 år, storstäder och riket</w:t>
      </w:r>
    </w:p>
    <w:p w:rsidR="002208DA" w:rsidRPr="00155FC3" w:rsidRDefault="002208DA" w:rsidP="005D01C5">
      <w:pPr>
        <w:spacing w:after="80" w:line="200" w:lineRule="atLeast"/>
        <w:ind w:left="-851"/>
        <w:rPr>
          <w:rFonts w:ascii="Times New Roman" w:eastAsia="Times New Roman" w:hAnsi="Times New Roman" w:cs="Times New Roman"/>
          <w:bCs/>
          <w:color w:val="000000"/>
          <w:sz w:val="20"/>
          <w:szCs w:val="20"/>
          <w:lang w:eastAsia="sv-SE"/>
        </w:rPr>
      </w:pPr>
      <w:r w:rsidRPr="00155FC3">
        <w:rPr>
          <w:rFonts w:ascii="Arial" w:eastAsia="Times New Roman" w:hAnsi="Arial" w:cs="Times New Roman"/>
          <w:noProof/>
          <w:sz w:val="18"/>
          <w:szCs w:val="20"/>
          <w:lang w:eastAsia="sv-SE"/>
        </w:rPr>
        <w:drawing>
          <wp:inline distT="0" distB="0" distL="0" distR="0" wp14:anchorId="5FCCD169" wp14:editId="4F8A9D35">
            <wp:extent cx="5121762" cy="2743200"/>
            <wp:effectExtent l="0" t="0" r="3175" b="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bCs/>
          <w:color w:val="000000"/>
          <w:kern w:val="24"/>
          <w:sz w:val="20"/>
          <w:lang w:eastAsia="sv-SE"/>
        </w:rPr>
        <w:t>Källa: SCB</w:t>
      </w:r>
    </w:p>
    <w:p w:rsidR="002208DA" w:rsidRPr="00155FC3" w:rsidRDefault="002208DA" w:rsidP="00155FC3">
      <w:pPr>
        <w:pStyle w:val="Rubrik3"/>
        <w:rPr>
          <w:rFonts w:eastAsia="Times New Roman"/>
          <w:lang w:eastAsia="sv-SE"/>
        </w:rPr>
      </w:pPr>
      <w:r w:rsidRPr="00155FC3">
        <w:rPr>
          <w:rFonts w:eastAsia="Times New Roman"/>
          <w:lang w:eastAsia="sv-SE"/>
        </w:rPr>
        <w:t>Skatteunderlagsutvecklingen</w:t>
      </w: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S</w:t>
      </w:r>
      <w:r w:rsidRPr="00155FC3">
        <w:rPr>
          <w:rFonts w:ascii="Times New Roman" w:eastAsia="Times New Roman" w:hAnsi="Times New Roman" w:cs="Times New Roman"/>
          <w:kern w:val="24"/>
          <w:szCs w:val="22"/>
          <w:lang w:eastAsia="sv-SE"/>
        </w:rPr>
        <w:t>tadens finansiering bygger till övervägande del på skatteintäkter som i sin tur beror på såväl stadens som</w:t>
      </w:r>
      <w:r w:rsidRPr="00155FC3">
        <w:rPr>
          <w:rFonts w:ascii="Times New Roman" w:eastAsia="Times New Roman" w:hAnsi="Times New Roman" w:cs="Times New Roman"/>
          <w:kern w:val="24"/>
          <w:lang w:eastAsia="sv-SE"/>
        </w:rPr>
        <w:t xml:space="preserve"> rikets </w:t>
      </w:r>
      <w:r w:rsidRPr="00155FC3">
        <w:rPr>
          <w:rFonts w:ascii="Times New Roman" w:eastAsia="Times New Roman" w:hAnsi="Times New Roman" w:cs="Times New Roman"/>
          <w:kern w:val="24"/>
          <w:szCs w:val="22"/>
          <w:lang w:eastAsia="sv-SE"/>
        </w:rPr>
        <w:t xml:space="preserve">skatteunderlag </w:t>
      </w:r>
      <w:r w:rsidRPr="00155FC3">
        <w:rPr>
          <w:rFonts w:ascii="Times New Roman" w:eastAsia="Times New Roman" w:hAnsi="Times New Roman" w:cs="Times New Roman"/>
          <w:kern w:val="24"/>
          <w:lang w:eastAsia="sv-SE"/>
        </w:rPr>
        <w:t>och på det kommun</w:t>
      </w:r>
      <w:r w:rsidRPr="00155FC3">
        <w:rPr>
          <w:rFonts w:ascii="Times New Roman" w:eastAsia="Times New Roman" w:hAnsi="Times New Roman" w:cs="Times New Roman"/>
          <w:kern w:val="24"/>
          <w:szCs w:val="22"/>
          <w:lang w:eastAsia="sv-SE"/>
        </w:rPr>
        <w:t>ala utjämningssystemet. Skatteunderlagstillväxten b</w:t>
      </w:r>
      <w:r w:rsidRPr="00155FC3">
        <w:rPr>
          <w:rFonts w:ascii="Times New Roman" w:eastAsia="Times New Roman" w:hAnsi="Times New Roman" w:cs="Times New Roman"/>
          <w:kern w:val="24"/>
          <w:szCs w:val="22"/>
          <w:lang w:eastAsia="sv-SE"/>
        </w:rPr>
        <w:t>e</w:t>
      </w:r>
      <w:r w:rsidRPr="00155FC3">
        <w:rPr>
          <w:rFonts w:ascii="Times New Roman" w:eastAsia="Times New Roman" w:hAnsi="Times New Roman" w:cs="Times New Roman"/>
          <w:kern w:val="24"/>
          <w:szCs w:val="22"/>
          <w:lang w:eastAsia="sv-SE"/>
        </w:rPr>
        <w:t>stäms av hur lönesumman utvecklas</w:t>
      </w:r>
      <w:r w:rsidRPr="00155FC3">
        <w:rPr>
          <w:rFonts w:ascii="Arial" w:eastAsia="Times New Roman" w:hAnsi="Arial" w:cs="Arial"/>
          <w:color w:val="000000"/>
          <w:kern w:val="24"/>
          <w:sz w:val="20"/>
          <w:vertAlign w:val="superscript"/>
          <w:lang w:eastAsia="sv-SE"/>
        </w:rPr>
        <w:footnoteReference w:id="1"/>
      </w:r>
      <w:r w:rsidRPr="00155FC3">
        <w:rPr>
          <w:rFonts w:ascii="Times New Roman" w:eastAsia="Times New Roman" w:hAnsi="Times New Roman" w:cs="Times New Roman"/>
          <w:kern w:val="24"/>
          <w:szCs w:val="22"/>
          <w:lang w:eastAsia="sv-SE"/>
        </w:rPr>
        <w:t xml:space="preserve">, det vill säga av löneökningar och antalet arbetade timmar. </w:t>
      </w:r>
      <w:r w:rsidRPr="00155FC3">
        <w:rPr>
          <w:rFonts w:ascii="Times New Roman" w:eastAsia="Times New Roman" w:hAnsi="Times New Roman" w:cs="Times New Roman"/>
          <w:kern w:val="24"/>
          <w:lang w:eastAsia="sv-SE"/>
        </w:rPr>
        <w:t>På grund av exportindustrins stora b</w:t>
      </w:r>
      <w:r w:rsidRPr="00155FC3">
        <w:rPr>
          <w:rFonts w:ascii="Times New Roman" w:eastAsia="Times New Roman" w:hAnsi="Times New Roman" w:cs="Times New Roman"/>
          <w:kern w:val="24"/>
          <w:lang w:eastAsia="sv-SE"/>
        </w:rPr>
        <w:t>e</w:t>
      </w:r>
      <w:r w:rsidRPr="00155FC3">
        <w:rPr>
          <w:rFonts w:ascii="Times New Roman" w:eastAsia="Times New Roman" w:hAnsi="Times New Roman" w:cs="Times New Roman"/>
          <w:kern w:val="24"/>
          <w:lang w:eastAsia="sv-SE"/>
        </w:rPr>
        <w:t>tydelse påverkas Sverige mer än de flesta andra länder av svän</w:t>
      </w:r>
      <w:r w:rsidRPr="00155FC3">
        <w:rPr>
          <w:rFonts w:ascii="Times New Roman" w:eastAsia="Times New Roman" w:hAnsi="Times New Roman" w:cs="Times New Roman"/>
          <w:kern w:val="24"/>
          <w:lang w:eastAsia="sv-SE"/>
        </w:rPr>
        <w:t>g</w:t>
      </w:r>
      <w:r w:rsidRPr="00155FC3">
        <w:rPr>
          <w:rFonts w:ascii="Times New Roman" w:eastAsia="Times New Roman" w:hAnsi="Times New Roman" w:cs="Times New Roman"/>
          <w:kern w:val="24"/>
          <w:lang w:eastAsia="sv-SE"/>
        </w:rPr>
        <w:t>ningar i världskonjunkturen. Myntets andra sida är att när väl den internationella konjunkturen vänder upp brukar tillväxten i Sverige överträffa den i andra länder. Mycket tyder nu på att världsekon</w:t>
      </w:r>
      <w:r w:rsidRPr="00155FC3">
        <w:rPr>
          <w:rFonts w:ascii="Times New Roman" w:eastAsia="Times New Roman" w:hAnsi="Times New Roman" w:cs="Times New Roman"/>
          <w:kern w:val="24"/>
          <w:lang w:eastAsia="sv-SE"/>
        </w:rPr>
        <w:t>o</w:t>
      </w:r>
      <w:r w:rsidRPr="00155FC3">
        <w:rPr>
          <w:rFonts w:ascii="Times New Roman" w:eastAsia="Times New Roman" w:hAnsi="Times New Roman" w:cs="Times New Roman"/>
          <w:kern w:val="24"/>
          <w:lang w:eastAsia="sv-SE"/>
        </w:rPr>
        <w:t xml:space="preserve">min är på väg att återhämtas och att svensk ekonomi kommer att växa snabbare de närmaste åren. Skatteunderlagsutvecklingen kommer därmed att stärkas successivt. </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Calibri" w:hAnsi="Times New Roman" w:cs="Times New Roman"/>
          <w:kern w:val="24"/>
          <w:lang w:eastAsia="sv-SE"/>
        </w:rPr>
      </w:pPr>
      <w:r w:rsidRPr="00155FC3">
        <w:rPr>
          <w:rFonts w:ascii="Times New Roman" w:eastAsia="Times New Roman" w:hAnsi="Times New Roman" w:cs="Times New Roman"/>
          <w:kern w:val="24"/>
          <w:lang w:eastAsia="sv-SE"/>
        </w:rPr>
        <w:t xml:space="preserve">Sveriges kommuner och landsting, SKL, ser i sin prognos från </w:t>
      </w:r>
      <w:r w:rsidR="00F65861">
        <w:rPr>
          <w:rFonts w:ascii="Times New Roman" w:eastAsia="Times New Roman" w:hAnsi="Times New Roman" w:cs="Times New Roman"/>
          <w:kern w:val="24"/>
          <w:lang w:eastAsia="sv-SE"/>
        </w:rPr>
        <w:t>april</w:t>
      </w:r>
      <w:r w:rsidR="00F65861" w:rsidRPr="00155FC3">
        <w:rPr>
          <w:rFonts w:ascii="Times New Roman" w:eastAsia="Times New Roman" w:hAnsi="Times New Roman" w:cs="Times New Roman"/>
          <w:kern w:val="24"/>
          <w:lang w:eastAsia="sv-SE"/>
        </w:rPr>
        <w:t xml:space="preserve"> </w:t>
      </w:r>
      <w:r w:rsidRPr="00155FC3">
        <w:rPr>
          <w:rFonts w:ascii="Times New Roman" w:eastAsia="Times New Roman" w:hAnsi="Times New Roman" w:cs="Times New Roman"/>
          <w:kern w:val="24"/>
          <w:lang w:eastAsia="sv-SE"/>
        </w:rPr>
        <w:t xml:space="preserve">2014 flera tecken på att konjunkturen vänder upp. </w:t>
      </w:r>
      <w:r w:rsidRPr="006D15BD">
        <w:rPr>
          <w:szCs w:val="22"/>
        </w:rPr>
        <w:t>SKL:s prognos för skatteunderlagets ökningstakt</w:t>
      </w:r>
      <w:r w:rsidRPr="00856028">
        <w:rPr>
          <w:szCs w:val="22"/>
        </w:rPr>
        <w:t xml:space="preserve"> från 2014 till 2017</w:t>
      </w:r>
      <w:r w:rsidRPr="006D15BD">
        <w:rPr>
          <w:szCs w:val="22"/>
        </w:rPr>
        <w:t xml:space="preserve"> visas i </w:t>
      </w:r>
      <w:r w:rsidRPr="006D15BD">
        <w:t>tabel</w:t>
      </w:r>
      <w:r>
        <w:t xml:space="preserve">len </w:t>
      </w:r>
      <w:r>
        <w:lastRenderedPageBreak/>
        <w:t>nedan, där även uppräkningstalen från regeringens vårproposition är inlagda.</w:t>
      </w:r>
    </w:p>
    <w:p w:rsidR="002208DA" w:rsidRDefault="002208DA" w:rsidP="00155FC3">
      <w:pPr>
        <w:pStyle w:val="Rubrik4"/>
        <w:rPr>
          <w:rFonts w:eastAsia="Times New Roman"/>
          <w:lang w:eastAsia="sv-SE"/>
        </w:rPr>
      </w:pPr>
      <w:r w:rsidRPr="00155FC3">
        <w:rPr>
          <w:rFonts w:eastAsia="Times New Roman"/>
          <w:lang w:eastAsia="sv-SE"/>
        </w:rPr>
        <w:t>Olika skatteunderlagsprognoser, procentuell förändring</w:t>
      </w:r>
    </w:p>
    <w:tbl>
      <w:tblPr>
        <w:tblW w:w="5000" w:type="pct"/>
        <w:tblCellMar>
          <w:left w:w="70" w:type="dxa"/>
          <w:right w:w="70" w:type="dxa"/>
        </w:tblCellMar>
        <w:tblLook w:val="04A0" w:firstRow="1" w:lastRow="0" w:firstColumn="1" w:lastColumn="0" w:noHBand="0" w:noVBand="1"/>
      </w:tblPr>
      <w:tblGrid>
        <w:gridCol w:w="1953"/>
        <w:gridCol w:w="809"/>
        <w:gridCol w:w="684"/>
        <w:gridCol w:w="685"/>
        <w:gridCol w:w="685"/>
        <w:gridCol w:w="749"/>
        <w:gridCol w:w="1152"/>
      </w:tblGrid>
      <w:tr w:rsidR="002208DA" w:rsidRPr="006C3985" w:rsidTr="00A553DA">
        <w:trPr>
          <w:trHeight w:val="315"/>
        </w:trPr>
        <w:tc>
          <w:tcPr>
            <w:tcW w:w="1319" w:type="pct"/>
            <w:tcBorders>
              <w:top w:val="single" w:sz="4" w:space="0" w:color="auto"/>
              <w:left w:val="nil"/>
              <w:bottom w:val="single" w:sz="4" w:space="0" w:color="auto"/>
              <w:right w:val="nil"/>
            </w:tcBorders>
            <w:shd w:val="clear" w:color="auto" w:fill="auto"/>
            <w:noWrap/>
            <w:vAlign w:val="bottom"/>
            <w:hideMark/>
          </w:tcPr>
          <w:p w:rsidR="002208DA" w:rsidRPr="00900CB7" w:rsidRDefault="002208DA" w:rsidP="00A553DA">
            <w:pP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 </w:t>
            </w:r>
          </w:p>
        </w:tc>
        <w:tc>
          <w:tcPr>
            <w:tcW w:w="625" w:type="pct"/>
            <w:tcBorders>
              <w:top w:val="single" w:sz="4" w:space="0" w:color="auto"/>
              <w:left w:val="nil"/>
              <w:bottom w:val="single" w:sz="4" w:space="0" w:color="auto"/>
              <w:right w:val="nil"/>
            </w:tcBorders>
            <w:shd w:val="clear" w:color="auto" w:fill="auto"/>
            <w:noWrap/>
            <w:vAlign w:val="bottom"/>
            <w:hideMark/>
          </w:tcPr>
          <w:p w:rsidR="002208DA" w:rsidRPr="00900CB7" w:rsidRDefault="002208DA" w:rsidP="00257732">
            <w:pPr>
              <w:jc w:val="cente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2013</w:t>
            </w:r>
          </w:p>
        </w:tc>
        <w:tc>
          <w:tcPr>
            <w:tcW w:w="532" w:type="pct"/>
            <w:tcBorders>
              <w:top w:val="single" w:sz="4" w:space="0" w:color="auto"/>
              <w:left w:val="nil"/>
              <w:bottom w:val="single" w:sz="4" w:space="0" w:color="auto"/>
              <w:right w:val="nil"/>
            </w:tcBorders>
            <w:shd w:val="clear" w:color="auto" w:fill="auto"/>
            <w:vAlign w:val="bottom"/>
            <w:hideMark/>
          </w:tcPr>
          <w:p w:rsidR="002208DA" w:rsidRPr="00900CB7" w:rsidRDefault="002208DA" w:rsidP="00257732">
            <w:pPr>
              <w:jc w:val="cente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2014</w:t>
            </w:r>
          </w:p>
        </w:tc>
        <w:tc>
          <w:tcPr>
            <w:tcW w:w="532" w:type="pct"/>
            <w:tcBorders>
              <w:top w:val="single" w:sz="4" w:space="0" w:color="auto"/>
              <w:left w:val="nil"/>
              <w:bottom w:val="single" w:sz="4" w:space="0" w:color="auto"/>
              <w:right w:val="nil"/>
            </w:tcBorders>
            <w:shd w:val="clear" w:color="auto" w:fill="auto"/>
            <w:vAlign w:val="bottom"/>
            <w:hideMark/>
          </w:tcPr>
          <w:p w:rsidR="002208DA" w:rsidRPr="00900CB7" w:rsidRDefault="002208DA" w:rsidP="00257732">
            <w:pPr>
              <w:jc w:val="cente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2015</w:t>
            </w:r>
          </w:p>
        </w:tc>
        <w:tc>
          <w:tcPr>
            <w:tcW w:w="532" w:type="pct"/>
            <w:tcBorders>
              <w:top w:val="single" w:sz="4" w:space="0" w:color="auto"/>
              <w:left w:val="nil"/>
              <w:bottom w:val="single" w:sz="4" w:space="0" w:color="auto"/>
              <w:right w:val="nil"/>
            </w:tcBorders>
            <w:shd w:val="clear" w:color="auto" w:fill="auto"/>
            <w:vAlign w:val="bottom"/>
            <w:hideMark/>
          </w:tcPr>
          <w:p w:rsidR="002208DA" w:rsidRPr="00900CB7" w:rsidRDefault="002208DA" w:rsidP="00257732">
            <w:pPr>
              <w:jc w:val="cente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2016</w:t>
            </w:r>
          </w:p>
        </w:tc>
        <w:tc>
          <w:tcPr>
            <w:tcW w:w="580" w:type="pct"/>
            <w:tcBorders>
              <w:top w:val="single" w:sz="4" w:space="0" w:color="auto"/>
              <w:left w:val="nil"/>
              <w:bottom w:val="single" w:sz="4" w:space="0" w:color="auto"/>
              <w:right w:val="nil"/>
            </w:tcBorders>
            <w:vAlign w:val="bottom"/>
          </w:tcPr>
          <w:p w:rsidR="002208DA" w:rsidRPr="00900CB7" w:rsidRDefault="002208DA" w:rsidP="00257732">
            <w:pPr>
              <w:jc w:val="cente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2017</w:t>
            </w:r>
          </w:p>
        </w:tc>
        <w:tc>
          <w:tcPr>
            <w:tcW w:w="881" w:type="pct"/>
            <w:tcBorders>
              <w:top w:val="single" w:sz="4" w:space="0" w:color="auto"/>
              <w:left w:val="nil"/>
              <w:bottom w:val="single" w:sz="4" w:space="0" w:color="auto"/>
              <w:right w:val="nil"/>
            </w:tcBorders>
            <w:shd w:val="clear" w:color="auto" w:fill="auto"/>
            <w:noWrap/>
            <w:vAlign w:val="bottom"/>
            <w:hideMark/>
          </w:tcPr>
          <w:p w:rsidR="002208DA" w:rsidRPr="00900CB7" w:rsidRDefault="002208DA" w:rsidP="00257732">
            <w:pPr>
              <w:jc w:val="cente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2013–2017</w:t>
            </w:r>
          </w:p>
        </w:tc>
      </w:tr>
      <w:tr w:rsidR="002208DA" w:rsidRPr="00051B20" w:rsidTr="00A553DA">
        <w:trPr>
          <w:trHeight w:val="234"/>
        </w:trPr>
        <w:tc>
          <w:tcPr>
            <w:tcW w:w="1319" w:type="pct"/>
            <w:tcBorders>
              <w:left w:val="nil"/>
              <w:bottom w:val="nil"/>
              <w:right w:val="nil"/>
            </w:tcBorders>
            <w:shd w:val="clear" w:color="auto" w:fill="auto"/>
            <w:noWrap/>
          </w:tcPr>
          <w:p w:rsidR="002208DA" w:rsidRPr="00900CB7" w:rsidRDefault="002208DA" w:rsidP="00A553DA">
            <w:pP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Våpen, 2014</w:t>
            </w:r>
          </w:p>
        </w:tc>
        <w:tc>
          <w:tcPr>
            <w:tcW w:w="625" w:type="pct"/>
            <w:tcBorders>
              <w:left w:val="nil"/>
              <w:bottom w:val="nil"/>
              <w:right w:val="nil"/>
            </w:tcBorders>
            <w:shd w:val="clear" w:color="auto" w:fill="auto"/>
            <w:noWrap/>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3,6</w:t>
            </w:r>
          </w:p>
        </w:tc>
        <w:tc>
          <w:tcPr>
            <w:tcW w:w="532" w:type="pct"/>
            <w:tcBorders>
              <w:left w:val="nil"/>
              <w:bottom w:val="nil"/>
              <w:right w:val="nil"/>
            </w:tcBorders>
            <w:shd w:val="clear" w:color="auto" w:fill="auto"/>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3,5</w:t>
            </w:r>
          </w:p>
        </w:tc>
        <w:tc>
          <w:tcPr>
            <w:tcW w:w="532" w:type="pct"/>
            <w:tcBorders>
              <w:left w:val="nil"/>
              <w:bottom w:val="nil"/>
              <w:right w:val="nil"/>
            </w:tcBorders>
            <w:shd w:val="clear" w:color="auto" w:fill="auto"/>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4,3</w:t>
            </w:r>
          </w:p>
        </w:tc>
        <w:tc>
          <w:tcPr>
            <w:tcW w:w="532" w:type="pct"/>
            <w:tcBorders>
              <w:left w:val="nil"/>
              <w:bottom w:val="nil"/>
              <w:right w:val="nil"/>
            </w:tcBorders>
            <w:shd w:val="clear" w:color="auto" w:fill="auto"/>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5,2</w:t>
            </w:r>
          </w:p>
        </w:tc>
        <w:tc>
          <w:tcPr>
            <w:tcW w:w="580" w:type="pct"/>
            <w:tcBorders>
              <w:left w:val="nil"/>
              <w:bottom w:val="nil"/>
              <w:right w:val="nil"/>
            </w:tcBorders>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5,2</w:t>
            </w:r>
          </w:p>
        </w:tc>
        <w:tc>
          <w:tcPr>
            <w:tcW w:w="881" w:type="pct"/>
            <w:tcBorders>
              <w:left w:val="nil"/>
              <w:bottom w:val="nil"/>
              <w:right w:val="nil"/>
            </w:tcBorders>
            <w:shd w:val="clear" w:color="auto" w:fill="auto"/>
            <w:noWrap/>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23,8</w:t>
            </w:r>
          </w:p>
        </w:tc>
      </w:tr>
      <w:tr w:rsidR="002208DA" w:rsidRPr="006C3985" w:rsidTr="00A553DA">
        <w:trPr>
          <w:trHeight w:val="234"/>
        </w:trPr>
        <w:tc>
          <w:tcPr>
            <w:tcW w:w="1319" w:type="pct"/>
            <w:tcBorders>
              <w:left w:val="nil"/>
              <w:bottom w:val="nil"/>
              <w:right w:val="nil"/>
            </w:tcBorders>
            <w:shd w:val="clear" w:color="auto" w:fill="auto"/>
            <w:noWrap/>
            <w:vAlign w:val="center"/>
          </w:tcPr>
          <w:p w:rsidR="002208DA" w:rsidRPr="00900CB7" w:rsidRDefault="002208DA" w:rsidP="00B05634">
            <w:pP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 xml:space="preserve">SKL, </w:t>
            </w:r>
            <w:r w:rsidR="00F65861">
              <w:rPr>
                <w:rFonts w:asciiTheme="majorHAnsi" w:eastAsia="Calibri" w:hAnsiTheme="majorHAnsi" w:cstheme="majorHAnsi"/>
                <w:kern w:val="24"/>
                <w:sz w:val="20"/>
                <w:szCs w:val="20"/>
                <w:lang w:eastAsia="sv-SE"/>
              </w:rPr>
              <w:t xml:space="preserve">april </w:t>
            </w:r>
            <w:r w:rsidRPr="00900CB7">
              <w:rPr>
                <w:rFonts w:asciiTheme="majorHAnsi" w:eastAsia="Calibri" w:hAnsiTheme="majorHAnsi" w:cstheme="majorHAnsi"/>
                <w:kern w:val="24"/>
                <w:sz w:val="20"/>
                <w:szCs w:val="20"/>
                <w:lang w:eastAsia="sv-SE"/>
              </w:rPr>
              <w:t>2014</w:t>
            </w:r>
          </w:p>
        </w:tc>
        <w:tc>
          <w:tcPr>
            <w:tcW w:w="625" w:type="pct"/>
            <w:tcBorders>
              <w:left w:val="nil"/>
              <w:bottom w:val="nil"/>
              <w:right w:val="nil"/>
            </w:tcBorders>
            <w:shd w:val="clear" w:color="auto" w:fill="auto"/>
            <w:noWrap/>
            <w:vAlign w:val="bottom"/>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3,5</w:t>
            </w:r>
          </w:p>
        </w:tc>
        <w:tc>
          <w:tcPr>
            <w:tcW w:w="532" w:type="pct"/>
            <w:tcBorders>
              <w:left w:val="nil"/>
              <w:bottom w:val="nil"/>
              <w:right w:val="nil"/>
            </w:tcBorders>
            <w:shd w:val="clear" w:color="auto" w:fill="auto"/>
            <w:vAlign w:val="bottom"/>
          </w:tcPr>
          <w:p w:rsidR="002208DA" w:rsidRPr="00900CB7" w:rsidRDefault="00B05634" w:rsidP="00257732">
            <w:pPr>
              <w:jc w:val="right"/>
              <w:rPr>
                <w:rFonts w:asciiTheme="majorHAnsi" w:eastAsia="Calibri" w:hAnsiTheme="majorHAnsi" w:cstheme="majorHAnsi"/>
                <w:kern w:val="24"/>
                <w:sz w:val="20"/>
                <w:szCs w:val="20"/>
                <w:lang w:eastAsia="sv-SE"/>
              </w:rPr>
            </w:pPr>
            <w:r>
              <w:rPr>
                <w:rFonts w:asciiTheme="majorHAnsi" w:eastAsia="Calibri" w:hAnsiTheme="majorHAnsi" w:cstheme="majorHAnsi"/>
                <w:kern w:val="24"/>
                <w:sz w:val="20"/>
                <w:szCs w:val="20"/>
                <w:lang w:eastAsia="sv-SE"/>
              </w:rPr>
              <w:t>3,4</w:t>
            </w:r>
          </w:p>
        </w:tc>
        <w:tc>
          <w:tcPr>
            <w:tcW w:w="532" w:type="pct"/>
            <w:tcBorders>
              <w:left w:val="nil"/>
              <w:bottom w:val="nil"/>
              <w:right w:val="nil"/>
            </w:tcBorders>
            <w:shd w:val="clear" w:color="auto" w:fill="auto"/>
            <w:vAlign w:val="bottom"/>
          </w:tcPr>
          <w:p w:rsidR="002208DA" w:rsidRPr="00900CB7" w:rsidRDefault="00B05634" w:rsidP="00B05634">
            <w:pPr>
              <w:jc w:val="right"/>
              <w:rPr>
                <w:rFonts w:asciiTheme="majorHAnsi" w:eastAsia="Calibri" w:hAnsiTheme="majorHAnsi" w:cstheme="majorHAnsi"/>
                <w:kern w:val="24"/>
                <w:sz w:val="20"/>
                <w:szCs w:val="20"/>
                <w:lang w:eastAsia="sv-SE"/>
              </w:rPr>
            </w:pPr>
            <w:r>
              <w:rPr>
                <w:rFonts w:asciiTheme="majorHAnsi" w:eastAsia="Calibri" w:hAnsiTheme="majorHAnsi" w:cstheme="majorHAnsi"/>
                <w:kern w:val="24"/>
                <w:sz w:val="20"/>
                <w:szCs w:val="20"/>
                <w:lang w:eastAsia="sv-SE"/>
              </w:rPr>
              <w:t>4,7</w:t>
            </w:r>
          </w:p>
        </w:tc>
        <w:tc>
          <w:tcPr>
            <w:tcW w:w="532" w:type="pct"/>
            <w:tcBorders>
              <w:left w:val="nil"/>
              <w:bottom w:val="nil"/>
              <w:right w:val="nil"/>
            </w:tcBorders>
            <w:shd w:val="clear" w:color="auto" w:fill="auto"/>
            <w:vAlign w:val="bottom"/>
          </w:tcPr>
          <w:p w:rsidR="002208DA" w:rsidRPr="00900CB7" w:rsidRDefault="00B05634" w:rsidP="00B05634">
            <w:pPr>
              <w:jc w:val="right"/>
              <w:rPr>
                <w:rFonts w:asciiTheme="majorHAnsi" w:eastAsia="Calibri" w:hAnsiTheme="majorHAnsi" w:cstheme="majorHAnsi"/>
                <w:kern w:val="24"/>
                <w:sz w:val="20"/>
                <w:szCs w:val="20"/>
                <w:lang w:eastAsia="sv-SE"/>
              </w:rPr>
            </w:pPr>
            <w:r>
              <w:rPr>
                <w:rFonts w:asciiTheme="majorHAnsi" w:eastAsia="Calibri" w:hAnsiTheme="majorHAnsi" w:cstheme="majorHAnsi"/>
                <w:kern w:val="24"/>
                <w:sz w:val="20"/>
                <w:szCs w:val="20"/>
                <w:lang w:eastAsia="sv-SE"/>
              </w:rPr>
              <w:t>5,3</w:t>
            </w:r>
          </w:p>
        </w:tc>
        <w:tc>
          <w:tcPr>
            <w:tcW w:w="580" w:type="pct"/>
            <w:tcBorders>
              <w:left w:val="nil"/>
              <w:bottom w:val="nil"/>
              <w:right w:val="nil"/>
            </w:tcBorders>
          </w:tcPr>
          <w:p w:rsidR="002208DA" w:rsidRPr="00900CB7" w:rsidRDefault="00B05634" w:rsidP="00B05634">
            <w:pPr>
              <w:jc w:val="right"/>
              <w:rPr>
                <w:rFonts w:asciiTheme="majorHAnsi" w:eastAsia="Calibri" w:hAnsiTheme="majorHAnsi" w:cstheme="majorHAnsi"/>
                <w:kern w:val="24"/>
                <w:sz w:val="20"/>
                <w:szCs w:val="20"/>
                <w:lang w:eastAsia="sv-SE"/>
              </w:rPr>
            </w:pPr>
            <w:r>
              <w:rPr>
                <w:rFonts w:asciiTheme="majorHAnsi" w:eastAsia="Calibri" w:hAnsiTheme="majorHAnsi" w:cstheme="majorHAnsi"/>
                <w:kern w:val="24"/>
                <w:sz w:val="20"/>
                <w:szCs w:val="20"/>
                <w:lang w:eastAsia="sv-SE"/>
              </w:rPr>
              <w:t>4,9</w:t>
            </w:r>
          </w:p>
        </w:tc>
        <w:tc>
          <w:tcPr>
            <w:tcW w:w="881" w:type="pct"/>
            <w:tcBorders>
              <w:left w:val="nil"/>
              <w:bottom w:val="nil"/>
              <w:right w:val="nil"/>
            </w:tcBorders>
            <w:shd w:val="clear" w:color="auto" w:fill="auto"/>
            <w:noWrap/>
          </w:tcPr>
          <w:p w:rsidR="002208DA" w:rsidRPr="00900CB7" w:rsidRDefault="00B05634" w:rsidP="00B05634">
            <w:pPr>
              <w:jc w:val="right"/>
              <w:rPr>
                <w:rFonts w:asciiTheme="majorHAnsi" w:eastAsia="Calibri" w:hAnsiTheme="majorHAnsi" w:cstheme="majorHAnsi"/>
                <w:kern w:val="24"/>
                <w:sz w:val="20"/>
                <w:szCs w:val="20"/>
                <w:lang w:eastAsia="sv-SE"/>
              </w:rPr>
            </w:pPr>
            <w:r>
              <w:rPr>
                <w:rFonts w:asciiTheme="majorHAnsi" w:eastAsia="Calibri" w:hAnsiTheme="majorHAnsi" w:cstheme="majorHAnsi"/>
                <w:kern w:val="24"/>
                <w:sz w:val="20"/>
                <w:szCs w:val="20"/>
                <w:lang w:eastAsia="sv-SE"/>
              </w:rPr>
              <w:t>23,9</w:t>
            </w:r>
          </w:p>
        </w:tc>
      </w:tr>
      <w:tr w:rsidR="002208DA" w:rsidRPr="006C3985" w:rsidTr="00A553DA">
        <w:trPr>
          <w:trHeight w:val="300"/>
        </w:trPr>
        <w:tc>
          <w:tcPr>
            <w:tcW w:w="1319" w:type="pct"/>
            <w:tcBorders>
              <w:left w:val="nil"/>
              <w:bottom w:val="single" w:sz="4" w:space="0" w:color="auto"/>
              <w:right w:val="nil"/>
            </w:tcBorders>
            <w:shd w:val="clear" w:color="auto" w:fill="auto"/>
            <w:noWrap/>
          </w:tcPr>
          <w:p w:rsidR="002208DA" w:rsidRPr="00900CB7" w:rsidRDefault="002208DA" w:rsidP="00A553DA">
            <w:pPr>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 xml:space="preserve">BP 2014, sept. 2013 </w:t>
            </w:r>
          </w:p>
        </w:tc>
        <w:tc>
          <w:tcPr>
            <w:tcW w:w="625" w:type="pct"/>
            <w:tcBorders>
              <w:left w:val="nil"/>
              <w:bottom w:val="single" w:sz="4" w:space="0" w:color="auto"/>
              <w:right w:val="nil"/>
            </w:tcBorders>
            <w:shd w:val="clear" w:color="auto" w:fill="auto"/>
            <w:noWrap/>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3,9</w:t>
            </w:r>
          </w:p>
        </w:tc>
        <w:tc>
          <w:tcPr>
            <w:tcW w:w="532" w:type="pct"/>
            <w:tcBorders>
              <w:left w:val="nil"/>
              <w:bottom w:val="single" w:sz="4" w:space="0" w:color="auto"/>
              <w:right w:val="nil"/>
            </w:tcBorders>
            <w:shd w:val="clear" w:color="auto" w:fill="auto"/>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2,7</w:t>
            </w:r>
          </w:p>
        </w:tc>
        <w:tc>
          <w:tcPr>
            <w:tcW w:w="532" w:type="pct"/>
            <w:tcBorders>
              <w:left w:val="nil"/>
              <w:bottom w:val="single" w:sz="4" w:space="0" w:color="auto"/>
              <w:right w:val="nil"/>
            </w:tcBorders>
            <w:shd w:val="clear" w:color="auto" w:fill="auto"/>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4,4</w:t>
            </w:r>
          </w:p>
        </w:tc>
        <w:tc>
          <w:tcPr>
            <w:tcW w:w="532" w:type="pct"/>
            <w:tcBorders>
              <w:left w:val="nil"/>
              <w:bottom w:val="single" w:sz="4" w:space="0" w:color="auto"/>
              <w:right w:val="nil"/>
            </w:tcBorders>
            <w:shd w:val="clear" w:color="auto" w:fill="auto"/>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5,2</w:t>
            </w:r>
          </w:p>
        </w:tc>
        <w:tc>
          <w:tcPr>
            <w:tcW w:w="580" w:type="pct"/>
            <w:tcBorders>
              <w:left w:val="nil"/>
              <w:bottom w:val="single" w:sz="4" w:space="0" w:color="auto"/>
              <w:right w:val="nil"/>
            </w:tcBorders>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5,1</w:t>
            </w:r>
          </w:p>
        </w:tc>
        <w:tc>
          <w:tcPr>
            <w:tcW w:w="881" w:type="pct"/>
            <w:tcBorders>
              <w:left w:val="nil"/>
              <w:bottom w:val="single" w:sz="4" w:space="0" w:color="auto"/>
              <w:right w:val="nil"/>
            </w:tcBorders>
            <w:shd w:val="clear" w:color="auto" w:fill="auto"/>
            <w:noWrap/>
          </w:tcPr>
          <w:p w:rsidR="002208DA" w:rsidRPr="00900CB7" w:rsidRDefault="002208DA" w:rsidP="00257732">
            <w:pPr>
              <w:jc w:val="right"/>
              <w:rPr>
                <w:rFonts w:asciiTheme="majorHAnsi" w:eastAsia="Calibri" w:hAnsiTheme="majorHAnsi" w:cstheme="majorHAnsi"/>
                <w:kern w:val="24"/>
                <w:sz w:val="20"/>
                <w:szCs w:val="20"/>
                <w:lang w:eastAsia="sv-SE"/>
              </w:rPr>
            </w:pPr>
            <w:r w:rsidRPr="00900CB7">
              <w:rPr>
                <w:rFonts w:asciiTheme="majorHAnsi" w:eastAsia="Calibri" w:hAnsiTheme="majorHAnsi" w:cstheme="majorHAnsi"/>
                <w:kern w:val="24"/>
                <w:sz w:val="20"/>
                <w:szCs w:val="20"/>
                <w:lang w:eastAsia="sv-SE"/>
              </w:rPr>
              <w:t>23,2</w:t>
            </w:r>
          </w:p>
        </w:tc>
      </w:tr>
    </w:tbl>
    <w:p w:rsidR="002208DA" w:rsidRPr="00155FC3" w:rsidRDefault="002208DA" w:rsidP="00155FC3">
      <w:pPr>
        <w:rPr>
          <w:rFonts w:ascii="Times New Roman" w:eastAsia="Times New Roman" w:hAnsi="Times New Roman" w:cs="Times New Roman"/>
          <w:bCs/>
          <w:color w:val="000000"/>
          <w:kern w:val="24"/>
          <w:sz w:val="20"/>
          <w:lang w:eastAsia="sv-SE"/>
        </w:rPr>
      </w:pPr>
      <w:r w:rsidRPr="00155FC3">
        <w:rPr>
          <w:rFonts w:ascii="Times New Roman" w:eastAsia="Times New Roman" w:hAnsi="Times New Roman" w:cs="Times New Roman"/>
          <w:bCs/>
          <w:color w:val="000000"/>
          <w:kern w:val="24"/>
          <w:sz w:val="20"/>
          <w:lang w:eastAsia="sv-SE"/>
        </w:rPr>
        <w:t>Källa: Sveriges Kommuner och Landsting</w:t>
      </w:r>
    </w:p>
    <w:p w:rsidR="002208DA" w:rsidRPr="00155FC3" w:rsidRDefault="002208DA" w:rsidP="00155FC3">
      <w:pPr>
        <w:rPr>
          <w:rFonts w:ascii="Times New Roman" w:eastAsia="Calibri" w:hAnsi="Times New Roman" w:cs="Times New Roman"/>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Under 2013 var skatteunderlagstillväxten något långsammare än den historiska trenden. Trots att lönesummans bidrag till skatteu</w:t>
      </w:r>
      <w:r w:rsidRPr="00155FC3">
        <w:rPr>
          <w:rFonts w:ascii="Times New Roman" w:eastAsia="Times New Roman" w:hAnsi="Times New Roman" w:cs="Times New Roman"/>
          <w:kern w:val="24"/>
          <w:lang w:eastAsia="sv-SE"/>
        </w:rPr>
        <w:t>n</w:t>
      </w:r>
      <w:r w:rsidRPr="00155FC3">
        <w:rPr>
          <w:rFonts w:ascii="Times New Roman" w:eastAsia="Times New Roman" w:hAnsi="Times New Roman" w:cs="Times New Roman"/>
          <w:kern w:val="24"/>
          <w:lang w:eastAsia="sv-SE"/>
        </w:rPr>
        <w:t>derlaget tilltar under 2014 prognostiserar SKL att tillväxten i skatt</w:t>
      </w:r>
      <w:r w:rsidRPr="00155FC3">
        <w:rPr>
          <w:rFonts w:ascii="Times New Roman" w:eastAsia="Times New Roman" w:hAnsi="Times New Roman" w:cs="Times New Roman"/>
          <w:kern w:val="24"/>
          <w:lang w:eastAsia="sv-SE"/>
        </w:rPr>
        <w:t>e</w:t>
      </w:r>
      <w:r w:rsidRPr="00155FC3">
        <w:rPr>
          <w:rFonts w:ascii="Times New Roman" w:eastAsia="Times New Roman" w:hAnsi="Times New Roman" w:cs="Times New Roman"/>
          <w:kern w:val="24"/>
          <w:lang w:eastAsia="sv-SE"/>
        </w:rPr>
        <w:t xml:space="preserve">underlaget minskar något under året. Orsaken till detta är att den automatiska balanseringen av allmänna pensioner bidrar till att pensionen sänks för många pensionärer. </w:t>
      </w:r>
    </w:p>
    <w:p w:rsidR="002208DA" w:rsidRPr="00155FC3" w:rsidRDefault="002208DA" w:rsidP="00155FC3">
      <w:pPr>
        <w:autoSpaceDE w:val="0"/>
        <w:autoSpaceDN w:val="0"/>
        <w:adjustRightInd w:val="0"/>
        <w:rPr>
          <w:rFonts w:ascii="Times New Roman" w:eastAsia="Times New Roman" w:hAnsi="Times New Roman" w:cs="Times New Roman"/>
          <w:kern w:val="24"/>
          <w:lang w:eastAsia="sv-SE"/>
        </w:rPr>
      </w:pPr>
    </w:p>
    <w:p w:rsidR="002208DA" w:rsidRPr="00155FC3" w:rsidRDefault="002208DA" w:rsidP="00155FC3">
      <w:pPr>
        <w:autoSpaceDE w:val="0"/>
        <w:autoSpaceDN w:val="0"/>
        <w:adjustRightInd w:val="0"/>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 xml:space="preserve">Under 2015 och 2016 väntas skatteunderlaget växa kraftigare. Det beror på att den konjunkturella återhämtningen leder till ytterligare ökad sysselsättning samt minskad arbetslöshet och därmed tilltar löneökningstakten. Dessutom stiger inkomstindex snabbare och den automatiska balanseringen av pensioner ger pensionshöjningar. År 2017 avtar tillväxttakten i skatteunderlaget något igen, enligt SKL, eftersom sysselsättningsutvecklingen inte förväntas vara lika stark. </w:t>
      </w:r>
    </w:p>
    <w:p w:rsidR="002208DA" w:rsidRPr="00155FC3" w:rsidRDefault="002208DA" w:rsidP="00155FC3">
      <w:pPr>
        <w:autoSpaceDE w:val="0"/>
        <w:autoSpaceDN w:val="0"/>
        <w:adjustRightInd w:val="0"/>
        <w:rPr>
          <w:rFonts w:ascii="Times New Roman" w:eastAsia="Times New Roman" w:hAnsi="Times New Roman" w:cs="Times New Roman"/>
          <w:kern w:val="24"/>
          <w:lang w:eastAsia="sv-SE"/>
        </w:rPr>
      </w:pPr>
    </w:p>
    <w:p w:rsidR="002208DA" w:rsidRPr="00155FC3" w:rsidRDefault="002208DA" w:rsidP="00155FC3">
      <w:pPr>
        <w:autoSpaceDE w:val="0"/>
        <w:autoSpaceDN w:val="0"/>
        <w:adjustRightInd w:val="0"/>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Från och med 2014 finns ett reviderat system för kommunalekon</w:t>
      </w:r>
      <w:r w:rsidRPr="00155FC3">
        <w:rPr>
          <w:rFonts w:ascii="Times New Roman" w:eastAsia="Times New Roman" w:hAnsi="Times New Roman" w:cs="Times New Roman"/>
          <w:kern w:val="24"/>
          <w:lang w:eastAsia="sv-SE"/>
        </w:rPr>
        <w:t>o</w:t>
      </w:r>
      <w:r w:rsidRPr="00155FC3">
        <w:rPr>
          <w:rFonts w:ascii="Times New Roman" w:eastAsia="Times New Roman" w:hAnsi="Times New Roman" w:cs="Times New Roman"/>
          <w:kern w:val="24"/>
          <w:lang w:eastAsia="sv-SE"/>
        </w:rPr>
        <w:t>misk utjämning. För Stockholms stad innebär det ett kraftigt fö</w:t>
      </w:r>
      <w:r w:rsidRPr="00155FC3">
        <w:rPr>
          <w:rFonts w:ascii="Times New Roman" w:eastAsia="Times New Roman" w:hAnsi="Times New Roman" w:cs="Times New Roman"/>
          <w:kern w:val="24"/>
          <w:lang w:eastAsia="sv-SE"/>
        </w:rPr>
        <w:t>r</w:t>
      </w:r>
      <w:r w:rsidRPr="00155FC3">
        <w:rPr>
          <w:rFonts w:ascii="Times New Roman" w:eastAsia="Times New Roman" w:hAnsi="Times New Roman" w:cs="Times New Roman"/>
          <w:kern w:val="24"/>
          <w:lang w:eastAsia="sv-SE"/>
        </w:rPr>
        <w:t>sämrat utfall i kostnadsutjämningen. När införandereglerna trappa</w:t>
      </w:r>
      <w:r>
        <w:rPr>
          <w:rFonts w:ascii="Times New Roman" w:eastAsia="Times New Roman" w:hAnsi="Times New Roman" w:cs="Times New Roman"/>
          <w:kern w:val="24"/>
          <w:lang w:eastAsia="sv-SE"/>
        </w:rPr>
        <w:t>t</w:t>
      </w:r>
      <w:r w:rsidRPr="00155FC3">
        <w:rPr>
          <w:rFonts w:ascii="Times New Roman" w:eastAsia="Times New Roman" w:hAnsi="Times New Roman" w:cs="Times New Roman"/>
          <w:kern w:val="24"/>
          <w:lang w:eastAsia="sv-SE"/>
        </w:rPr>
        <w:t xml:space="preserve">s av kommer detta att innebära att staden </w:t>
      </w:r>
      <w:r>
        <w:rPr>
          <w:rFonts w:ascii="Times New Roman" w:eastAsia="Times New Roman" w:hAnsi="Times New Roman" w:cs="Times New Roman"/>
          <w:kern w:val="24"/>
          <w:lang w:eastAsia="sv-SE"/>
        </w:rPr>
        <w:t xml:space="preserve">har </w:t>
      </w:r>
      <w:r w:rsidRPr="00155FC3">
        <w:rPr>
          <w:rFonts w:ascii="Times New Roman" w:eastAsia="Times New Roman" w:hAnsi="Times New Roman" w:cs="Times New Roman"/>
          <w:kern w:val="24"/>
          <w:lang w:eastAsia="sv-SE"/>
        </w:rPr>
        <w:t>tappa</w:t>
      </w:r>
      <w:r>
        <w:rPr>
          <w:rFonts w:ascii="Times New Roman" w:eastAsia="Times New Roman" w:hAnsi="Times New Roman" w:cs="Times New Roman"/>
          <w:kern w:val="24"/>
          <w:lang w:eastAsia="sv-SE"/>
        </w:rPr>
        <w:t>t</w:t>
      </w:r>
      <w:r w:rsidRPr="00155FC3">
        <w:rPr>
          <w:rFonts w:ascii="Times New Roman" w:eastAsia="Times New Roman" w:hAnsi="Times New Roman" w:cs="Times New Roman"/>
          <w:kern w:val="24"/>
          <w:lang w:eastAsia="sv-SE"/>
        </w:rPr>
        <w:t xml:space="preserve"> </w:t>
      </w:r>
      <w:r>
        <w:rPr>
          <w:rFonts w:ascii="Times New Roman" w:eastAsia="Times New Roman" w:hAnsi="Times New Roman" w:cs="Times New Roman"/>
          <w:kern w:val="24"/>
          <w:lang w:eastAsia="sv-SE"/>
        </w:rPr>
        <w:t>cirka 1,0 md</w:t>
      </w:r>
      <w:r w:rsidRPr="00155FC3">
        <w:rPr>
          <w:rFonts w:ascii="Times New Roman" w:eastAsia="Times New Roman" w:hAnsi="Times New Roman" w:cs="Times New Roman"/>
          <w:kern w:val="24"/>
          <w:lang w:eastAsia="sv-SE"/>
        </w:rPr>
        <w:t>kr i finansiering.</w:t>
      </w:r>
    </w:p>
    <w:p w:rsidR="002208DA" w:rsidRPr="00155FC3" w:rsidRDefault="002208DA" w:rsidP="00155FC3">
      <w:pPr>
        <w:pStyle w:val="Rubrik3"/>
        <w:rPr>
          <w:rFonts w:eastAsia="Times New Roman"/>
          <w:lang w:eastAsia="sv-SE"/>
        </w:rPr>
      </w:pPr>
      <w:r w:rsidRPr="00155FC3">
        <w:rPr>
          <w:rFonts w:eastAsia="Times New Roman"/>
          <w:lang w:eastAsia="sv-SE"/>
        </w:rPr>
        <w:t>Vårpropositionen</w:t>
      </w:r>
    </w:p>
    <w:p w:rsidR="002208DA" w:rsidRPr="00900CB7" w:rsidRDefault="002208DA" w:rsidP="00900CB7">
      <w:pPr>
        <w:autoSpaceDE w:val="0"/>
        <w:autoSpaceDN w:val="0"/>
        <w:adjustRightInd w:val="0"/>
        <w:rPr>
          <w:rFonts w:ascii="Times New Roman" w:eastAsia="Times New Roman" w:hAnsi="Times New Roman" w:cs="Times New Roman"/>
          <w:kern w:val="24"/>
          <w:lang w:eastAsia="sv-SE"/>
        </w:rPr>
      </w:pPr>
      <w:r w:rsidRPr="00900CB7">
        <w:rPr>
          <w:rFonts w:ascii="Times New Roman" w:eastAsia="Times New Roman" w:hAnsi="Times New Roman" w:cs="Times New Roman"/>
          <w:kern w:val="24"/>
          <w:lang w:eastAsia="sv-SE"/>
        </w:rPr>
        <w:t>Den 9 april presenterades 2014 års vårproposition. Propositionen innehåller regeringens riktlinjer för den ekonomiska politiken och budgetpolitiken på medellång och lång sikt medan de konkreta fö</w:t>
      </w:r>
      <w:r w:rsidRPr="00900CB7">
        <w:rPr>
          <w:rFonts w:ascii="Times New Roman" w:eastAsia="Times New Roman" w:hAnsi="Times New Roman" w:cs="Times New Roman"/>
          <w:kern w:val="24"/>
          <w:lang w:eastAsia="sv-SE"/>
        </w:rPr>
        <w:t>r</w:t>
      </w:r>
      <w:r w:rsidRPr="00900CB7">
        <w:rPr>
          <w:rFonts w:ascii="Times New Roman" w:eastAsia="Times New Roman" w:hAnsi="Times New Roman" w:cs="Times New Roman"/>
          <w:kern w:val="24"/>
          <w:lang w:eastAsia="sv-SE"/>
        </w:rPr>
        <w:t xml:space="preserve">slagen först presenteras i budgetpropositionen till hösten. </w:t>
      </w:r>
    </w:p>
    <w:p w:rsidR="002208DA" w:rsidRPr="00900CB7" w:rsidRDefault="002208DA" w:rsidP="00900CB7">
      <w:pPr>
        <w:autoSpaceDE w:val="0"/>
        <w:autoSpaceDN w:val="0"/>
        <w:adjustRightInd w:val="0"/>
        <w:rPr>
          <w:rFonts w:ascii="Times New Roman" w:eastAsia="Times New Roman" w:hAnsi="Times New Roman" w:cs="Times New Roman"/>
          <w:kern w:val="24"/>
          <w:lang w:eastAsia="sv-SE"/>
        </w:rPr>
      </w:pPr>
    </w:p>
    <w:p w:rsidR="002208DA" w:rsidRPr="00900CB7" w:rsidRDefault="002208DA" w:rsidP="00257732">
      <w:pPr>
        <w:autoSpaceDE w:val="0"/>
        <w:autoSpaceDN w:val="0"/>
        <w:adjustRightInd w:val="0"/>
        <w:rPr>
          <w:rFonts w:ascii="Times New Roman" w:eastAsia="Times New Roman" w:hAnsi="Times New Roman" w:cs="Times New Roman"/>
          <w:kern w:val="24"/>
          <w:lang w:eastAsia="sv-SE"/>
        </w:rPr>
      </w:pPr>
      <w:r w:rsidRPr="00900CB7">
        <w:rPr>
          <w:rFonts w:ascii="Times New Roman" w:eastAsia="Times New Roman" w:hAnsi="Times New Roman" w:cs="Times New Roman"/>
          <w:kern w:val="24"/>
          <w:lang w:eastAsia="sv-SE"/>
        </w:rPr>
        <w:t>Regeringen tecknar i likhet med övriga konjunkturbedömare en ljus bild av svensk ekonomi. Den konjunkturåterhämtning som inleddes under slutet av 2013 bedöms fortsätta under 2014 och 2015. Reg</w:t>
      </w:r>
      <w:r w:rsidRPr="00900CB7">
        <w:rPr>
          <w:rFonts w:ascii="Times New Roman" w:eastAsia="Times New Roman" w:hAnsi="Times New Roman" w:cs="Times New Roman"/>
          <w:kern w:val="24"/>
          <w:lang w:eastAsia="sv-SE"/>
        </w:rPr>
        <w:t>e</w:t>
      </w:r>
      <w:r w:rsidRPr="00900CB7">
        <w:rPr>
          <w:rFonts w:ascii="Times New Roman" w:eastAsia="Times New Roman" w:hAnsi="Times New Roman" w:cs="Times New Roman"/>
          <w:kern w:val="24"/>
          <w:lang w:eastAsia="sv-SE"/>
        </w:rPr>
        <w:t xml:space="preserve">ringen understryker att det fortfarande råder stor osäkerhet om den framtida konjunkturutvecklingen och att riskerna för en svagare utveckling fortfarande väger över. </w:t>
      </w:r>
    </w:p>
    <w:p w:rsidR="002208DA" w:rsidRPr="00900CB7" w:rsidRDefault="002208DA" w:rsidP="00900CB7">
      <w:pPr>
        <w:autoSpaceDE w:val="0"/>
        <w:autoSpaceDN w:val="0"/>
        <w:adjustRightInd w:val="0"/>
        <w:rPr>
          <w:rFonts w:ascii="Times New Roman" w:eastAsia="Times New Roman" w:hAnsi="Times New Roman" w:cs="Times New Roman"/>
          <w:kern w:val="24"/>
          <w:lang w:eastAsia="sv-SE"/>
        </w:rPr>
      </w:pPr>
    </w:p>
    <w:p w:rsidR="002208DA" w:rsidRPr="00900CB7" w:rsidRDefault="002208DA" w:rsidP="00900CB7">
      <w:pPr>
        <w:autoSpaceDE w:val="0"/>
        <w:autoSpaceDN w:val="0"/>
        <w:adjustRightInd w:val="0"/>
        <w:rPr>
          <w:rFonts w:ascii="Times New Roman" w:eastAsia="Times New Roman" w:hAnsi="Times New Roman" w:cs="Times New Roman"/>
          <w:kern w:val="24"/>
          <w:lang w:eastAsia="sv-SE"/>
        </w:rPr>
      </w:pPr>
      <w:r w:rsidRPr="00900CB7">
        <w:rPr>
          <w:rFonts w:ascii="Times New Roman" w:eastAsia="Times New Roman" w:hAnsi="Times New Roman" w:cs="Times New Roman"/>
          <w:kern w:val="24"/>
          <w:lang w:eastAsia="sv-SE"/>
        </w:rPr>
        <w:lastRenderedPageBreak/>
        <w:t>Regeringens förslag till åtgärder riktar sig framför allt till skolan, men även till vården och för att stimulera företagandet. Satsningen innehåller bland annat fler utbildningsplatser för både förskollärare och lärare, lågstadielyftet för att höja kvaliteten i undervisningen, matematiksatsning i åk 7-9, läxhjälp samt betyg i åk 4 och 5. Ko</w:t>
      </w:r>
      <w:r w:rsidRPr="00900CB7">
        <w:rPr>
          <w:rFonts w:ascii="Times New Roman" w:eastAsia="Times New Roman" w:hAnsi="Times New Roman" w:cs="Times New Roman"/>
          <w:kern w:val="24"/>
          <w:lang w:eastAsia="sv-SE"/>
        </w:rPr>
        <w:t>m</w:t>
      </w:r>
      <w:r w:rsidRPr="00900CB7">
        <w:rPr>
          <w:rFonts w:ascii="Times New Roman" w:eastAsia="Times New Roman" w:hAnsi="Times New Roman" w:cs="Times New Roman"/>
          <w:kern w:val="24"/>
          <w:lang w:eastAsia="sv-SE"/>
        </w:rPr>
        <w:t>munerna får också en särskild ersättning för att förbättra integra</w:t>
      </w:r>
      <w:r w:rsidRPr="00900CB7">
        <w:rPr>
          <w:rFonts w:ascii="Times New Roman" w:eastAsia="Times New Roman" w:hAnsi="Times New Roman" w:cs="Times New Roman"/>
          <w:kern w:val="24"/>
          <w:lang w:eastAsia="sv-SE"/>
        </w:rPr>
        <w:t>t</w:t>
      </w:r>
      <w:r w:rsidRPr="00900CB7">
        <w:rPr>
          <w:rFonts w:ascii="Times New Roman" w:eastAsia="Times New Roman" w:hAnsi="Times New Roman" w:cs="Times New Roman"/>
          <w:kern w:val="24"/>
          <w:lang w:eastAsia="sv-SE"/>
        </w:rPr>
        <w:t>ionen av nyanlända. För 2015 uppgår regeringens satsning på sk</w:t>
      </w:r>
      <w:r w:rsidRPr="00900CB7">
        <w:rPr>
          <w:rFonts w:ascii="Times New Roman" w:eastAsia="Times New Roman" w:hAnsi="Times New Roman" w:cs="Times New Roman"/>
          <w:kern w:val="24"/>
          <w:lang w:eastAsia="sv-SE"/>
        </w:rPr>
        <w:t>o</w:t>
      </w:r>
      <w:r w:rsidRPr="00900CB7">
        <w:rPr>
          <w:rFonts w:ascii="Times New Roman" w:eastAsia="Times New Roman" w:hAnsi="Times New Roman" w:cs="Times New Roman"/>
          <w:kern w:val="24"/>
          <w:lang w:eastAsia="sv-SE"/>
        </w:rPr>
        <w:t>lan och kunskapsfrågor till 3,8 mdkr.</w:t>
      </w:r>
    </w:p>
    <w:p w:rsidR="002208DA" w:rsidRPr="00155FC3" w:rsidRDefault="002208DA" w:rsidP="00155FC3">
      <w:pPr>
        <w:pStyle w:val="Rubrik3"/>
        <w:rPr>
          <w:rFonts w:eastAsia="Times New Roman"/>
          <w:lang w:eastAsia="sv-SE"/>
        </w:rPr>
      </w:pPr>
      <w:r w:rsidRPr="00155FC3">
        <w:rPr>
          <w:rFonts w:eastAsia="Times New Roman"/>
          <w:lang w:eastAsia="sv-SE"/>
        </w:rPr>
        <w:t>God ekonomisk hushållning grundläggande</w:t>
      </w:r>
    </w:p>
    <w:p w:rsidR="002208DA" w:rsidRDefault="002208DA" w:rsidP="00155FC3">
      <w:r w:rsidRPr="00155FC3">
        <w:rPr>
          <w:rFonts w:ascii="Times New Roman" w:eastAsia="Times New Roman" w:hAnsi="Times New Roman" w:cs="Times New Roman"/>
          <w:kern w:val="24"/>
          <w:lang w:eastAsia="sv-SE"/>
        </w:rPr>
        <w:t>Kommunerna står de kommande åren inför utmaningar som ökade investeringar och kraftigt ökade behov från befolkningsförändrin</w:t>
      </w:r>
      <w:r w:rsidRPr="00155FC3">
        <w:rPr>
          <w:rFonts w:ascii="Times New Roman" w:eastAsia="Times New Roman" w:hAnsi="Times New Roman" w:cs="Times New Roman"/>
          <w:kern w:val="24"/>
          <w:lang w:eastAsia="sv-SE"/>
        </w:rPr>
        <w:t>g</w:t>
      </w:r>
      <w:r w:rsidRPr="00155FC3">
        <w:rPr>
          <w:rFonts w:ascii="Times New Roman" w:eastAsia="Times New Roman" w:hAnsi="Times New Roman" w:cs="Times New Roman"/>
          <w:kern w:val="24"/>
          <w:lang w:eastAsia="sv-SE"/>
        </w:rPr>
        <w:t>ar. Detta innebär att kostnaderna kommer att öka snabbare än intä</w:t>
      </w:r>
      <w:r w:rsidRPr="00155FC3">
        <w:rPr>
          <w:rFonts w:ascii="Times New Roman" w:eastAsia="Times New Roman" w:hAnsi="Times New Roman" w:cs="Times New Roman"/>
          <w:kern w:val="24"/>
          <w:lang w:eastAsia="sv-SE"/>
        </w:rPr>
        <w:t>k</w:t>
      </w:r>
      <w:r w:rsidRPr="00155FC3">
        <w:rPr>
          <w:rFonts w:ascii="Times New Roman" w:eastAsia="Times New Roman" w:hAnsi="Times New Roman" w:cs="Times New Roman"/>
          <w:kern w:val="24"/>
          <w:lang w:eastAsia="sv-SE"/>
        </w:rPr>
        <w:t>terna från skatteunderlagets tillväxt.</w:t>
      </w:r>
      <w:r w:rsidRPr="00155FC3">
        <w:rPr>
          <w:rFonts w:ascii="ChronicleTextG1-Roman" w:eastAsia="Times New Roman" w:hAnsi="ChronicleTextG1-Roman" w:cs="ChronicleTextG1-Roman"/>
          <w:kern w:val="24"/>
          <w:lang w:eastAsia="sv-SE"/>
        </w:rPr>
        <w:t xml:space="preserve"> </w:t>
      </w:r>
      <w:r w:rsidRPr="00155FC3">
        <w:rPr>
          <w:rFonts w:ascii="Times New Roman" w:eastAsia="Times New Roman" w:hAnsi="Times New Roman" w:cs="Times New Roman"/>
          <w:kern w:val="24"/>
          <w:lang w:eastAsia="sv-SE"/>
        </w:rPr>
        <w:t>God ekonomisk hushållning är fortfarande grundläggande. Likaså är det viktigt att fortsätta arbetet med prioriteringar och en hög kostnadseffektivitet för att stå bra rustad inför kommande utmaningar.</w:t>
      </w:r>
    </w:p>
    <w:p w:rsidR="002208DA" w:rsidRDefault="002208DA" w:rsidP="00F4376A">
      <w:pPr>
        <w:pStyle w:val="Rubrik2"/>
      </w:pPr>
      <w:r>
        <w:t>Demografiska förändringar och deras påverkan på st</w:t>
      </w:r>
      <w:r>
        <w:t>a</w:t>
      </w:r>
      <w:r>
        <w:t>dens kostnader</w:t>
      </w:r>
    </w:p>
    <w:p w:rsidR="002208DA" w:rsidRPr="00155FC3" w:rsidRDefault="002208DA" w:rsidP="00155FC3">
      <w:pPr>
        <w:pStyle w:val="Rubrik3"/>
        <w:rPr>
          <w:rFonts w:eastAsia="Times New Roman"/>
          <w:lang w:eastAsia="sv-SE"/>
        </w:rPr>
      </w:pPr>
      <w:r w:rsidRPr="00155FC3">
        <w:rPr>
          <w:rFonts w:eastAsia="Times New Roman"/>
          <w:lang w:eastAsia="sv-SE"/>
        </w:rPr>
        <w:t>Stockholms starka befolkningsutveckling fortsätter</w:t>
      </w: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Stockholms starka befolkningsutveckling fortsätter. Vid årsskiftet uppgick stadens</w:t>
      </w:r>
      <w:r w:rsidRPr="00155FC3">
        <w:rPr>
          <w:rFonts w:ascii="Times New Roman" w:eastAsia="Times New Roman" w:hAnsi="Times New Roman" w:cs="Times New Roman"/>
          <w:i/>
          <w:kern w:val="24"/>
          <w:lang w:eastAsia="sv-SE"/>
        </w:rPr>
        <w:t xml:space="preserve"> </w:t>
      </w:r>
      <w:r w:rsidRPr="00155FC3">
        <w:rPr>
          <w:rFonts w:ascii="Times New Roman" w:eastAsia="Times New Roman" w:hAnsi="Times New Roman" w:cs="Times New Roman"/>
          <w:kern w:val="24"/>
          <w:lang w:eastAsia="sv-SE"/>
        </w:rPr>
        <w:t>befolkning till 897 700 invånare. Det innebär en ökning på 16 465 invånare jämfört med 2012. Även länets befol</w:t>
      </w:r>
      <w:r w:rsidRPr="00155FC3">
        <w:rPr>
          <w:rFonts w:ascii="Times New Roman" w:eastAsia="Times New Roman" w:hAnsi="Times New Roman" w:cs="Times New Roman"/>
          <w:kern w:val="24"/>
          <w:lang w:eastAsia="sv-SE"/>
        </w:rPr>
        <w:t>k</w:t>
      </w:r>
      <w:r w:rsidRPr="00155FC3">
        <w:rPr>
          <w:rFonts w:ascii="Times New Roman" w:eastAsia="Times New Roman" w:hAnsi="Times New Roman" w:cs="Times New Roman"/>
          <w:kern w:val="24"/>
          <w:lang w:eastAsia="sv-SE"/>
        </w:rPr>
        <w:t>ning ökade kraftigt, med 36 036 invånare. Därmed stod Stockholms län för omkring 40 procent av Sveriges totala befolkningsökning och staden för cirka en femtedel av rikets ökning. En något mindre andel än 2011 och 2012, då länet stod för halva Sveriges befol</w:t>
      </w:r>
      <w:r w:rsidRPr="00155FC3">
        <w:rPr>
          <w:rFonts w:ascii="Times New Roman" w:eastAsia="Times New Roman" w:hAnsi="Times New Roman" w:cs="Times New Roman"/>
          <w:kern w:val="24"/>
          <w:lang w:eastAsia="sv-SE"/>
        </w:rPr>
        <w:t>k</w:t>
      </w:r>
      <w:r w:rsidRPr="00155FC3">
        <w:rPr>
          <w:rFonts w:ascii="Times New Roman" w:eastAsia="Times New Roman" w:hAnsi="Times New Roman" w:cs="Times New Roman"/>
          <w:kern w:val="24"/>
          <w:lang w:eastAsia="sv-SE"/>
        </w:rPr>
        <w:t>ningsökning.</w:t>
      </w:r>
    </w:p>
    <w:p w:rsidR="002208DA" w:rsidRPr="00155FC3" w:rsidRDefault="002208DA" w:rsidP="00155FC3">
      <w:pPr>
        <w:pStyle w:val="Rubrik4"/>
        <w:rPr>
          <w:rFonts w:eastAsia="Times New Roman"/>
          <w:lang w:eastAsia="sv-SE"/>
        </w:rPr>
      </w:pPr>
      <w:r w:rsidRPr="00155FC3">
        <w:rPr>
          <w:rFonts w:eastAsia="Times New Roman"/>
          <w:lang w:eastAsia="sv-SE"/>
        </w:rPr>
        <w:lastRenderedPageBreak/>
        <w:t>Befolkningstillväxten i staden, länet och riket i förhållande till motsvarande kvartal föregående år, procentuell utveckling</w:t>
      </w:r>
    </w:p>
    <w:p w:rsidR="002208DA" w:rsidRPr="00155FC3" w:rsidRDefault="002208DA" w:rsidP="00155FC3">
      <w:pPr>
        <w:ind w:left="-851"/>
        <w:rPr>
          <w:rFonts w:ascii="Times New Roman" w:eastAsia="Times New Roman" w:hAnsi="Times New Roman" w:cs="Times New Roman"/>
          <w:kern w:val="24"/>
          <w:lang w:eastAsia="sv-SE"/>
        </w:rPr>
      </w:pPr>
      <w:r w:rsidRPr="00155FC3">
        <w:rPr>
          <w:rFonts w:ascii="Times New Roman" w:eastAsia="Times New Roman" w:hAnsi="Times New Roman" w:cs="Times New Roman"/>
          <w:noProof/>
          <w:kern w:val="24"/>
          <w:lang w:eastAsia="sv-SE"/>
        </w:rPr>
        <w:drawing>
          <wp:inline distT="0" distB="0" distL="0" distR="0" wp14:anchorId="3DD12021" wp14:editId="1ACA6370">
            <wp:extent cx="5058410" cy="2740104"/>
            <wp:effectExtent l="0" t="0" r="8890" b="3175"/>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08DA" w:rsidRPr="00155FC3" w:rsidRDefault="002208DA" w:rsidP="00155FC3">
      <w:pPr>
        <w:spacing w:after="80" w:line="200" w:lineRule="atLeast"/>
        <w:rPr>
          <w:rFonts w:ascii="Times New Roman" w:eastAsia="Times New Roman" w:hAnsi="Times New Roman" w:cs="Times New Roman"/>
          <w:sz w:val="20"/>
          <w:szCs w:val="20"/>
          <w:lang w:eastAsia="sv-SE"/>
        </w:rPr>
      </w:pPr>
      <w:r w:rsidRPr="00155FC3">
        <w:rPr>
          <w:rFonts w:ascii="Times New Roman" w:eastAsia="Times New Roman" w:hAnsi="Times New Roman" w:cs="Times New Roman"/>
          <w:sz w:val="20"/>
          <w:szCs w:val="20"/>
          <w:lang w:eastAsia="sv-SE"/>
        </w:rPr>
        <w:t>Källa: Sweco</w:t>
      </w:r>
    </w:p>
    <w:p w:rsidR="002208DA" w:rsidRPr="00155FC3" w:rsidRDefault="002208DA" w:rsidP="00155FC3">
      <w:pPr>
        <w:spacing w:after="80" w:line="200" w:lineRule="atLeast"/>
        <w:rPr>
          <w:rFonts w:ascii="Times New Roman" w:eastAsia="Times New Roman" w:hAnsi="Times New Roman" w:cs="Times New Roman"/>
          <w:sz w:val="20"/>
          <w:szCs w:val="20"/>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Befolkningsutvecklingen koncentreras i allt högre utsträckning till redan växande och kraftfulla arbetsmarknadsregioner. De senaste 30 åren har Sveriges befolkning ökat med omkring 1,3 miljoner inv</w:t>
      </w:r>
      <w:r w:rsidRPr="00155FC3">
        <w:rPr>
          <w:rFonts w:ascii="Times New Roman" w:eastAsia="Times New Roman" w:hAnsi="Times New Roman" w:cs="Times New Roman"/>
          <w:kern w:val="24"/>
          <w:lang w:eastAsia="sv-SE"/>
        </w:rPr>
        <w:t>å</w:t>
      </w:r>
      <w:r w:rsidRPr="00155FC3">
        <w:rPr>
          <w:rFonts w:ascii="Times New Roman" w:eastAsia="Times New Roman" w:hAnsi="Times New Roman" w:cs="Times New Roman"/>
          <w:kern w:val="24"/>
          <w:lang w:eastAsia="sv-SE"/>
        </w:rPr>
        <w:t>nare. Nästan hälften av denna ökning har genererats i Stockholms län. Räknas befolknings</w:t>
      </w:r>
      <w:r>
        <w:rPr>
          <w:rFonts w:ascii="Times New Roman" w:eastAsia="Times New Roman" w:hAnsi="Times New Roman" w:cs="Times New Roman"/>
          <w:kern w:val="24"/>
          <w:lang w:eastAsia="sv-SE"/>
        </w:rPr>
        <w:t xml:space="preserve">tillväxten i Uppsala län samt </w:t>
      </w:r>
      <w:r w:rsidRPr="00155FC3">
        <w:rPr>
          <w:rFonts w:ascii="Times New Roman" w:eastAsia="Times New Roman" w:hAnsi="Times New Roman" w:cs="Times New Roman"/>
          <w:kern w:val="24"/>
          <w:lang w:eastAsia="sv-SE"/>
        </w:rPr>
        <w:t>Skåne och Västra Götaland med, har omkring 90 procent av befolkningsö</w:t>
      </w:r>
      <w:r w:rsidRPr="00155FC3">
        <w:rPr>
          <w:rFonts w:ascii="Times New Roman" w:eastAsia="Times New Roman" w:hAnsi="Times New Roman" w:cs="Times New Roman"/>
          <w:kern w:val="24"/>
          <w:lang w:eastAsia="sv-SE"/>
        </w:rPr>
        <w:t>k</w:t>
      </w:r>
      <w:r w:rsidRPr="00155FC3">
        <w:rPr>
          <w:rFonts w:ascii="Times New Roman" w:eastAsia="Times New Roman" w:hAnsi="Times New Roman" w:cs="Times New Roman"/>
          <w:kern w:val="24"/>
          <w:lang w:eastAsia="sv-SE"/>
        </w:rPr>
        <w:t>ningen de senaste 30 åren genererats i storstadsregionerna (nästan 1,2 miljoner invånare). Under samma period har länen norr om M</w:t>
      </w:r>
      <w:r w:rsidRPr="00155FC3">
        <w:rPr>
          <w:rFonts w:ascii="Times New Roman" w:eastAsia="Times New Roman" w:hAnsi="Times New Roman" w:cs="Times New Roman"/>
          <w:kern w:val="24"/>
          <w:lang w:eastAsia="sv-SE"/>
        </w:rPr>
        <w:t>ä</w:t>
      </w:r>
      <w:r w:rsidRPr="00155FC3">
        <w:rPr>
          <w:rFonts w:ascii="Times New Roman" w:eastAsia="Times New Roman" w:hAnsi="Times New Roman" w:cs="Times New Roman"/>
          <w:kern w:val="24"/>
          <w:lang w:eastAsia="sv-SE"/>
        </w:rPr>
        <w:t>lardalsregionen tillsammans tappat cirka 59 000 invånare. De re</w:t>
      </w:r>
      <w:r w:rsidRPr="00155FC3">
        <w:rPr>
          <w:rFonts w:ascii="Times New Roman" w:eastAsia="Times New Roman" w:hAnsi="Times New Roman" w:cs="Times New Roman"/>
          <w:kern w:val="24"/>
          <w:lang w:eastAsia="sv-SE"/>
        </w:rPr>
        <w:t>g</w:t>
      </w:r>
      <w:r w:rsidRPr="00155FC3">
        <w:rPr>
          <w:rFonts w:ascii="Times New Roman" w:eastAsia="Times New Roman" w:hAnsi="Times New Roman" w:cs="Times New Roman"/>
          <w:kern w:val="24"/>
          <w:lang w:eastAsia="sv-SE"/>
        </w:rPr>
        <w:t>ionala skillnaderna har ökat och trenden är att dessa kommer att fortsätta öka.</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Times New Roman" w:hAnsi="Times New Roman" w:cs="Times New Roman"/>
          <w:noProof/>
          <w:kern w:val="24"/>
          <w:lang w:eastAsia="sv-SE"/>
        </w:rPr>
      </w:pPr>
      <w:r w:rsidRPr="00155FC3">
        <w:rPr>
          <w:rFonts w:ascii="Times New Roman" w:eastAsia="Times New Roman" w:hAnsi="Times New Roman" w:cs="Times New Roman"/>
          <w:noProof/>
          <w:kern w:val="24"/>
          <w:lang w:eastAsia="sv-SE"/>
        </w:rPr>
        <w:t>Det föddes 14 191 barn i Stockholms stad under 2013 jämfört med 13 816 under 2012 och antalet födda har aldrig tidigare överstigit 14</w:t>
      </w:r>
      <w:r>
        <w:rPr>
          <w:rFonts w:ascii="Times New Roman" w:eastAsia="Times New Roman" w:hAnsi="Times New Roman" w:cs="Times New Roman"/>
          <w:noProof/>
          <w:kern w:val="24"/>
          <w:lang w:eastAsia="sv-SE"/>
        </w:rPr>
        <w:t> </w:t>
      </w:r>
      <w:r w:rsidRPr="00155FC3">
        <w:rPr>
          <w:rFonts w:ascii="Times New Roman" w:eastAsia="Times New Roman" w:hAnsi="Times New Roman" w:cs="Times New Roman"/>
          <w:noProof/>
          <w:kern w:val="24"/>
          <w:lang w:eastAsia="sv-SE"/>
        </w:rPr>
        <w:t xml:space="preserve">000. </w:t>
      </w:r>
      <w:r w:rsidRPr="00155FC3">
        <w:rPr>
          <w:rFonts w:ascii="Times New Roman" w:eastAsia="Times New Roman" w:hAnsi="Times New Roman" w:cs="Times New Roman"/>
          <w:kern w:val="24"/>
          <w:lang w:eastAsia="sv-SE"/>
        </w:rPr>
        <w:t>Av Stockholms stads totala befolkningsökning under 2013 var 7 591 personer ett resultat av ett födelseöverskott (fler födda än döda) och 8 568 ett resultat av ett positivt flyttnetto, det vill säga fler inflyttade än utflyttade. Av dessa kom 6 678 personer från u</w:t>
      </w:r>
      <w:r w:rsidRPr="00155FC3">
        <w:rPr>
          <w:rFonts w:ascii="Times New Roman" w:eastAsia="Times New Roman" w:hAnsi="Times New Roman" w:cs="Times New Roman"/>
          <w:kern w:val="24"/>
          <w:lang w:eastAsia="sv-SE"/>
        </w:rPr>
        <w:t>t</w:t>
      </w:r>
      <w:r w:rsidRPr="00155FC3">
        <w:rPr>
          <w:rFonts w:ascii="Times New Roman" w:eastAsia="Times New Roman" w:hAnsi="Times New Roman" w:cs="Times New Roman"/>
          <w:kern w:val="24"/>
          <w:lang w:eastAsia="sv-SE"/>
        </w:rPr>
        <w:t>landet.</w:t>
      </w:r>
      <w:r w:rsidRPr="00155FC3">
        <w:rPr>
          <w:rFonts w:ascii="Times New Roman" w:eastAsia="Times New Roman" w:hAnsi="Times New Roman" w:cs="Times New Roman"/>
          <w:noProof/>
          <w:kern w:val="24"/>
          <w:lang w:eastAsia="sv-SE"/>
        </w:rPr>
        <w:t xml:space="preserve"> </w:t>
      </w:r>
    </w:p>
    <w:p w:rsidR="002208DA" w:rsidRPr="00155FC3" w:rsidRDefault="002208DA" w:rsidP="00155FC3">
      <w:pPr>
        <w:pStyle w:val="Rubrik4"/>
        <w:rPr>
          <w:rFonts w:eastAsia="Times New Roman"/>
          <w:lang w:eastAsia="sv-SE"/>
        </w:rPr>
      </w:pPr>
      <w:r w:rsidRPr="00155FC3">
        <w:rPr>
          <w:rFonts w:eastAsia="Times New Roman"/>
          <w:lang w:eastAsia="sv-SE"/>
        </w:rPr>
        <w:lastRenderedPageBreak/>
        <w:t>Befolkningstillväxtens komponenter 2013</w:t>
      </w: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noProof/>
          <w:kern w:val="24"/>
          <w:lang w:eastAsia="sv-SE"/>
        </w:rPr>
        <w:drawing>
          <wp:inline distT="0" distB="0" distL="0" distR="0" wp14:anchorId="6155842C" wp14:editId="28BC6693">
            <wp:extent cx="4689613" cy="2743200"/>
            <wp:effectExtent l="0" t="0" r="0" b="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08DA" w:rsidRPr="00155FC3" w:rsidRDefault="002208DA" w:rsidP="00155FC3">
      <w:pPr>
        <w:spacing w:after="80" w:line="200" w:lineRule="atLeast"/>
        <w:ind w:left="567" w:hanging="567"/>
        <w:rPr>
          <w:rFonts w:ascii="Times New Roman" w:eastAsia="Times New Roman" w:hAnsi="Times New Roman" w:cs="Times New Roman"/>
          <w:sz w:val="20"/>
          <w:szCs w:val="20"/>
          <w:lang w:eastAsia="sv-SE"/>
        </w:rPr>
      </w:pPr>
      <w:r w:rsidRPr="00155FC3">
        <w:rPr>
          <w:rFonts w:ascii="Times New Roman" w:eastAsia="Times New Roman" w:hAnsi="Times New Roman" w:cs="Times New Roman"/>
          <w:sz w:val="20"/>
          <w:szCs w:val="20"/>
          <w:lang w:eastAsia="sv-SE"/>
        </w:rPr>
        <w:t>Källa: Sweco</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I februari 2014 uppgick Stockholms stads befolkning till 900</w:t>
      </w:r>
      <w:r>
        <w:rPr>
          <w:rFonts w:ascii="Times New Roman" w:eastAsia="Times New Roman" w:hAnsi="Times New Roman" w:cs="Times New Roman"/>
          <w:kern w:val="24"/>
          <w:lang w:eastAsia="sv-SE"/>
        </w:rPr>
        <w:t> </w:t>
      </w:r>
      <w:r w:rsidRPr="00155FC3">
        <w:rPr>
          <w:rFonts w:ascii="Times New Roman" w:eastAsia="Times New Roman" w:hAnsi="Times New Roman" w:cs="Times New Roman"/>
          <w:kern w:val="24"/>
          <w:lang w:eastAsia="sv-SE"/>
        </w:rPr>
        <w:t>000</w:t>
      </w:r>
      <w:r>
        <w:rPr>
          <w:rFonts w:ascii="Times New Roman" w:eastAsia="Times New Roman" w:hAnsi="Times New Roman" w:cs="Times New Roman"/>
          <w:kern w:val="24"/>
          <w:lang w:eastAsia="sv-SE"/>
        </w:rPr>
        <w:t> </w:t>
      </w:r>
      <w:r w:rsidRPr="00155FC3">
        <w:rPr>
          <w:rFonts w:ascii="Times New Roman" w:eastAsia="Times New Roman" w:hAnsi="Times New Roman" w:cs="Times New Roman"/>
          <w:kern w:val="24"/>
          <w:lang w:eastAsia="sv-SE"/>
        </w:rPr>
        <w:t>invånare. På bara sex år har befolkningen ökat med 100 000 invånare. Befolkningsprognosen visar att stadens befol</w:t>
      </w:r>
      <w:r w:rsidRPr="00155FC3">
        <w:rPr>
          <w:rFonts w:ascii="Times New Roman" w:eastAsia="Times New Roman" w:hAnsi="Times New Roman" w:cs="Times New Roman"/>
          <w:kern w:val="24"/>
          <w:lang w:eastAsia="sv-SE"/>
        </w:rPr>
        <w:t>k</w:t>
      </w:r>
      <w:r w:rsidRPr="00155FC3">
        <w:rPr>
          <w:rFonts w:ascii="Times New Roman" w:eastAsia="Times New Roman" w:hAnsi="Times New Roman" w:cs="Times New Roman"/>
          <w:kern w:val="24"/>
          <w:lang w:eastAsia="sv-SE"/>
        </w:rPr>
        <w:t>ning förväntas öka till en miljon invånare 20</w:t>
      </w:r>
      <w:r>
        <w:rPr>
          <w:rFonts w:ascii="Times New Roman" w:eastAsia="Times New Roman" w:hAnsi="Times New Roman" w:cs="Times New Roman"/>
          <w:kern w:val="24"/>
          <w:lang w:eastAsia="sv-SE"/>
        </w:rPr>
        <w:t>20</w:t>
      </w:r>
      <w:r w:rsidRPr="00155FC3">
        <w:rPr>
          <w:rFonts w:ascii="Times New Roman" w:eastAsia="Times New Roman" w:hAnsi="Times New Roman" w:cs="Times New Roman"/>
          <w:kern w:val="24"/>
          <w:lang w:eastAsia="sv-SE"/>
        </w:rPr>
        <w:t>. Hur befolkningsö</w:t>
      </w:r>
      <w:r w:rsidRPr="00155FC3">
        <w:rPr>
          <w:rFonts w:ascii="Times New Roman" w:eastAsia="Times New Roman" w:hAnsi="Times New Roman" w:cs="Times New Roman"/>
          <w:kern w:val="24"/>
          <w:lang w:eastAsia="sv-SE"/>
        </w:rPr>
        <w:t>k</w:t>
      </w:r>
      <w:r w:rsidRPr="00155FC3">
        <w:rPr>
          <w:rFonts w:ascii="Times New Roman" w:eastAsia="Times New Roman" w:hAnsi="Times New Roman" w:cs="Times New Roman"/>
          <w:kern w:val="24"/>
          <w:lang w:eastAsia="sv-SE"/>
        </w:rPr>
        <w:t>ningen fördelar sig mellan olika åldersgrupper framgår av di</w:t>
      </w:r>
      <w:r w:rsidRPr="00155FC3">
        <w:rPr>
          <w:rFonts w:ascii="Times New Roman" w:eastAsia="Times New Roman" w:hAnsi="Times New Roman" w:cs="Times New Roman"/>
          <w:kern w:val="24"/>
          <w:lang w:eastAsia="sv-SE"/>
        </w:rPr>
        <w:t>a</w:t>
      </w:r>
      <w:r w:rsidRPr="00155FC3">
        <w:rPr>
          <w:rFonts w:ascii="Times New Roman" w:eastAsia="Times New Roman" w:hAnsi="Times New Roman" w:cs="Times New Roman"/>
          <w:kern w:val="24"/>
          <w:lang w:eastAsia="sv-SE"/>
        </w:rPr>
        <w:t xml:space="preserve">grammet nedan, där även den faktiska befolkningsökningen under det senaste decenniet framgår. </w:t>
      </w:r>
    </w:p>
    <w:p w:rsidR="002208DA" w:rsidRPr="00155FC3" w:rsidRDefault="002208DA" w:rsidP="00155FC3">
      <w:pPr>
        <w:spacing w:line="240" w:lineRule="auto"/>
        <w:rPr>
          <w:rFonts w:ascii="Calibri" w:eastAsia="Calibri" w:hAnsi="Calibri" w:cs="Times New Roman"/>
        </w:rPr>
      </w:pPr>
    </w:p>
    <w:p w:rsidR="002208DA" w:rsidRPr="00155FC3" w:rsidRDefault="002208DA" w:rsidP="00155FC3">
      <w:pPr>
        <w:rPr>
          <w:rFonts w:ascii="Times New Roman" w:eastAsia="Times New Roman" w:hAnsi="Times New Roman" w:cs="Times New Roman"/>
          <w:bCs/>
          <w:iCs/>
          <w:kern w:val="24"/>
          <w:lang w:eastAsia="sv-SE"/>
        </w:rPr>
      </w:pPr>
      <w:r w:rsidRPr="00155FC3">
        <w:rPr>
          <w:rFonts w:ascii="Times New Roman" w:eastAsia="Times New Roman" w:hAnsi="Times New Roman" w:cs="Times New Roman"/>
          <w:bCs/>
          <w:iCs/>
          <w:kern w:val="24"/>
          <w:lang w:eastAsia="sv-SE"/>
        </w:rPr>
        <w:t xml:space="preserve">Sedan 2000 har främst antalet barn i förskoleåldern ökat på grund av stora födelseöverskott. Detta medför att efter 2010 ökar även antalet skolbarn starkt. Även </w:t>
      </w:r>
      <w:r>
        <w:rPr>
          <w:rFonts w:ascii="Times New Roman" w:eastAsia="Times New Roman" w:hAnsi="Times New Roman" w:cs="Times New Roman"/>
          <w:bCs/>
          <w:iCs/>
          <w:kern w:val="24"/>
          <w:lang w:eastAsia="sv-SE"/>
        </w:rPr>
        <w:t xml:space="preserve">antalet </w:t>
      </w:r>
      <w:r w:rsidRPr="00155FC3">
        <w:rPr>
          <w:rFonts w:ascii="Times New Roman" w:eastAsia="Times New Roman" w:hAnsi="Times New Roman" w:cs="Times New Roman"/>
          <w:bCs/>
          <w:iCs/>
          <w:kern w:val="24"/>
          <w:lang w:eastAsia="sv-SE"/>
        </w:rPr>
        <w:t>65</w:t>
      </w:r>
      <w:r>
        <w:rPr>
          <w:rFonts w:ascii="Times New Roman" w:eastAsia="Times New Roman" w:hAnsi="Times New Roman" w:cs="Times New Roman"/>
          <w:bCs/>
          <w:iCs/>
          <w:kern w:val="24"/>
          <w:lang w:eastAsia="sv-SE"/>
        </w:rPr>
        <w:t>–</w:t>
      </w:r>
      <w:r w:rsidRPr="00155FC3">
        <w:rPr>
          <w:rFonts w:ascii="Times New Roman" w:eastAsia="Times New Roman" w:hAnsi="Times New Roman" w:cs="Times New Roman"/>
          <w:bCs/>
          <w:iCs/>
          <w:kern w:val="24"/>
          <w:lang w:eastAsia="sv-SE"/>
        </w:rPr>
        <w:t>79</w:t>
      </w:r>
      <w:r>
        <w:rPr>
          <w:rFonts w:ascii="Times New Roman" w:eastAsia="Times New Roman" w:hAnsi="Times New Roman" w:cs="Times New Roman"/>
          <w:bCs/>
          <w:iCs/>
          <w:kern w:val="24"/>
          <w:lang w:eastAsia="sv-SE"/>
        </w:rPr>
        <w:t xml:space="preserve"> </w:t>
      </w:r>
      <w:r w:rsidRPr="00155FC3">
        <w:rPr>
          <w:rFonts w:ascii="Times New Roman" w:eastAsia="Times New Roman" w:hAnsi="Times New Roman" w:cs="Times New Roman"/>
          <w:bCs/>
          <w:iCs/>
          <w:kern w:val="24"/>
          <w:lang w:eastAsia="sv-SE"/>
        </w:rPr>
        <w:t>år</w:t>
      </w:r>
      <w:r>
        <w:rPr>
          <w:rFonts w:ascii="Times New Roman" w:eastAsia="Times New Roman" w:hAnsi="Times New Roman" w:cs="Times New Roman"/>
          <w:bCs/>
          <w:iCs/>
          <w:kern w:val="24"/>
          <w:lang w:eastAsia="sv-SE"/>
        </w:rPr>
        <w:t>ingar</w:t>
      </w:r>
      <w:r w:rsidRPr="00155FC3">
        <w:rPr>
          <w:rFonts w:ascii="Times New Roman" w:eastAsia="Times New Roman" w:hAnsi="Times New Roman" w:cs="Times New Roman"/>
          <w:bCs/>
          <w:iCs/>
          <w:kern w:val="24"/>
          <w:lang w:eastAsia="sv-SE"/>
        </w:rPr>
        <w:t xml:space="preserve"> ökar kraftigt då den så kallade rekordgenerationen (födda 1945</w:t>
      </w:r>
      <w:r>
        <w:rPr>
          <w:rFonts w:ascii="Times New Roman" w:eastAsia="Times New Roman" w:hAnsi="Times New Roman" w:cs="Times New Roman"/>
          <w:bCs/>
          <w:iCs/>
          <w:kern w:val="24"/>
          <w:lang w:eastAsia="sv-SE"/>
        </w:rPr>
        <w:t>–19</w:t>
      </w:r>
      <w:r w:rsidRPr="00155FC3">
        <w:rPr>
          <w:rFonts w:ascii="Times New Roman" w:eastAsia="Times New Roman" w:hAnsi="Times New Roman" w:cs="Times New Roman"/>
          <w:bCs/>
          <w:iCs/>
          <w:kern w:val="24"/>
          <w:lang w:eastAsia="sv-SE"/>
        </w:rPr>
        <w:t xml:space="preserve">54) åldras. </w:t>
      </w:r>
      <w:r>
        <w:rPr>
          <w:rFonts w:ascii="Times New Roman" w:eastAsia="Times New Roman" w:hAnsi="Times New Roman" w:cs="Times New Roman"/>
          <w:bCs/>
          <w:iCs/>
          <w:kern w:val="24"/>
          <w:lang w:eastAsia="sv-SE"/>
        </w:rPr>
        <w:t>Ant</w:t>
      </w:r>
      <w:r>
        <w:rPr>
          <w:rFonts w:ascii="Times New Roman" w:eastAsia="Times New Roman" w:hAnsi="Times New Roman" w:cs="Times New Roman"/>
          <w:bCs/>
          <w:iCs/>
          <w:kern w:val="24"/>
          <w:lang w:eastAsia="sv-SE"/>
        </w:rPr>
        <w:t>a</w:t>
      </w:r>
      <w:r>
        <w:rPr>
          <w:rFonts w:ascii="Times New Roman" w:eastAsia="Times New Roman" w:hAnsi="Times New Roman" w:cs="Times New Roman"/>
          <w:bCs/>
          <w:iCs/>
          <w:kern w:val="24"/>
          <w:lang w:eastAsia="sv-SE"/>
        </w:rPr>
        <w:t xml:space="preserve">let 80 år och äldre </w:t>
      </w:r>
      <w:r w:rsidRPr="00155FC3">
        <w:rPr>
          <w:rFonts w:ascii="Times New Roman" w:eastAsia="Times New Roman" w:hAnsi="Times New Roman" w:cs="Times New Roman"/>
          <w:bCs/>
          <w:iCs/>
          <w:kern w:val="24"/>
          <w:lang w:eastAsia="sv-SE"/>
        </w:rPr>
        <w:t xml:space="preserve">har minskat under ett antal år, men kommer att öka svagt från 2018. </w:t>
      </w:r>
    </w:p>
    <w:p w:rsidR="002208DA" w:rsidRPr="00155FC3" w:rsidRDefault="002208DA" w:rsidP="002F5B93">
      <w:pPr>
        <w:pStyle w:val="Rubrik4"/>
        <w:spacing w:after="120"/>
        <w:rPr>
          <w:rFonts w:eastAsia="Times New Roman"/>
          <w:lang w:eastAsia="sv-SE"/>
        </w:rPr>
      </w:pPr>
      <w:r w:rsidRPr="00155FC3">
        <w:rPr>
          <w:rFonts w:eastAsia="Times New Roman"/>
          <w:lang w:eastAsia="sv-SE"/>
        </w:rPr>
        <w:lastRenderedPageBreak/>
        <w:t>Befolkning i valda åldersgrupper (Faktisk till och med 2013 därefter prognos)</w:t>
      </w:r>
    </w:p>
    <w:p w:rsidR="002208DA" w:rsidRDefault="00F65861" w:rsidP="00155FC3">
      <w:pPr>
        <w:spacing w:after="80" w:line="200" w:lineRule="atLeast"/>
        <w:ind w:left="567" w:hanging="567"/>
        <w:rPr>
          <w:rFonts w:ascii="Times New Roman" w:eastAsia="Times New Roman" w:hAnsi="Times New Roman" w:cs="Times New Roman"/>
          <w:sz w:val="20"/>
          <w:szCs w:val="20"/>
          <w:lang w:eastAsia="sv-SE"/>
        </w:rPr>
      </w:pPr>
      <w:r>
        <w:rPr>
          <w:noProof/>
          <w:lang w:eastAsia="sv-SE"/>
        </w:rPr>
        <w:drawing>
          <wp:inline distT="0" distB="0" distL="0" distR="0" wp14:anchorId="5EB7E008" wp14:editId="4F1A6973">
            <wp:extent cx="4176395" cy="2279761"/>
            <wp:effectExtent l="0" t="0" r="0" b="635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08DA" w:rsidRPr="00155FC3" w:rsidRDefault="002208DA" w:rsidP="00155FC3">
      <w:pPr>
        <w:spacing w:after="80" w:line="200" w:lineRule="atLeast"/>
        <w:ind w:left="567" w:hanging="567"/>
        <w:rPr>
          <w:rFonts w:ascii="Times New Roman" w:eastAsia="Times New Roman" w:hAnsi="Times New Roman" w:cs="Times New Roman"/>
          <w:sz w:val="20"/>
          <w:szCs w:val="20"/>
          <w:lang w:eastAsia="sv-SE"/>
        </w:rPr>
      </w:pPr>
      <w:r w:rsidRPr="00155FC3">
        <w:rPr>
          <w:rFonts w:ascii="Times New Roman" w:eastAsia="Times New Roman" w:hAnsi="Times New Roman" w:cs="Times New Roman"/>
          <w:sz w:val="20"/>
          <w:szCs w:val="20"/>
          <w:lang w:eastAsia="sv-SE"/>
        </w:rPr>
        <w:t>Källa: Sweco</w:t>
      </w:r>
    </w:p>
    <w:p w:rsidR="002208DA" w:rsidRDefault="002208DA" w:rsidP="00155FC3">
      <w:pPr>
        <w:rPr>
          <w:rFonts w:ascii="TimesNewRomanPSMT" w:eastAsia="Times New Roman" w:hAnsi="TimesNewRomanPSMT" w:cs="TimesNewRomanPSMT"/>
          <w:kern w:val="24"/>
          <w:lang w:eastAsia="sv-SE"/>
        </w:rPr>
      </w:pPr>
    </w:p>
    <w:p w:rsidR="002208DA" w:rsidRPr="00155FC3" w:rsidRDefault="002208DA" w:rsidP="00155FC3">
      <w:pPr>
        <w:rPr>
          <w:rFonts w:ascii="Times New Roman" w:eastAsia="Times New Roman" w:hAnsi="Times New Roman" w:cs="Times New Roman"/>
          <w:kern w:val="24"/>
          <w:lang w:eastAsia="sv-SE"/>
        </w:rPr>
      </w:pPr>
      <w:r w:rsidRPr="00155FC3">
        <w:rPr>
          <w:rFonts w:ascii="TimesNewRomanPSMT" w:eastAsia="Times New Roman" w:hAnsi="TimesNewRomanPSMT" w:cs="TimesNewRomanPSMT"/>
          <w:kern w:val="24"/>
          <w:lang w:eastAsia="sv-SE"/>
        </w:rPr>
        <w:t>Tabellen nedan visar mer detaljerat prognosen för barn, ungdomar och äldre de närmaste åren. Antalet födda ligger kvar på en fortsatt hög nivå.</w:t>
      </w:r>
      <w:r w:rsidRPr="00155FC3">
        <w:rPr>
          <w:rFonts w:ascii="Times New Roman" w:eastAsia="Times New Roman" w:hAnsi="Times New Roman" w:cs="Times New Roman"/>
          <w:kern w:val="24"/>
          <w:lang w:eastAsia="sv-SE"/>
        </w:rPr>
        <w:t xml:space="preserve"> </w:t>
      </w:r>
      <w:r w:rsidRPr="00155FC3">
        <w:rPr>
          <w:rFonts w:ascii="TimesNewRomanPSMT" w:eastAsia="Times New Roman" w:hAnsi="TimesNewRomanPSMT" w:cs="TimesNewRomanPSMT"/>
          <w:kern w:val="24"/>
          <w:lang w:eastAsia="sv-SE"/>
        </w:rPr>
        <w:t>Prognosen för antalet f</w:t>
      </w:r>
      <w:r w:rsidRPr="00155FC3">
        <w:rPr>
          <w:rFonts w:ascii="Times New Roman" w:eastAsia="Times New Roman" w:hAnsi="Times New Roman" w:cs="Times New Roman"/>
          <w:kern w:val="24"/>
          <w:lang w:eastAsia="sv-SE"/>
        </w:rPr>
        <w:t>örskolebarn (1</w:t>
      </w:r>
      <w:r>
        <w:rPr>
          <w:rFonts w:ascii="Times New Roman" w:eastAsia="Times New Roman" w:hAnsi="Times New Roman" w:cs="Times New Roman"/>
          <w:kern w:val="24"/>
          <w:lang w:eastAsia="sv-SE"/>
        </w:rPr>
        <w:t>–</w:t>
      </w:r>
      <w:r w:rsidRPr="00155FC3">
        <w:rPr>
          <w:rFonts w:ascii="Times New Roman" w:eastAsia="Times New Roman" w:hAnsi="Times New Roman" w:cs="Times New Roman"/>
          <w:kern w:val="24"/>
          <w:lang w:eastAsia="sv-SE"/>
        </w:rPr>
        <w:t>5 år) visar att de fortsätter att öka de närmsta åren, men att ökningen planar ut</w:t>
      </w:r>
      <w:r>
        <w:rPr>
          <w:rFonts w:ascii="Times New Roman" w:eastAsia="Times New Roman" w:hAnsi="Times New Roman" w:cs="Times New Roman"/>
          <w:kern w:val="24"/>
          <w:lang w:eastAsia="sv-SE"/>
        </w:rPr>
        <w:t xml:space="preserve"> </w:t>
      </w:r>
      <w:r w:rsidRPr="00155FC3">
        <w:rPr>
          <w:rFonts w:ascii="Times New Roman" w:eastAsia="Times New Roman" w:hAnsi="Times New Roman" w:cs="Times New Roman"/>
          <w:kern w:val="24"/>
          <w:lang w:eastAsia="sv-SE"/>
        </w:rPr>
        <w:t>efter 2015.</w:t>
      </w:r>
    </w:p>
    <w:p w:rsidR="002208DA" w:rsidRPr="00155FC3" w:rsidRDefault="002208DA" w:rsidP="00155FC3">
      <w:pPr>
        <w:rPr>
          <w:rFonts w:ascii="Times New Roman" w:eastAsia="Times New Roman" w:hAnsi="Times New Roman" w:cs="Times New Roman"/>
          <w:kern w:val="24"/>
          <w:lang w:eastAsia="sv-SE"/>
        </w:rPr>
      </w:pPr>
    </w:p>
    <w:p w:rsidR="002208DA" w:rsidRPr="00155FC3" w:rsidRDefault="002208DA" w:rsidP="00155FC3">
      <w:pPr>
        <w:rPr>
          <w:rFonts w:ascii="TimesNewRomanPSMT" w:eastAsia="Times New Roman" w:hAnsi="TimesNewRomanPSMT" w:cs="TimesNewRomanPSMT"/>
          <w:kern w:val="24"/>
          <w:lang w:eastAsia="sv-SE"/>
        </w:rPr>
      </w:pPr>
      <w:r>
        <w:rPr>
          <w:rFonts w:ascii="Times New Roman" w:eastAsia="Times New Roman" w:hAnsi="Times New Roman" w:cs="Times New Roman"/>
          <w:kern w:val="24"/>
          <w:lang w:eastAsia="sv-SE"/>
        </w:rPr>
        <w:t>Antalet skolbarn</w:t>
      </w:r>
      <w:r w:rsidRPr="00155FC3">
        <w:rPr>
          <w:rFonts w:ascii="Times New Roman" w:eastAsia="Times New Roman" w:hAnsi="Times New Roman" w:cs="Times New Roman"/>
          <w:kern w:val="24"/>
          <w:lang w:eastAsia="sv-SE"/>
        </w:rPr>
        <w:t xml:space="preserve"> i åldern 6</w:t>
      </w:r>
      <w:r>
        <w:rPr>
          <w:rFonts w:ascii="Times New Roman" w:eastAsia="Times New Roman" w:hAnsi="Times New Roman" w:cs="Times New Roman"/>
          <w:kern w:val="24"/>
          <w:lang w:eastAsia="sv-SE"/>
        </w:rPr>
        <w:t>–</w:t>
      </w:r>
      <w:r w:rsidRPr="00155FC3">
        <w:rPr>
          <w:rFonts w:ascii="Times New Roman" w:eastAsia="Times New Roman" w:hAnsi="Times New Roman" w:cs="Times New Roman"/>
          <w:kern w:val="24"/>
          <w:lang w:eastAsia="sv-SE"/>
        </w:rPr>
        <w:t xml:space="preserve">15 år ökar kraftigt, men tillväxttakten avtar något 2017. </w:t>
      </w:r>
      <w:r>
        <w:rPr>
          <w:rFonts w:ascii="Times New Roman" w:eastAsia="Times New Roman" w:hAnsi="Times New Roman" w:cs="Times New Roman"/>
          <w:kern w:val="24"/>
          <w:lang w:eastAsia="sv-SE"/>
        </w:rPr>
        <w:t xml:space="preserve">Antalet </w:t>
      </w:r>
      <w:r w:rsidRPr="00155FC3">
        <w:rPr>
          <w:rFonts w:ascii="TimesNewRomanPSMT" w:eastAsia="Times New Roman" w:hAnsi="TimesNewRomanPSMT" w:cs="TimesNewRomanPSMT"/>
          <w:kern w:val="24"/>
          <w:lang w:eastAsia="sv-SE"/>
        </w:rPr>
        <w:t>16</w:t>
      </w:r>
      <w:r>
        <w:rPr>
          <w:rFonts w:ascii="Times New Roman" w:eastAsia="Times New Roman" w:hAnsi="Times New Roman" w:cs="Times New Roman"/>
          <w:kern w:val="24"/>
          <w:lang w:eastAsia="sv-SE"/>
        </w:rPr>
        <w:t>–</w:t>
      </w:r>
      <w:r w:rsidRPr="00155FC3">
        <w:rPr>
          <w:rFonts w:ascii="TimesNewRomanPSMT" w:eastAsia="Times New Roman" w:hAnsi="TimesNewRomanPSMT" w:cs="TimesNewRomanPSMT"/>
          <w:kern w:val="24"/>
          <w:lang w:eastAsia="sv-SE"/>
        </w:rPr>
        <w:t>19</w:t>
      </w:r>
      <w:r>
        <w:rPr>
          <w:rFonts w:ascii="TimesNewRomanPSMT" w:eastAsia="Times New Roman" w:hAnsi="TimesNewRomanPSMT" w:cs="TimesNewRomanPSMT"/>
          <w:kern w:val="24"/>
          <w:lang w:eastAsia="sv-SE"/>
        </w:rPr>
        <w:t xml:space="preserve"> </w:t>
      </w:r>
      <w:r w:rsidRPr="00155FC3">
        <w:rPr>
          <w:rFonts w:ascii="TimesNewRomanPSMT" w:eastAsia="Times New Roman" w:hAnsi="TimesNewRomanPSMT" w:cs="TimesNewRomanPSMT"/>
          <w:kern w:val="24"/>
          <w:lang w:eastAsia="sv-SE"/>
        </w:rPr>
        <w:t>år</w:t>
      </w:r>
      <w:r>
        <w:rPr>
          <w:rFonts w:ascii="TimesNewRomanPSMT" w:eastAsia="Times New Roman" w:hAnsi="TimesNewRomanPSMT" w:cs="TimesNewRomanPSMT"/>
          <w:kern w:val="24"/>
          <w:lang w:eastAsia="sv-SE"/>
        </w:rPr>
        <w:t>ingar</w:t>
      </w:r>
      <w:r w:rsidRPr="00155FC3">
        <w:rPr>
          <w:rFonts w:ascii="TimesNewRomanPSMT" w:eastAsia="Times New Roman" w:hAnsi="TimesNewRomanPSMT" w:cs="TimesNewRomanPSMT"/>
          <w:kern w:val="24"/>
          <w:lang w:eastAsia="sv-SE"/>
        </w:rPr>
        <w:t xml:space="preserve"> beräknas däremot minska fram till och med 2015. De allra äldsta minskar i antal fram till 2017 för att sedan börja öka. </w:t>
      </w:r>
    </w:p>
    <w:p w:rsidR="002208DA" w:rsidRPr="00155FC3" w:rsidRDefault="002208DA" w:rsidP="00155FC3">
      <w:pPr>
        <w:rPr>
          <w:rFonts w:eastAsia="Times New Roman"/>
          <w:lang w:eastAsia="sv-SE"/>
        </w:rPr>
      </w:pPr>
    </w:p>
    <w:p w:rsidR="002208DA" w:rsidRDefault="002208DA" w:rsidP="002F5B93">
      <w:pPr>
        <w:pStyle w:val="Rubrik4"/>
        <w:spacing w:after="120"/>
        <w:rPr>
          <w:rFonts w:eastAsia="Times New Roman"/>
          <w:lang w:eastAsia="sv-SE"/>
        </w:rPr>
      </w:pPr>
      <w:r w:rsidRPr="00155FC3">
        <w:rPr>
          <w:rFonts w:eastAsia="Times New Roman"/>
          <w:lang w:eastAsia="sv-SE"/>
        </w:rPr>
        <w:lastRenderedPageBreak/>
        <w:t>Prognos för antale</w:t>
      </w:r>
      <w:r>
        <w:rPr>
          <w:rFonts w:eastAsia="Times New Roman"/>
          <w:lang w:eastAsia="sv-SE"/>
        </w:rPr>
        <w:t>t barn, ungdomar och äldre 2014–</w:t>
      </w:r>
      <w:r w:rsidRPr="00155FC3">
        <w:rPr>
          <w:rFonts w:eastAsia="Times New Roman"/>
          <w:lang w:eastAsia="sv-SE"/>
        </w:rPr>
        <w:t>2018 samt årlig ökningstakt i procent</w:t>
      </w:r>
    </w:p>
    <w:tbl>
      <w:tblPr>
        <w:tblW w:w="4382" w:type="pct"/>
        <w:tblCellMar>
          <w:left w:w="70" w:type="dxa"/>
          <w:right w:w="70" w:type="dxa"/>
        </w:tblCellMar>
        <w:tblLook w:val="04A0" w:firstRow="1" w:lastRow="0" w:firstColumn="1" w:lastColumn="0" w:noHBand="0" w:noVBand="1"/>
      </w:tblPr>
      <w:tblGrid>
        <w:gridCol w:w="1356"/>
        <w:gridCol w:w="907"/>
        <w:gridCol w:w="907"/>
        <w:gridCol w:w="907"/>
        <w:gridCol w:w="905"/>
        <w:gridCol w:w="905"/>
      </w:tblGrid>
      <w:tr w:rsidR="00F65861" w:rsidRPr="0012785E" w:rsidTr="00D26920">
        <w:trPr>
          <w:trHeight w:val="268"/>
        </w:trPr>
        <w:tc>
          <w:tcPr>
            <w:tcW w:w="1151" w:type="pct"/>
            <w:tcBorders>
              <w:top w:val="single" w:sz="8" w:space="0" w:color="auto"/>
              <w:left w:val="nil"/>
              <w:bottom w:val="single" w:sz="8" w:space="0" w:color="auto"/>
              <w:right w:val="nil"/>
            </w:tcBorders>
            <w:shd w:val="clear" w:color="auto" w:fill="auto"/>
            <w:noWrap/>
            <w:vAlign w:val="bottom"/>
            <w:hideMark/>
          </w:tcPr>
          <w:p w:rsidR="00F65861" w:rsidRPr="0012785E" w:rsidRDefault="00F65861" w:rsidP="00D26920">
            <w:pPr>
              <w:keepNext/>
              <w:keepLines/>
              <w:spacing w:line="240" w:lineRule="auto"/>
              <w:rPr>
                <w:color w:val="000000"/>
              </w:rPr>
            </w:pPr>
            <w:r w:rsidRPr="0012785E">
              <w:rPr>
                <w:color w:val="000000"/>
                <w:sz w:val="22"/>
                <w:szCs w:val="22"/>
              </w:rPr>
              <w:t> </w:t>
            </w:r>
          </w:p>
        </w:tc>
        <w:tc>
          <w:tcPr>
            <w:tcW w:w="770" w:type="pct"/>
            <w:tcBorders>
              <w:top w:val="single" w:sz="8" w:space="0" w:color="auto"/>
              <w:left w:val="nil"/>
              <w:bottom w:val="single" w:sz="8" w:space="0" w:color="auto"/>
              <w:right w:val="nil"/>
            </w:tcBorders>
            <w:shd w:val="clear" w:color="auto" w:fill="auto"/>
            <w:noWrap/>
            <w:vAlign w:val="center"/>
            <w:hideMark/>
          </w:tcPr>
          <w:p w:rsidR="00F65861" w:rsidRPr="0012785E" w:rsidRDefault="00F65861" w:rsidP="00D26920">
            <w:pPr>
              <w:keepNext/>
              <w:keepLines/>
              <w:spacing w:line="240" w:lineRule="auto"/>
              <w:jc w:val="right"/>
              <w:rPr>
                <w:rFonts w:ascii="Calibri" w:hAnsi="Calibri" w:cs="Calibri"/>
                <w:color w:val="000000"/>
              </w:rPr>
            </w:pPr>
            <w:r w:rsidRPr="0012785E">
              <w:rPr>
                <w:rFonts w:ascii="Calibri" w:hAnsi="Calibri" w:cs="Calibri"/>
                <w:color w:val="000000"/>
                <w:sz w:val="22"/>
                <w:szCs w:val="22"/>
              </w:rPr>
              <w:t>201</w:t>
            </w:r>
            <w:r>
              <w:rPr>
                <w:rFonts w:ascii="Calibri" w:hAnsi="Calibri" w:cs="Calibri"/>
                <w:color w:val="000000"/>
                <w:sz w:val="22"/>
                <w:szCs w:val="22"/>
              </w:rPr>
              <w:t>4</w:t>
            </w:r>
          </w:p>
        </w:tc>
        <w:tc>
          <w:tcPr>
            <w:tcW w:w="770" w:type="pct"/>
            <w:tcBorders>
              <w:top w:val="single" w:sz="8" w:space="0" w:color="auto"/>
              <w:left w:val="nil"/>
              <w:bottom w:val="single" w:sz="8" w:space="0" w:color="auto"/>
              <w:right w:val="nil"/>
            </w:tcBorders>
            <w:shd w:val="clear" w:color="auto" w:fill="auto"/>
            <w:noWrap/>
            <w:vAlign w:val="center"/>
            <w:hideMark/>
          </w:tcPr>
          <w:p w:rsidR="00F65861" w:rsidRPr="0012785E" w:rsidRDefault="00F65861" w:rsidP="00D26920">
            <w:pPr>
              <w:keepNext/>
              <w:keepLines/>
              <w:spacing w:line="240" w:lineRule="auto"/>
              <w:jc w:val="right"/>
              <w:rPr>
                <w:rFonts w:ascii="Calibri" w:hAnsi="Calibri" w:cs="Calibri"/>
                <w:color w:val="000000"/>
              </w:rPr>
            </w:pPr>
            <w:r w:rsidRPr="0012785E">
              <w:rPr>
                <w:rFonts w:ascii="Calibri" w:hAnsi="Calibri" w:cs="Calibri"/>
                <w:color w:val="000000"/>
                <w:sz w:val="22"/>
                <w:szCs w:val="22"/>
              </w:rPr>
              <w:t>201</w:t>
            </w:r>
            <w:r>
              <w:rPr>
                <w:rFonts w:ascii="Calibri" w:hAnsi="Calibri" w:cs="Calibri"/>
                <w:color w:val="000000"/>
                <w:sz w:val="22"/>
                <w:szCs w:val="22"/>
              </w:rPr>
              <w:t>5</w:t>
            </w:r>
          </w:p>
        </w:tc>
        <w:tc>
          <w:tcPr>
            <w:tcW w:w="770" w:type="pct"/>
            <w:tcBorders>
              <w:top w:val="single" w:sz="8" w:space="0" w:color="auto"/>
              <w:left w:val="nil"/>
              <w:bottom w:val="single" w:sz="8" w:space="0" w:color="auto"/>
              <w:right w:val="nil"/>
            </w:tcBorders>
            <w:shd w:val="clear" w:color="auto" w:fill="auto"/>
            <w:noWrap/>
            <w:vAlign w:val="center"/>
            <w:hideMark/>
          </w:tcPr>
          <w:p w:rsidR="00F65861" w:rsidRPr="0012785E" w:rsidRDefault="00F65861" w:rsidP="00D26920">
            <w:pPr>
              <w:keepNext/>
              <w:keepLines/>
              <w:spacing w:line="240" w:lineRule="auto"/>
              <w:jc w:val="right"/>
              <w:rPr>
                <w:rFonts w:ascii="Calibri" w:hAnsi="Calibri" w:cs="Calibri"/>
                <w:color w:val="000000"/>
              </w:rPr>
            </w:pPr>
            <w:r w:rsidRPr="0012785E">
              <w:rPr>
                <w:rFonts w:ascii="Calibri" w:hAnsi="Calibri" w:cs="Calibri"/>
                <w:color w:val="000000"/>
                <w:sz w:val="22"/>
                <w:szCs w:val="22"/>
              </w:rPr>
              <w:t>201</w:t>
            </w:r>
            <w:r>
              <w:rPr>
                <w:rFonts w:ascii="Calibri" w:hAnsi="Calibri" w:cs="Calibri"/>
                <w:color w:val="000000"/>
                <w:sz w:val="22"/>
                <w:szCs w:val="22"/>
              </w:rPr>
              <w:t>6</w:t>
            </w:r>
          </w:p>
        </w:tc>
        <w:tc>
          <w:tcPr>
            <w:tcW w:w="769" w:type="pct"/>
            <w:tcBorders>
              <w:top w:val="single" w:sz="8" w:space="0" w:color="auto"/>
              <w:left w:val="nil"/>
              <w:bottom w:val="single" w:sz="8" w:space="0" w:color="auto"/>
              <w:right w:val="nil"/>
            </w:tcBorders>
            <w:shd w:val="clear" w:color="auto" w:fill="auto"/>
            <w:noWrap/>
            <w:vAlign w:val="center"/>
            <w:hideMark/>
          </w:tcPr>
          <w:p w:rsidR="00F65861" w:rsidRPr="0012785E" w:rsidRDefault="00F65861" w:rsidP="00D26920">
            <w:pPr>
              <w:keepNext/>
              <w:keepLines/>
              <w:spacing w:line="240" w:lineRule="auto"/>
              <w:jc w:val="right"/>
              <w:rPr>
                <w:rFonts w:ascii="Calibri" w:hAnsi="Calibri" w:cs="Calibri"/>
                <w:color w:val="000000"/>
              </w:rPr>
            </w:pPr>
            <w:r w:rsidRPr="0012785E">
              <w:rPr>
                <w:rFonts w:ascii="Calibri" w:hAnsi="Calibri" w:cs="Calibri"/>
                <w:color w:val="000000"/>
                <w:sz w:val="22"/>
                <w:szCs w:val="22"/>
              </w:rPr>
              <w:t>201</w:t>
            </w:r>
            <w:r>
              <w:rPr>
                <w:rFonts w:ascii="Calibri" w:hAnsi="Calibri" w:cs="Calibri"/>
                <w:color w:val="000000"/>
                <w:sz w:val="22"/>
                <w:szCs w:val="22"/>
              </w:rPr>
              <w:t>7</w:t>
            </w:r>
          </w:p>
        </w:tc>
        <w:tc>
          <w:tcPr>
            <w:tcW w:w="769" w:type="pct"/>
            <w:tcBorders>
              <w:top w:val="single" w:sz="8" w:space="0" w:color="auto"/>
              <w:left w:val="nil"/>
              <w:bottom w:val="single" w:sz="8" w:space="0" w:color="auto"/>
              <w:right w:val="nil"/>
            </w:tcBorders>
            <w:vAlign w:val="center"/>
          </w:tcPr>
          <w:p w:rsidR="00F65861" w:rsidRPr="0012785E" w:rsidRDefault="00F65861" w:rsidP="00D26920">
            <w:pPr>
              <w:keepNext/>
              <w:keepLines/>
              <w:spacing w:line="240" w:lineRule="auto"/>
              <w:jc w:val="right"/>
              <w:rPr>
                <w:rFonts w:ascii="Calibri" w:hAnsi="Calibri" w:cs="Calibri"/>
                <w:color w:val="000000"/>
              </w:rPr>
            </w:pPr>
            <w:r>
              <w:rPr>
                <w:rFonts w:ascii="Calibri" w:hAnsi="Calibri" w:cs="Calibri"/>
                <w:color w:val="000000"/>
                <w:sz w:val="22"/>
                <w:szCs w:val="22"/>
              </w:rPr>
              <w:t>2018</w:t>
            </w:r>
          </w:p>
        </w:tc>
      </w:tr>
      <w:tr w:rsidR="00F65861" w:rsidRPr="00DE351E" w:rsidTr="00D26920">
        <w:trPr>
          <w:trHeight w:val="254"/>
        </w:trPr>
        <w:tc>
          <w:tcPr>
            <w:tcW w:w="1151" w:type="pct"/>
            <w:tcBorders>
              <w:top w:val="nil"/>
              <w:left w:val="nil"/>
              <w:bottom w:val="nil"/>
              <w:right w:val="single" w:sz="4" w:space="0" w:color="auto"/>
            </w:tcBorders>
            <w:shd w:val="clear" w:color="auto" w:fill="auto"/>
            <w:noWrap/>
            <w:vAlign w:val="bottom"/>
            <w:hideMark/>
          </w:tcPr>
          <w:p w:rsidR="00F65861" w:rsidRPr="00DE351E" w:rsidRDefault="00F65861" w:rsidP="00D26920">
            <w:pPr>
              <w:keepNext/>
              <w:keepLines/>
              <w:spacing w:line="240" w:lineRule="auto"/>
              <w:rPr>
                <w:rFonts w:ascii="Gill Sans MT" w:hAnsi="Gill Sans MT" w:cs="Calibri"/>
                <w:bCs/>
                <w:color w:val="000000"/>
                <w:sz w:val="20"/>
                <w:szCs w:val="20"/>
              </w:rPr>
            </w:pPr>
            <w:r w:rsidRPr="00DE351E">
              <w:rPr>
                <w:rFonts w:ascii="Gill Sans MT" w:hAnsi="Gill Sans MT" w:cs="Calibri"/>
                <w:bCs/>
                <w:color w:val="000000"/>
                <w:sz w:val="20"/>
                <w:szCs w:val="20"/>
              </w:rPr>
              <w:t>0 år</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14 028</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14 333</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14 536</w:t>
            </w:r>
          </w:p>
        </w:tc>
        <w:tc>
          <w:tcPr>
            <w:tcW w:w="769"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14 731</w:t>
            </w:r>
          </w:p>
        </w:tc>
        <w:tc>
          <w:tcPr>
            <w:tcW w:w="769" w:type="pct"/>
            <w:tcBorders>
              <w:top w:val="nil"/>
              <w:left w:val="nil"/>
              <w:bottom w:val="nil"/>
              <w:right w:val="nil"/>
            </w:tcBorders>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14 913</w:t>
            </w:r>
          </w:p>
        </w:tc>
      </w:tr>
      <w:tr w:rsidR="00F65861" w:rsidRPr="00DE351E" w:rsidTr="00D26920">
        <w:trPr>
          <w:trHeight w:val="254"/>
        </w:trPr>
        <w:tc>
          <w:tcPr>
            <w:tcW w:w="1151" w:type="pct"/>
            <w:tcBorders>
              <w:top w:val="nil"/>
              <w:left w:val="nil"/>
              <w:bottom w:val="nil"/>
              <w:right w:val="single" w:sz="4" w:space="0" w:color="auto"/>
            </w:tcBorders>
            <w:shd w:val="clear" w:color="000000" w:fill="D9D9D9"/>
            <w:noWrap/>
            <w:vAlign w:val="bottom"/>
            <w:hideMark/>
          </w:tcPr>
          <w:p w:rsidR="00F65861" w:rsidRPr="00DE351E" w:rsidRDefault="00F65861" w:rsidP="00D26920">
            <w:pPr>
              <w:keepNext/>
              <w:keepLines/>
              <w:spacing w:line="240" w:lineRule="auto"/>
              <w:rPr>
                <w:rFonts w:ascii="Gill Sans MT" w:hAnsi="Gill Sans MT" w:cs="Calibri"/>
                <w:color w:val="000000"/>
                <w:sz w:val="20"/>
                <w:szCs w:val="20"/>
              </w:rPr>
            </w:pPr>
            <w:r w:rsidRPr="00DE351E">
              <w:rPr>
                <w:rFonts w:ascii="Gill Sans MT" w:hAnsi="Gill Sans MT" w:cs="Calibri"/>
                <w:color w:val="000000"/>
                <w:sz w:val="20"/>
                <w:szCs w:val="20"/>
              </w:rPr>
              <w:t>Förändring (%)</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2,0</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2,2</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1,4</w:t>
            </w:r>
          </w:p>
        </w:tc>
        <w:tc>
          <w:tcPr>
            <w:tcW w:w="769"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1,3</w:t>
            </w:r>
          </w:p>
        </w:tc>
        <w:tc>
          <w:tcPr>
            <w:tcW w:w="769" w:type="pct"/>
            <w:tcBorders>
              <w:top w:val="nil"/>
              <w:left w:val="nil"/>
              <w:bottom w:val="nil"/>
              <w:right w:val="nil"/>
            </w:tcBorders>
            <w:shd w:val="clear" w:color="000000" w:fill="D9D9D9"/>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1,2</w:t>
            </w:r>
          </w:p>
        </w:tc>
      </w:tr>
      <w:tr w:rsidR="00F65861" w:rsidRPr="00DE351E" w:rsidTr="00D26920">
        <w:trPr>
          <w:trHeight w:val="254"/>
        </w:trPr>
        <w:tc>
          <w:tcPr>
            <w:tcW w:w="1151" w:type="pct"/>
            <w:tcBorders>
              <w:top w:val="nil"/>
              <w:left w:val="nil"/>
              <w:bottom w:val="nil"/>
              <w:right w:val="single" w:sz="4" w:space="0" w:color="auto"/>
            </w:tcBorders>
            <w:shd w:val="clear" w:color="auto" w:fill="auto"/>
            <w:noWrap/>
            <w:vAlign w:val="bottom"/>
            <w:hideMark/>
          </w:tcPr>
          <w:p w:rsidR="00F65861" w:rsidRPr="00DE351E" w:rsidRDefault="00F65861" w:rsidP="00D26920">
            <w:pPr>
              <w:keepNext/>
              <w:keepLines/>
              <w:spacing w:line="240" w:lineRule="auto"/>
              <w:rPr>
                <w:rFonts w:ascii="Gill Sans MT" w:hAnsi="Gill Sans MT" w:cs="Calibri"/>
                <w:bCs/>
                <w:color w:val="000000"/>
                <w:sz w:val="20"/>
                <w:szCs w:val="20"/>
              </w:rPr>
            </w:pPr>
            <w:r w:rsidRPr="00DE351E">
              <w:rPr>
                <w:rFonts w:ascii="Gill Sans MT" w:hAnsi="Gill Sans MT" w:cs="Calibri"/>
                <w:bCs/>
                <w:color w:val="000000"/>
                <w:sz w:val="20"/>
                <w:szCs w:val="20"/>
              </w:rPr>
              <w:t>1-5 år</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60 175</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60 806</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61 306</w:t>
            </w:r>
          </w:p>
        </w:tc>
        <w:tc>
          <w:tcPr>
            <w:tcW w:w="769"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62 258</w:t>
            </w:r>
          </w:p>
        </w:tc>
        <w:tc>
          <w:tcPr>
            <w:tcW w:w="769" w:type="pct"/>
            <w:tcBorders>
              <w:top w:val="nil"/>
              <w:left w:val="nil"/>
              <w:bottom w:val="nil"/>
              <w:right w:val="nil"/>
            </w:tcBorders>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63 201</w:t>
            </w:r>
          </w:p>
        </w:tc>
      </w:tr>
      <w:tr w:rsidR="00F65861" w:rsidRPr="00DE351E" w:rsidTr="00D26920">
        <w:trPr>
          <w:trHeight w:val="254"/>
        </w:trPr>
        <w:tc>
          <w:tcPr>
            <w:tcW w:w="1151" w:type="pct"/>
            <w:tcBorders>
              <w:top w:val="nil"/>
              <w:left w:val="nil"/>
              <w:bottom w:val="nil"/>
              <w:right w:val="single" w:sz="4" w:space="0" w:color="auto"/>
            </w:tcBorders>
            <w:shd w:val="clear" w:color="000000" w:fill="D9D9D9"/>
            <w:noWrap/>
            <w:vAlign w:val="bottom"/>
            <w:hideMark/>
          </w:tcPr>
          <w:p w:rsidR="00F65861" w:rsidRPr="00DE351E" w:rsidRDefault="00F65861" w:rsidP="00D26920">
            <w:pPr>
              <w:keepNext/>
              <w:keepLines/>
              <w:spacing w:line="240" w:lineRule="auto"/>
              <w:rPr>
                <w:rFonts w:ascii="Gill Sans MT" w:hAnsi="Gill Sans MT" w:cs="Calibri"/>
                <w:color w:val="000000"/>
                <w:sz w:val="20"/>
                <w:szCs w:val="20"/>
              </w:rPr>
            </w:pPr>
            <w:r w:rsidRPr="00DE351E">
              <w:rPr>
                <w:rFonts w:ascii="Gill Sans MT" w:hAnsi="Gill Sans MT" w:cs="Calibri"/>
                <w:color w:val="000000"/>
                <w:sz w:val="20"/>
                <w:szCs w:val="20"/>
              </w:rPr>
              <w:t>Förändring (%)</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1,3</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1,0</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0,8</w:t>
            </w:r>
          </w:p>
        </w:tc>
        <w:tc>
          <w:tcPr>
            <w:tcW w:w="769"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1,6</w:t>
            </w:r>
          </w:p>
        </w:tc>
        <w:tc>
          <w:tcPr>
            <w:tcW w:w="769" w:type="pct"/>
            <w:tcBorders>
              <w:top w:val="nil"/>
              <w:left w:val="nil"/>
              <w:bottom w:val="nil"/>
              <w:right w:val="nil"/>
            </w:tcBorders>
            <w:shd w:val="clear" w:color="000000" w:fill="D9D9D9"/>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1,5</w:t>
            </w:r>
          </w:p>
        </w:tc>
      </w:tr>
      <w:tr w:rsidR="00F65861" w:rsidRPr="00DE351E" w:rsidTr="00D26920">
        <w:trPr>
          <w:trHeight w:val="254"/>
        </w:trPr>
        <w:tc>
          <w:tcPr>
            <w:tcW w:w="1151" w:type="pct"/>
            <w:tcBorders>
              <w:top w:val="nil"/>
              <w:left w:val="nil"/>
              <w:bottom w:val="nil"/>
              <w:right w:val="single" w:sz="4" w:space="0" w:color="auto"/>
            </w:tcBorders>
            <w:shd w:val="clear" w:color="auto" w:fill="auto"/>
            <w:noWrap/>
            <w:vAlign w:val="bottom"/>
            <w:hideMark/>
          </w:tcPr>
          <w:p w:rsidR="00F65861" w:rsidRPr="00DE351E" w:rsidRDefault="00F65861" w:rsidP="00D26920">
            <w:pPr>
              <w:keepNext/>
              <w:keepLines/>
              <w:spacing w:line="240" w:lineRule="auto"/>
              <w:rPr>
                <w:rFonts w:ascii="Gill Sans MT" w:hAnsi="Gill Sans MT" w:cs="Calibri"/>
                <w:bCs/>
                <w:color w:val="000000"/>
                <w:sz w:val="20"/>
                <w:szCs w:val="20"/>
              </w:rPr>
            </w:pPr>
            <w:r w:rsidRPr="00DE351E">
              <w:rPr>
                <w:rFonts w:ascii="Gill Sans MT" w:hAnsi="Gill Sans MT" w:cs="Calibri"/>
                <w:bCs/>
                <w:color w:val="000000"/>
                <w:sz w:val="20"/>
                <w:szCs w:val="20"/>
              </w:rPr>
              <w:t>6-15 år</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89 179</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92 765</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96 246</w:t>
            </w:r>
          </w:p>
        </w:tc>
        <w:tc>
          <w:tcPr>
            <w:tcW w:w="769"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99 227</w:t>
            </w:r>
          </w:p>
        </w:tc>
        <w:tc>
          <w:tcPr>
            <w:tcW w:w="769" w:type="pct"/>
            <w:tcBorders>
              <w:top w:val="nil"/>
              <w:left w:val="nil"/>
              <w:bottom w:val="nil"/>
              <w:right w:val="nil"/>
            </w:tcBorders>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101 826</w:t>
            </w:r>
          </w:p>
        </w:tc>
      </w:tr>
      <w:tr w:rsidR="00F65861" w:rsidRPr="00DE351E" w:rsidTr="00D26920">
        <w:trPr>
          <w:trHeight w:val="254"/>
        </w:trPr>
        <w:tc>
          <w:tcPr>
            <w:tcW w:w="1151" w:type="pct"/>
            <w:tcBorders>
              <w:top w:val="nil"/>
              <w:left w:val="nil"/>
              <w:bottom w:val="nil"/>
              <w:right w:val="single" w:sz="4" w:space="0" w:color="auto"/>
            </w:tcBorders>
            <w:shd w:val="clear" w:color="000000" w:fill="D9D9D9"/>
            <w:noWrap/>
            <w:vAlign w:val="bottom"/>
            <w:hideMark/>
          </w:tcPr>
          <w:p w:rsidR="00F65861" w:rsidRPr="00DE351E" w:rsidRDefault="00F65861" w:rsidP="00D26920">
            <w:pPr>
              <w:keepNext/>
              <w:keepLines/>
              <w:spacing w:line="240" w:lineRule="auto"/>
              <w:rPr>
                <w:rFonts w:ascii="Gill Sans MT" w:hAnsi="Gill Sans MT" w:cs="Calibri"/>
                <w:color w:val="000000"/>
                <w:sz w:val="20"/>
                <w:szCs w:val="20"/>
              </w:rPr>
            </w:pPr>
            <w:r w:rsidRPr="00DE351E">
              <w:rPr>
                <w:rFonts w:ascii="Gill Sans MT" w:hAnsi="Gill Sans MT" w:cs="Calibri"/>
                <w:color w:val="000000"/>
                <w:sz w:val="20"/>
                <w:szCs w:val="20"/>
              </w:rPr>
              <w:t>Förändring (%)</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4,0</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4,0</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3,8</w:t>
            </w:r>
          </w:p>
        </w:tc>
        <w:tc>
          <w:tcPr>
            <w:tcW w:w="769"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3,1</w:t>
            </w:r>
          </w:p>
        </w:tc>
        <w:tc>
          <w:tcPr>
            <w:tcW w:w="769" w:type="pct"/>
            <w:tcBorders>
              <w:top w:val="nil"/>
              <w:left w:val="nil"/>
              <w:bottom w:val="nil"/>
              <w:right w:val="nil"/>
            </w:tcBorders>
            <w:shd w:val="clear" w:color="000000" w:fill="D9D9D9"/>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2,6</w:t>
            </w:r>
          </w:p>
        </w:tc>
      </w:tr>
      <w:tr w:rsidR="00F65861" w:rsidRPr="00DE351E" w:rsidTr="00D26920">
        <w:trPr>
          <w:trHeight w:val="254"/>
        </w:trPr>
        <w:tc>
          <w:tcPr>
            <w:tcW w:w="1151" w:type="pct"/>
            <w:tcBorders>
              <w:top w:val="nil"/>
              <w:left w:val="nil"/>
              <w:bottom w:val="nil"/>
              <w:right w:val="single" w:sz="4" w:space="0" w:color="auto"/>
            </w:tcBorders>
            <w:shd w:val="clear" w:color="auto" w:fill="auto"/>
            <w:noWrap/>
            <w:vAlign w:val="bottom"/>
            <w:hideMark/>
          </w:tcPr>
          <w:p w:rsidR="00F65861" w:rsidRPr="00DE351E" w:rsidRDefault="00F65861" w:rsidP="00D26920">
            <w:pPr>
              <w:keepNext/>
              <w:keepLines/>
              <w:spacing w:line="240" w:lineRule="auto"/>
              <w:rPr>
                <w:rFonts w:ascii="Gill Sans MT" w:hAnsi="Gill Sans MT" w:cs="Calibri"/>
                <w:bCs/>
                <w:color w:val="000000"/>
                <w:sz w:val="20"/>
                <w:szCs w:val="20"/>
              </w:rPr>
            </w:pPr>
            <w:r w:rsidRPr="00DE351E">
              <w:rPr>
                <w:rFonts w:ascii="Gill Sans MT" w:hAnsi="Gill Sans MT" w:cs="Calibri"/>
                <w:bCs/>
                <w:color w:val="000000"/>
                <w:sz w:val="20"/>
                <w:szCs w:val="20"/>
              </w:rPr>
              <w:t>16-19 år</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32 764</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32 619</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33 072</w:t>
            </w:r>
          </w:p>
        </w:tc>
        <w:tc>
          <w:tcPr>
            <w:tcW w:w="769"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33 809</w:t>
            </w:r>
          </w:p>
        </w:tc>
        <w:tc>
          <w:tcPr>
            <w:tcW w:w="769" w:type="pct"/>
            <w:tcBorders>
              <w:top w:val="nil"/>
              <w:left w:val="nil"/>
              <w:bottom w:val="nil"/>
              <w:right w:val="nil"/>
            </w:tcBorders>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34 791</w:t>
            </w:r>
          </w:p>
        </w:tc>
      </w:tr>
      <w:tr w:rsidR="00F65861" w:rsidRPr="00DE351E" w:rsidTr="00D26920">
        <w:trPr>
          <w:trHeight w:val="254"/>
        </w:trPr>
        <w:tc>
          <w:tcPr>
            <w:tcW w:w="1151" w:type="pct"/>
            <w:tcBorders>
              <w:top w:val="nil"/>
              <w:left w:val="nil"/>
              <w:bottom w:val="nil"/>
              <w:right w:val="single" w:sz="4" w:space="0" w:color="auto"/>
            </w:tcBorders>
            <w:shd w:val="clear" w:color="000000" w:fill="D9D9D9"/>
            <w:noWrap/>
            <w:vAlign w:val="bottom"/>
            <w:hideMark/>
          </w:tcPr>
          <w:p w:rsidR="00F65861" w:rsidRPr="00DE351E" w:rsidRDefault="00F65861" w:rsidP="00D26920">
            <w:pPr>
              <w:keepNext/>
              <w:keepLines/>
              <w:spacing w:line="240" w:lineRule="auto"/>
              <w:rPr>
                <w:rFonts w:ascii="Gill Sans MT" w:hAnsi="Gill Sans MT" w:cs="Calibri"/>
                <w:color w:val="000000"/>
                <w:sz w:val="20"/>
                <w:szCs w:val="20"/>
              </w:rPr>
            </w:pPr>
            <w:r w:rsidRPr="00DE351E">
              <w:rPr>
                <w:rFonts w:ascii="Gill Sans MT" w:hAnsi="Gill Sans MT" w:cs="Calibri"/>
                <w:color w:val="000000"/>
                <w:sz w:val="20"/>
                <w:szCs w:val="20"/>
              </w:rPr>
              <w:t>Förändring (%)</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-1,6</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-0,4</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1,4</w:t>
            </w:r>
          </w:p>
        </w:tc>
        <w:tc>
          <w:tcPr>
            <w:tcW w:w="769"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2,2</w:t>
            </w:r>
          </w:p>
        </w:tc>
        <w:tc>
          <w:tcPr>
            <w:tcW w:w="769" w:type="pct"/>
            <w:tcBorders>
              <w:top w:val="nil"/>
              <w:left w:val="nil"/>
              <w:bottom w:val="nil"/>
              <w:right w:val="nil"/>
            </w:tcBorders>
            <w:shd w:val="clear" w:color="000000" w:fill="D9D9D9"/>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2,9</w:t>
            </w:r>
          </w:p>
        </w:tc>
      </w:tr>
      <w:tr w:rsidR="00F65861" w:rsidRPr="00DE351E" w:rsidTr="00D26920">
        <w:trPr>
          <w:trHeight w:val="254"/>
        </w:trPr>
        <w:tc>
          <w:tcPr>
            <w:tcW w:w="1151" w:type="pct"/>
            <w:tcBorders>
              <w:top w:val="nil"/>
              <w:left w:val="nil"/>
              <w:bottom w:val="nil"/>
              <w:right w:val="single" w:sz="4" w:space="0" w:color="auto"/>
            </w:tcBorders>
            <w:shd w:val="clear" w:color="auto" w:fill="auto"/>
            <w:noWrap/>
            <w:vAlign w:val="bottom"/>
            <w:hideMark/>
          </w:tcPr>
          <w:p w:rsidR="00F65861" w:rsidRPr="00DE351E" w:rsidRDefault="00F65861" w:rsidP="00D26920">
            <w:pPr>
              <w:keepNext/>
              <w:keepLines/>
              <w:spacing w:line="240" w:lineRule="auto"/>
              <w:rPr>
                <w:rFonts w:ascii="Gill Sans MT" w:hAnsi="Gill Sans MT" w:cs="Calibri"/>
                <w:color w:val="000000"/>
                <w:sz w:val="20"/>
                <w:szCs w:val="20"/>
              </w:rPr>
            </w:pPr>
            <w:r w:rsidRPr="00DE351E">
              <w:rPr>
                <w:rFonts w:ascii="Gill Sans MT" w:hAnsi="Gill Sans MT" w:cs="Calibri"/>
                <w:color w:val="000000"/>
                <w:sz w:val="20"/>
                <w:szCs w:val="20"/>
              </w:rPr>
              <w:t>20-64 år</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585 940</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594 160</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602 007</w:t>
            </w:r>
          </w:p>
        </w:tc>
        <w:tc>
          <w:tcPr>
            <w:tcW w:w="769"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608 979</w:t>
            </w:r>
          </w:p>
        </w:tc>
        <w:tc>
          <w:tcPr>
            <w:tcW w:w="769" w:type="pct"/>
            <w:tcBorders>
              <w:top w:val="nil"/>
              <w:left w:val="nil"/>
              <w:bottom w:val="nil"/>
              <w:right w:val="nil"/>
            </w:tcBorders>
            <w:shd w:val="clear" w:color="auto" w:fill="auto"/>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615 780</w:t>
            </w:r>
          </w:p>
        </w:tc>
      </w:tr>
      <w:tr w:rsidR="00F65861" w:rsidRPr="00DE351E" w:rsidTr="00D26920">
        <w:trPr>
          <w:trHeight w:val="254"/>
        </w:trPr>
        <w:tc>
          <w:tcPr>
            <w:tcW w:w="1151" w:type="pct"/>
            <w:tcBorders>
              <w:top w:val="nil"/>
              <w:left w:val="nil"/>
              <w:bottom w:val="nil"/>
              <w:right w:val="single" w:sz="4" w:space="0" w:color="auto"/>
            </w:tcBorders>
            <w:shd w:val="clear" w:color="000000" w:fill="D9D9D9"/>
            <w:noWrap/>
            <w:vAlign w:val="bottom"/>
            <w:hideMark/>
          </w:tcPr>
          <w:p w:rsidR="00F65861" w:rsidRPr="00DE351E" w:rsidRDefault="00F65861" w:rsidP="00D26920">
            <w:pPr>
              <w:keepNext/>
              <w:keepLines/>
              <w:spacing w:line="240" w:lineRule="auto"/>
              <w:rPr>
                <w:rFonts w:ascii="Gill Sans MT" w:hAnsi="Gill Sans MT" w:cs="Calibri"/>
                <w:color w:val="000000"/>
                <w:sz w:val="20"/>
                <w:szCs w:val="20"/>
              </w:rPr>
            </w:pPr>
            <w:r w:rsidRPr="00DE351E">
              <w:rPr>
                <w:rFonts w:ascii="Gill Sans MT" w:hAnsi="Gill Sans MT" w:cs="Calibri"/>
                <w:color w:val="000000"/>
                <w:sz w:val="20"/>
                <w:szCs w:val="20"/>
              </w:rPr>
              <w:t>Förändring (%)</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1,6</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1,4</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1,3</w:t>
            </w:r>
          </w:p>
        </w:tc>
        <w:tc>
          <w:tcPr>
            <w:tcW w:w="769"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1,2</w:t>
            </w:r>
          </w:p>
        </w:tc>
        <w:tc>
          <w:tcPr>
            <w:tcW w:w="769" w:type="pct"/>
            <w:tcBorders>
              <w:top w:val="nil"/>
              <w:left w:val="nil"/>
              <w:bottom w:val="nil"/>
              <w:right w:val="nil"/>
            </w:tcBorders>
            <w:shd w:val="clear" w:color="000000" w:fill="D9D9D9"/>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1,1</w:t>
            </w:r>
          </w:p>
        </w:tc>
      </w:tr>
      <w:tr w:rsidR="00F65861" w:rsidRPr="00DE351E" w:rsidTr="00D26920">
        <w:trPr>
          <w:trHeight w:val="254"/>
        </w:trPr>
        <w:tc>
          <w:tcPr>
            <w:tcW w:w="1151" w:type="pct"/>
            <w:tcBorders>
              <w:top w:val="nil"/>
              <w:left w:val="nil"/>
              <w:bottom w:val="nil"/>
              <w:right w:val="single" w:sz="4" w:space="0" w:color="auto"/>
            </w:tcBorders>
            <w:shd w:val="clear" w:color="auto" w:fill="auto"/>
            <w:noWrap/>
            <w:vAlign w:val="bottom"/>
            <w:hideMark/>
          </w:tcPr>
          <w:p w:rsidR="00F65861" w:rsidRPr="00DE351E" w:rsidRDefault="00F65861" w:rsidP="00D26920">
            <w:pPr>
              <w:keepNext/>
              <w:keepLines/>
              <w:spacing w:line="240" w:lineRule="auto"/>
              <w:rPr>
                <w:rFonts w:ascii="Gill Sans MT" w:hAnsi="Gill Sans MT" w:cs="Calibri"/>
                <w:bCs/>
                <w:color w:val="000000"/>
                <w:sz w:val="20"/>
                <w:szCs w:val="20"/>
              </w:rPr>
            </w:pPr>
            <w:r w:rsidRPr="00DE351E">
              <w:rPr>
                <w:rFonts w:ascii="Gill Sans MT" w:hAnsi="Gill Sans MT" w:cs="Calibri"/>
                <w:bCs/>
                <w:color w:val="000000"/>
                <w:sz w:val="20"/>
                <w:szCs w:val="20"/>
              </w:rPr>
              <w:t>65-79 år</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94 976</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98 146</w:t>
            </w:r>
          </w:p>
        </w:tc>
        <w:tc>
          <w:tcPr>
            <w:tcW w:w="770"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101 047</w:t>
            </w:r>
          </w:p>
        </w:tc>
        <w:tc>
          <w:tcPr>
            <w:tcW w:w="769" w:type="pct"/>
            <w:tcBorders>
              <w:top w:val="nil"/>
              <w:left w:val="nil"/>
              <w:bottom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104 290</w:t>
            </w:r>
          </w:p>
        </w:tc>
        <w:tc>
          <w:tcPr>
            <w:tcW w:w="769" w:type="pct"/>
            <w:tcBorders>
              <w:top w:val="nil"/>
              <w:left w:val="nil"/>
              <w:bottom w:val="nil"/>
              <w:right w:val="nil"/>
            </w:tcBorders>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107 326</w:t>
            </w:r>
          </w:p>
        </w:tc>
      </w:tr>
      <w:tr w:rsidR="00F65861" w:rsidRPr="00DE351E" w:rsidTr="00D26920">
        <w:trPr>
          <w:trHeight w:val="254"/>
        </w:trPr>
        <w:tc>
          <w:tcPr>
            <w:tcW w:w="1151" w:type="pct"/>
            <w:tcBorders>
              <w:top w:val="nil"/>
              <w:left w:val="nil"/>
              <w:bottom w:val="nil"/>
              <w:right w:val="single" w:sz="4" w:space="0" w:color="auto"/>
            </w:tcBorders>
            <w:shd w:val="clear" w:color="000000" w:fill="D9D9D9"/>
            <w:noWrap/>
            <w:vAlign w:val="bottom"/>
            <w:hideMark/>
          </w:tcPr>
          <w:p w:rsidR="00F65861" w:rsidRPr="00DE351E" w:rsidRDefault="00F65861" w:rsidP="00D26920">
            <w:pPr>
              <w:keepNext/>
              <w:keepLines/>
              <w:spacing w:line="240" w:lineRule="auto"/>
              <w:rPr>
                <w:rFonts w:ascii="Gill Sans MT" w:hAnsi="Gill Sans MT" w:cs="Calibri"/>
                <w:color w:val="000000"/>
                <w:sz w:val="20"/>
                <w:szCs w:val="20"/>
              </w:rPr>
            </w:pPr>
            <w:r w:rsidRPr="00DE351E">
              <w:rPr>
                <w:rFonts w:ascii="Gill Sans MT" w:hAnsi="Gill Sans MT" w:cs="Calibri"/>
                <w:color w:val="000000"/>
                <w:sz w:val="20"/>
                <w:szCs w:val="20"/>
              </w:rPr>
              <w:t>Förändring (%)</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3,7</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3,3</w:t>
            </w:r>
          </w:p>
        </w:tc>
        <w:tc>
          <w:tcPr>
            <w:tcW w:w="770"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3,0</w:t>
            </w:r>
          </w:p>
        </w:tc>
        <w:tc>
          <w:tcPr>
            <w:tcW w:w="769" w:type="pct"/>
            <w:tcBorders>
              <w:top w:val="nil"/>
              <w:left w:val="nil"/>
              <w:bottom w:val="nil"/>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3,2</w:t>
            </w:r>
          </w:p>
        </w:tc>
        <w:tc>
          <w:tcPr>
            <w:tcW w:w="769" w:type="pct"/>
            <w:tcBorders>
              <w:top w:val="nil"/>
              <w:left w:val="nil"/>
              <w:bottom w:val="nil"/>
              <w:right w:val="nil"/>
            </w:tcBorders>
            <w:shd w:val="clear" w:color="000000" w:fill="D9D9D9"/>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2,9</w:t>
            </w:r>
          </w:p>
        </w:tc>
      </w:tr>
      <w:tr w:rsidR="00F65861" w:rsidRPr="00DE351E" w:rsidTr="00D26920">
        <w:trPr>
          <w:trHeight w:val="254"/>
        </w:trPr>
        <w:tc>
          <w:tcPr>
            <w:tcW w:w="1151" w:type="pct"/>
            <w:tcBorders>
              <w:top w:val="nil"/>
              <w:left w:val="nil"/>
              <w:right w:val="single" w:sz="4" w:space="0" w:color="auto"/>
            </w:tcBorders>
            <w:shd w:val="clear" w:color="auto" w:fill="auto"/>
            <w:noWrap/>
            <w:vAlign w:val="bottom"/>
            <w:hideMark/>
          </w:tcPr>
          <w:p w:rsidR="00F65861" w:rsidRPr="00DE351E" w:rsidRDefault="00F65861" w:rsidP="00D26920">
            <w:pPr>
              <w:keepNext/>
              <w:keepLines/>
              <w:spacing w:line="240" w:lineRule="auto"/>
              <w:rPr>
                <w:rFonts w:ascii="Gill Sans MT" w:hAnsi="Gill Sans MT" w:cs="Calibri"/>
                <w:bCs/>
                <w:color w:val="000000"/>
                <w:sz w:val="20"/>
                <w:szCs w:val="20"/>
              </w:rPr>
            </w:pPr>
            <w:r w:rsidRPr="00DE351E">
              <w:rPr>
                <w:rFonts w:ascii="Gill Sans MT" w:hAnsi="Gill Sans MT" w:cs="Calibri"/>
                <w:bCs/>
                <w:color w:val="000000"/>
                <w:sz w:val="20"/>
                <w:szCs w:val="20"/>
              </w:rPr>
              <w:t>80 – år</w:t>
            </w:r>
          </w:p>
        </w:tc>
        <w:tc>
          <w:tcPr>
            <w:tcW w:w="770" w:type="pct"/>
            <w:tcBorders>
              <w:top w:val="nil"/>
              <w:left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36 330</w:t>
            </w:r>
          </w:p>
        </w:tc>
        <w:tc>
          <w:tcPr>
            <w:tcW w:w="770" w:type="pct"/>
            <w:tcBorders>
              <w:top w:val="nil"/>
              <w:left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35 772</w:t>
            </w:r>
          </w:p>
        </w:tc>
        <w:tc>
          <w:tcPr>
            <w:tcW w:w="770" w:type="pct"/>
            <w:tcBorders>
              <w:top w:val="nil"/>
              <w:left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35 420</w:t>
            </w:r>
          </w:p>
        </w:tc>
        <w:tc>
          <w:tcPr>
            <w:tcW w:w="769" w:type="pct"/>
            <w:tcBorders>
              <w:top w:val="nil"/>
              <w:left w:val="nil"/>
              <w:right w:val="nil"/>
            </w:tcBorders>
            <w:shd w:val="clear" w:color="auto" w:fill="auto"/>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35 228</w:t>
            </w:r>
          </w:p>
        </w:tc>
        <w:tc>
          <w:tcPr>
            <w:tcW w:w="769" w:type="pct"/>
            <w:tcBorders>
              <w:top w:val="nil"/>
              <w:left w:val="nil"/>
              <w:right w:val="nil"/>
            </w:tcBorders>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35 362</w:t>
            </w:r>
          </w:p>
        </w:tc>
      </w:tr>
      <w:tr w:rsidR="00F65861" w:rsidRPr="00DE351E" w:rsidTr="00D26920">
        <w:trPr>
          <w:trHeight w:val="254"/>
        </w:trPr>
        <w:tc>
          <w:tcPr>
            <w:tcW w:w="1151" w:type="pct"/>
            <w:tcBorders>
              <w:top w:val="nil"/>
              <w:left w:val="nil"/>
              <w:bottom w:val="single" w:sz="4" w:space="0" w:color="auto"/>
              <w:right w:val="single" w:sz="4" w:space="0" w:color="auto"/>
            </w:tcBorders>
            <w:shd w:val="clear" w:color="000000" w:fill="D9D9D9"/>
            <w:noWrap/>
            <w:vAlign w:val="bottom"/>
            <w:hideMark/>
          </w:tcPr>
          <w:p w:rsidR="00F65861" w:rsidRPr="00DE351E" w:rsidRDefault="00F65861" w:rsidP="00D26920">
            <w:pPr>
              <w:keepNext/>
              <w:keepLines/>
              <w:spacing w:line="240" w:lineRule="auto"/>
              <w:rPr>
                <w:rFonts w:ascii="Gill Sans MT" w:hAnsi="Gill Sans MT" w:cs="Calibri"/>
                <w:color w:val="000000"/>
                <w:sz w:val="20"/>
                <w:szCs w:val="20"/>
              </w:rPr>
            </w:pPr>
            <w:r w:rsidRPr="00DE351E">
              <w:rPr>
                <w:rFonts w:ascii="Gill Sans MT" w:hAnsi="Gill Sans MT" w:cs="Calibri"/>
                <w:color w:val="000000"/>
                <w:sz w:val="20"/>
                <w:szCs w:val="20"/>
              </w:rPr>
              <w:t>Förändring (%)</w:t>
            </w:r>
          </w:p>
        </w:tc>
        <w:tc>
          <w:tcPr>
            <w:tcW w:w="770" w:type="pct"/>
            <w:tcBorders>
              <w:top w:val="nil"/>
              <w:left w:val="nil"/>
              <w:bottom w:val="single" w:sz="4" w:space="0" w:color="auto"/>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-2,2</w:t>
            </w:r>
          </w:p>
        </w:tc>
        <w:tc>
          <w:tcPr>
            <w:tcW w:w="770" w:type="pct"/>
            <w:tcBorders>
              <w:top w:val="nil"/>
              <w:left w:val="nil"/>
              <w:bottom w:val="single" w:sz="4" w:space="0" w:color="auto"/>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-1,5</w:t>
            </w:r>
          </w:p>
        </w:tc>
        <w:tc>
          <w:tcPr>
            <w:tcW w:w="770" w:type="pct"/>
            <w:tcBorders>
              <w:top w:val="nil"/>
              <w:left w:val="nil"/>
              <w:bottom w:val="single" w:sz="4" w:space="0" w:color="auto"/>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-1,0</w:t>
            </w:r>
          </w:p>
        </w:tc>
        <w:tc>
          <w:tcPr>
            <w:tcW w:w="769" w:type="pct"/>
            <w:tcBorders>
              <w:top w:val="nil"/>
              <w:left w:val="nil"/>
              <w:bottom w:val="single" w:sz="4" w:space="0" w:color="auto"/>
              <w:right w:val="nil"/>
            </w:tcBorders>
            <w:shd w:val="clear" w:color="000000" w:fill="D9D9D9"/>
            <w:noWrap/>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-0,5</w:t>
            </w:r>
          </w:p>
        </w:tc>
        <w:tc>
          <w:tcPr>
            <w:tcW w:w="769" w:type="pct"/>
            <w:tcBorders>
              <w:top w:val="nil"/>
              <w:left w:val="nil"/>
              <w:bottom w:val="single" w:sz="4" w:space="0" w:color="auto"/>
              <w:right w:val="nil"/>
            </w:tcBorders>
            <w:shd w:val="clear" w:color="000000" w:fill="D9D9D9"/>
            <w:vAlign w:val="bottom"/>
          </w:tcPr>
          <w:p w:rsidR="00F65861" w:rsidRDefault="00F65861" w:rsidP="00D26920">
            <w:pPr>
              <w:jc w:val="right"/>
              <w:rPr>
                <w:rFonts w:ascii="Calibri" w:hAnsi="Calibri" w:cs="Calibri"/>
                <w:color w:val="000000"/>
                <w:sz w:val="22"/>
                <w:szCs w:val="22"/>
              </w:rPr>
            </w:pPr>
            <w:r>
              <w:rPr>
                <w:rFonts w:ascii="Calibri" w:hAnsi="Calibri" w:cs="Calibri"/>
                <w:color w:val="000000"/>
                <w:sz w:val="22"/>
                <w:szCs w:val="22"/>
              </w:rPr>
              <w:t>0,4</w:t>
            </w:r>
          </w:p>
        </w:tc>
      </w:tr>
    </w:tbl>
    <w:p w:rsidR="002208DA" w:rsidRPr="00155FC3" w:rsidRDefault="002208DA" w:rsidP="00155FC3">
      <w:pPr>
        <w:rPr>
          <w:rFonts w:eastAsia="Times New Roman"/>
          <w:sz w:val="20"/>
          <w:szCs w:val="20"/>
          <w:lang w:eastAsia="sv-SE"/>
        </w:rPr>
      </w:pPr>
      <w:r w:rsidRPr="00155FC3">
        <w:rPr>
          <w:rFonts w:eastAsia="Times New Roman"/>
          <w:sz w:val="20"/>
          <w:szCs w:val="20"/>
          <w:lang w:eastAsia="sv-SE"/>
        </w:rPr>
        <w:t>Källa: Sweco</w:t>
      </w:r>
    </w:p>
    <w:p w:rsidR="002208DA" w:rsidRPr="00155FC3" w:rsidRDefault="002208DA" w:rsidP="00155FC3">
      <w:pPr>
        <w:pStyle w:val="Rubrik3"/>
        <w:rPr>
          <w:rFonts w:eastAsia="Times New Roman"/>
          <w:lang w:eastAsia="sv-SE"/>
        </w:rPr>
      </w:pPr>
      <w:r w:rsidRPr="00155FC3">
        <w:rPr>
          <w:rFonts w:eastAsia="Times New Roman"/>
          <w:lang w:eastAsia="sv-SE"/>
        </w:rPr>
        <w:t>Utmaningar för den växande staden</w:t>
      </w:r>
    </w:p>
    <w:p w:rsidR="002208DA" w:rsidRPr="00155FC3" w:rsidRDefault="002208DA" w:rsidP="00155FC3">
      <w:pPr>
        <w:rPr>
          <w:rFonts w:ascii="Times New Roman" w:eastAsia="Times New Roman" w:hAnsi="Times New Roman" w:cs="Times New Roman"/>
          <w:kern w:val="24"/>
          <w:lang w:eastAsia="sv-SE"/>
        </w:rPr>
      </w:pPr>
      <w:r w:rsidRPr="00155FC3">
        <w:rPr>
          <w:rFonts w:ascii="Times New Roman" w:eastAsia="Times New Roman" w:hAnsi="Times New Roman" w:cs="Times New Roman"/>
          <w:kern w:val="24"/>
          <w:lang w:eastAsia="sv-SE"/>
        </w:rPr>
        <w:t>Stockholmsregionen spelar i kraft av sin storlek och sin stora ku</w:t>
      </w:r>
      <w:r w:rsidRPr="00155FC3">
        <w:rPr>
          <w:rFonts w:ascii="Times New Roman" w:eastAsia="Times New Roman" w:hAnsi="Times New Roman" w:cs="Times New Roman"/>
          <w:kern w:val="24"/>
          <w:lang w:eastAsia="sv-SE"/>
        </w:rPr>
        <w:t>n</w:t>
      </w:r>
      <w:r w:rsidRPr="00155FC3">
        <w:rPr>
          <w:rFonts w:ascii="Times New Roman" w:eastAsia="Times New Roman" w:hAnsi="Times New Roman" w:cs="Times New Roman"/>
          <w:kern w:val="24"/>
          <w:lang w:eastAsia="sv-SE"/>
        </w:rPr>
        <w:t>skapsstock en avgörande roll för tillväxten i hela landet. Betydelsen av Stockholm ökar och detta syns bland annat i befolkningsstatist</w:t>
      </w:r>
      <w:r w:rsidRPr="00155FC3">
        <w:rPr>
          <w:rFonts w:ascii="Times New Roman" w:eastAsia="Times New Roman" w:hAnsi="Times New Roman" w:cs="Times New Roman"/>
          <w:kern w:val="24"/>
          <w:lang w:eastAsia="sv-SE"/>
        </w:rPr>
        <w:t>i</w:t>
      </w:r>
      <w:r w:rsidRPr="00155FC3">
        <w:rPr>
          <w:rFonts w:ascii="Times New Roman" w:eastAsia="Times New Roman" w:hAnsi="Times New Roman" w:cs="Times New Roman"/>
          <w:kern w:val="24"/>
          <w:lang w:eastAsia="sv-SE"/>
        </w:rPr>
        <w:t>ken ovan med en ökande andel av landets totala befolkning. Samt</w:t>
      </w:r>
      <w:r w:rsidRPr="00155FC3">
        <w:rPr>
          <w:rFonts w:ascii="Times New Roman" w:eastAsia="Times New Roman" w:hAnsi="Times New Roman" w:cs="Times New Roman"/>
          <w:kern w:val="24"/>
          <w:lang w:eastAsia="sv-SE"/>
        </w:rPr>
        <w:t>i</w:t>
      </w:r>
      <w:r w:rsidRPr="00155FC3">
        <w:rPr>
          <w:rFonts w:ascii="Times New Roman" w:eastAsia="Times New Roman" w:hAnsi="Times New Roman" w:cs="Times New Roman"/>
          <w:kern w:val="24"/>
          <w:lang w:eastAsia="sv-SE"/>
        </w:rPr>
        <w:t>digt innebär den snabba befolkningstillväxten en stor utmaning för regionen. För aktörerna i Stockholms län gäller det att planera för en befolkningsökning på ytterligare drygt en halv miljon nya inv</w:t>
      </w:r>
      <w:r w:rsidRPr="00155FC3">
        <w:rPr>
          <w:rFonts w:ascii="Times New Roman" w:eastAsia="Times New Roman" w:hAnsi="Times New Roman" w:cs="Times New Roman"/>
          <w:kern w:val="24"/>
          <w:lang w:eastAsia="sv-SE"/>
        </w:rPr>
        <w:t>å</w:t>
      </w:r>
      <w:r w:rsidRPr="00155FC3">
        <w:rPr>
          <w:rFonts w:ascii="Times New Roman" w:eastAsia="Times New Roman" w:hAnsi="Times New Roman" w:cs="Times New Roman"/>
          <w:kern w:val="24"/>
          <w:lang w:eastAsia="sv-SE"/>
        </w:rPr>
        <w:t xml:space="preserve">nare fram till 2030, en befolkning som har en större andel äldre än idag och med sannolikt högre krav på en god välfärd och omsorg. </w:t>
      </w:r>
    </w:p>
    <w:p w:rsidR="002208DA" w:rsidRDefault="002208DA" w:rsidP="000F5B55">
      <w:pPr>
        <w:spacing w:line="0" w:lineRule="auto"/>
      </w:pPr>
    </w:p>
    <w:p w:rsidR="002208DA" w:rsidRPr="0082203A" w:rsidRDefault="002208DA" w:rsidP="008B19BA">
      <w:pPr>
        <w:spacing w:line="0" w:lineRule="auto"/>
      </w:pPr>
    </w:p>
    <w:p w:rsidR="002208DA" w:rsidRPr="001F3A17" w:rsidRDefault="002208DA" w:rsidP="0082203A">
      <w:pPr>
        <w:spacing w:line="0" w:lineRule="auto"/>
      </w:pPr>
    </w:p>
    <w:p w:rsidR="002208DA" w:rsidRPr="0016522D" w:rsidRDefault="002208DA" w:rsidP="001F3A17">
      <w:pPr>
        <w:spacing w:line="0" w:lineRule="auto"/>
      </w:pPr>
    </w:p>
    <w:p w:rsidR="002208DA" w:rsidRPr="00655CDD" w:rsidRDefault="002208DA" w:rsidP="0016522D">
      <w:pPr>
        <w:spacing w:line="0" w:lineRule="auto"/>
      </w:pPr>
    </w:p>
    <w:p w:rsidR="00AE64B5" w:rsidRPr="00AE64B5" w:rsidRDefault="00AE64B5" w:rsidP="00AE64B5"/>
    <w:p w:rsidR="00341CE4" w:rsidRPr="006C5B6D" w:rsidRDefault="00341CE4" w:rsidP="00294217">
      <w:pPr>
        <w:pStyle w:val="Rubrik3"/>
      </w:pPr>
      <w:r w:rsidRPr="006C5B6D">
        <w:t xml:space="preserve">Pedagogiska verksamheterna </w:t>
      </w:r>
    </w:p>
    <w:p w:rsidR="00341CE4" w:rsidRPr="006C5B6D" w:rsidRDefault="00341CE4" w:rsidP="00294217">
      <w:pPr>
        <w:pStyle w:val="Rubrik4"/>
      </w:pPr>
      <w:r w:rsidRPr="006C5B6D">
        <w:t>Nuläge – trender i omvärlden och i staden</w:t>
      </w:r>
    </w:p>
    <w:p w:rsidR="00341CE4" w:rsidRPr="004178EF" w:rsidRDefault="00341CE4" w:rsidP="004178EF">
      <w:r>
        <w:t>Under perioden 2013–</w:t>
      </w:r>
      <w:r w:rsidRPr="006C5B6D">
        <w:t>202</w:t>
      </w:r>
      <w:r w:rsidR="00D26920">
        <w:t>3</w:t>
      </w:r>
      <w:r w:rsidRPr="006C5B6D">
        <w:t xml:space="preserve"> beräknas antalet barn och ungdomar i staden att öka kraftigt. De demografiska förändringarna påverkar förutsättningarna för de flesta av stadens pedagogiska verksamheter och staden ställs inför stora utmaningar rörande såväl lokal- som personalförsörjning</w:t>
      </w:r>
      <w:r w:rsidRPr="004178EF">
        <w:t xml:space="preserve">. </w:t>
      </w:r>
    </w:p>
    <w:p w:rsidR="00341CE4" w:rsidRPr="00854884" w:rsidRDefault="00341CE4" w:rsidP="00A553DA">
      <w:pPr>
        <w:pStyle w:val="Rubrik4"/>
        <w:rPr>
          <w:b w:val="0"/>
          <w:highlight w:val="yellow"/>
        </w:rPr>
      </w:pPr>
      <w:r w:rsidRPr="00D37D99">
        <w:lastRenderedPageBreak/>
        <w:t>Befolkningsprognos 201</w:t>
      </w:r>
      <w:r>
        <w:t>3</w:t>
      </w:r>
      <w:r w:rsidRPr="00AA1C9F">
        <w:t>–</w:t>
      </w:r>
      <w:r w:rsidRPr="00D37D99">
        <w:t>202</w:t>
      </w:r>
      <w:r w:rsidR="00BA082D">
        <w:t>3</w:t>
      </w:r>
      <w:r>
        <w:br/>
      </w:r>
    </w:p>
    <w:p w:rsidR="00341CE4" w:rsidRDefault="00341CE4" w:rsidP="00294217">
      <w:pPr>
        <w:rPr>
          <w:rFonts w:cstheme="minorHAnsi"/>
          <w:sz w:val="20"/>
          <w:szCs w:val="20"/>
        </w:rPr>
      </w:pPr>
      <w:r>
        <w:rPr>
          <w:noProof/>
          <w:lang w:eastAsia="sv-SE"/>
        </w:rPr>
        <w:drawing>
          <wp:inline distT="0" distB="0" distL="0" distR="0" wp14:anchorId="60E77F21" wp14:editId="2C050741">
            <wp:extent cx="4176395" cy="2435420"/>
            <wp:effectExtent l="0" t="0" r="14605" b="222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41CE4" w:rsidRPr="00D37D99" w:rsidRDefault="00341CE4" w:rsidP="00294217">
      <w:pPr>
        <w:rPr>
          <w:rFonts w:cstheme="minorHAnsi"/>
          <w:sz w:val="20"/>
          <w:szCs w:val="20"/>
        </w:rPr>
      </w:pPr>
      <w:r w:rsidRPr="00D37D99">
        <w:rPr>
          <w:rFonts w:cstheme="minorHAnsi"/>
          <w:sz w:val="20"/>
          <w:szCs w:val="20"/>
        </w:rPr>
        <w:t xml:space="preserve">Källa: Sweco </w:t>
      </w:r>
    </w:p>
    <w:p w:rsidR="00341CE4" w:rsidRPr="00D37D99" w:rsidRDefault="00341CE4" w:rsidP="00294217">
      <w:pPr>
        <w:rPr>
          <w:highlight w:val="yellow"/>
        </w:rPr>
      </w:pPr>
    </w:p>
    <w:p w:rsidR="00341CE4" w:rsidRPr="00302ED1" w:rsidRDefault="00341CE4" w:rsidP="00294217">
      <w:r w:rsidRPr="00302ED1">
        <w:t xml:space="preserve">Antalet barn i förskoleålder beräknas fortsätta öka. Den kraftiga ökning som staden har sett de senaste åren </w:t>
      </w:r>
      <w:r>
        <w:t>fortsätter</w:t>
      </w:r>
      <w:r w:rsidRPr="00302ED1">
        <w:t xml:space="preserve"> och prognose</w:t>
      </w:r>
      <w:r w:rsidRPr="00302ED1">
        <w:t>r</w:t>
      </w:r>
      <w:r w:rsidRPr="00302ED1">
        <w:t xml:space="preserve">na visar </w:t>
      </w:r>
      <w:r>
        <w:t xml:space="preserve">på en </w:t>
      </w:r>
      <w:r w:rsidRPr="00302ED1">
        <w:t xml:space="preserve">befolkningsökning </w:t>
      </w:r>
      <w:r>
        <w:t>för antalet 1–5 åringar om cirka</w:t>
      </w:r>
      <w:r w:rsidRPr="00302ED1">
        <w:t xml:space="preserve"> </w:t>
      </w:r>
      <w:r>
        <w:t>2</w:t>
      </w:r>
      <w:r w:rsidR="0023159D">
        <w:t> </w:t>
      </w:r>
      <w:r>
        <w:t>100</w:t>
      </w:r>
      <w:r w:rsidRPr="00302ED1">
        <w:t xml:space="preserve"> barn under</w:t>
      </w:r>
      <w:r>
        <w:t xml:space="preserve"> 2014–2017</w:t>
      </w:r>
      <w:r w:rsidRPr="00302ED1">
        <w:t>.</w:t>
      </w:r>
      <w:r>
        <w:t xml:space="preserve"> Med en inskrivningsgrad på 87 procent innebär prognosen ett behov av ytterligare ungefär 550 förskoleplatser 2015, 440 platser 2016 och 830 platser 2017. </w:t>
      </w:r>
    </w:p>
    <w:p w:rsidR="00341CE4" w:rsidRPr="00302ED1" w:rsidRDefault="00341CE4" w:rsidP="00294217"/>
    <w:p w:rsidR="00341CE4" w:rsidRPr="00302ED1" w:rsidRDefault="00341CE4" w:rsidP="00294217">
      <w:r w:rsidRPr="00302ED1">
        <w:t xml:space="preserve">Barnantalet förväntas öka </w:t>
      </w:r>
      <w:r w:rsidR="00CE2464">
        <w:t xml:space="preserve">också </w:t>
      </w:r>
      <w:r w:rsidRPr="00302ED1">
        <w:t>på längre sikt även om</w:t>
      </w:r>
      <w:r>
        <w:t xml:space="preserve"> prognosen visar på en avtagande ökningstakt i slutet av prognosperioden. U</w:t>
      </w:r>
      <w:r>
        <w:t>n</w:t>
      </w:r>
      <w:r>
        <w:t>der perioden 2013–2023 beräknas befolkningen i förskoleålder att öka med 7 900. Med tanke på stadens expansion och höga ambi</w:t>
      </w:r>
      <w:r>
        <w:t>t</w:t>
      </w:r>
      <w:r>
        <w:t xml:space="preserve">ioner för bostadsbyggande föreligger osäkerhet </w:t>
      </w:r>
      <w:r w:rsidR="00CE2464">
        <w:t xml:space="preserve">om </w:t>
      </w:r>
      <w:r>
        <w:t>hur många fö</w:t>
      </w:r>
      <w:r>
        <w:t>r</w:t>
      </w:r>
      <w:r>
        <w:t xml:space="preserve">skoleplatser som behövs på längre sikt. </w:t>
      </w:r>
    </w:p>
    <w:p w:rsidR="00341CE4" w:rsidRPr="00D37D99" w:rsidRDefault="00341CE4" w:rsidP="00294217">
      <w:pPr>
        <w:rPr>
          <w:highlight w:val="yellow"/>
        </w:rPr>
      </w:pPr>
    </w:p>
    <w:p w:rsidR="00341CE4" w:rsidRPr="00D37D99" w:rsidRDefault="00341CE4" w:rsidP="00294217">
      <w:pPr>
        <w:rPr>
          <w:highlight w:val="yellow"/>
        </w:rPr>
      </w:pPr>
      <w:r w:rsidRPr="00D37D99">
        <w:t>Den största ökningen sker av antal barn i lägre grundskoleålder. Antalet 6</w:t>
      </w:r>
      <w:r>
        <w:t>–</w:t>
      </w:r>
      <w:r w:rsidRPr="00D37D99">
        <w:t xml:space="preserve">12 </w:t>
      </w:r>
      <w:r>
        <w:t xml:space="preserve">åringar </w:t>
      </w:r>
      <w:r w:rsidRPr="00D37D99">
        <w:t>beräknas öka med mer än 1</w:t>
      </w:r>
      <w:r>
        <w:t>6</w:t>
      </w:r>
      <w:r w:rsidRPr="00D37D99">
        <w:t> </w:t>
      </w:r>
      <w:r>
        <w:t>3</w:t>
      </w:r>
      <w:r w:rsidRPr="00D37D99">
        <w:t>00 barn under perioden</w:t>
      </w:r>
      <w:r w:rsidRPr="006C5B6D">
        <w:t>. Totalt beräknas antalet grundskoleelever öka med cirka 2</w:t>
      </w:r>
      <w:r>
        <w:t>5</w:t>
      </w:r>
      <w:r w:rsidRPr="006C5B6D">
        <w:t xml:space="preserve"> 800 till 202</w:t>
      </w:r>
      <w:r>
        <w:t>3</w:t>
      </w:r>
      <w:r w:rsidRPr="006C5B6D">
        <w:t xml:space="preserve">. Antalet ungdomar i gymnasieålder beräknas </w:t>
      </w:r>
      <w:r>
        <w:t>öka</w:t>
      </w:r>
      <w:r w:rsidRPr="006C5B6D">
        <w:t xml:space="preserve"> något </w:t>
      </w:r>
      <w:r>
        <w:t xml:space="preserve">under </w:t>
      </w:r>
      <w:r w:rsidRPr="006C5B6D">
        <w:t xml:space="preserve">2015 och i slutet av perioden vara </w:t>
      </w:r>
      <w:r>
        <w:t>6 6</w:t>
      </w:r>
      <w:r w:rsidRPr="006C5B6D">
        <w:t>00 fler ungdomar än 2013.</w:t>
      </w:r>
    </w:p>
    <w:p w:rsidR="00341CE4" w:rsidRPr="006C5B6D" w:rsidRDefault="00341CE4" w:rsidP="00294217">
      <w:pPr>
        <w:pStyle w:val="Rubrik4"/>
      </w:pPr>
      <w:r w:rsidRPr="006C5B6D">
        <w:t>Lokalförsörjning i ett växande Stockholm</w:t>
      </w:r>
    </w:p>
    <w:p w:rsidR="00341CE4" w:rsidRPr="006B3E53" w:rsidRDefault="00341CE4" w:rsidP="00294217">
      <w:r w:rsidRPr="006B3E53">
        <w:t xml:space="preserve">Befolkningsprognosen visar att </w:t>
      </w:r>
      <w:r>
        <w:t xml:space="preserve">antalet </w:t>
      </w:r>
      <w:r w:rsidRPr="006B3E53">
        <w:t>1</w:t>
      </w:r>
      <w:r>
        <w:t>–</w:t>
      </w:r>
      <w:r w:rsidRPr="006B3E53">
        <w:t>18 år</w:t>
      </w:r>
      <w:r>
        <w:t>ingar</w:t>
      </w:r>
      <w:r w:rsidRPr="006B3E53">
        <w:t xml:space="preserve"> kommer att öka från 173 000 personer till 20</w:t>
      </w:r>
      <w:r>
        <w:t>9</w:t>
      </w:r>
      <w:r w:rsidRPr="006B3E53">
        <w:t xml:space="preserve"> 000 personer 202</w:t>
      </w:r>
      <w:r>
        <w:t>3</w:t>
      </w:r>
      <w:r w:rsidRPr="006B3E53">
        <w:t xml:space="preserve">. Redan till </w:t>
      </w:r>
      <w:r>
        <w:t>2017 kommer antalet 1–</w:t>
      </w:r>
      <w:r w:rsidRPr="006B3E53">
        <w:t xml:space="preserve">18 åringar </w:t>
      </w:r>
      <w:r>
        <w:t xml:space="preserve">att </w:t>
      </w:r>
      <w:r w:rsidRPr="006B3E53">
        <w:t xml:space="preserve">öka med </w:t>
      </w:r>
      <w:r>
        <w:t>drygt</w:t>
      </w:r>
      <w:r w:rsidRPr="006B3E53">
        <w:t xml:space="preserve"> 1</w:t>
      </w:r>
      <w:r>
        <w:t>3</w:t>
      </w:r>
      <w:r w:rsidRPr="006B3E53">
        <w:t xml:space="preserve"> 000 personer. En följd av den prognostiserade ökningen av antalet barn och ungd</w:t>
      </w:r>
      <w:r w:rsidRPr="006B3E53">
        <w:t>o</w:t>
      </w:r>
      <w:r w:rsidRPr="006B3E53">
        <w:t xml:space="preserve">mar i staden är att behovet av </w:t>
      </w:r>
      <w:r>
        <w:t>lokal</w:t>
      </w:r>
      <w:r w:rsidRPr="006B3E53">
        <w:t xml:space="preserve">utbyggnad fortsätter att vara stor. </w:t>
      </w:r>
    </w:p>
    <w:p w:rsidR="00341CE4" w:rsidRPr="006B3E53" w:rsidRDefault="00341CE4" w:rsidP="00294217"/>
    <w:p w:rsidR="00341CE4" w:rsidRPr="006B3E53" w:rsidRDefault="00341CE4" w:rsidP="00294217">
      <w:r w:rsidRPr="006B3E53">
        <w:lastRenderedPageBreak/>
        <w:t>I syfte att klara barnomsorgsgarantin planerar flertalet stadsdel</w:t>
      </w:r>
      <w:r w:rsidRPr="006B3E53">
        <w:t>s</w:t>
      </w:r>
      <w:r w:rsidRPr="006B3E53">
        <w:t>nämnder att öka förskolekapaciteten. Flera stadsdelar konstaterar att det är en utmaning att klara utbyggnaden och samarbetar med b</w:t>
      </w:r>
      <w:r w:rsidRPr="006B3E53">
        <w:t>e</w:t>
      </w:r>
      <w:r w:rsidRPr="006B3E53">
        <w:t>rörda nämnder för att säkra behovet av förskoleplatser i samband med bostadsförtätningar och nybyggnadsområden. Parallellt med detta måste befintliga platser ersättas då de av olika skäl behöver avvecklas, till exempel då bygglov för tillfälliga paviljonger upphör eller i samband med renoveringar.</w:t>
      </w:r>
    </w:p>
    <w:p w:rsidR="00341CE4" w:rsidRPr="006B3E53" w:rsidRDefault="00341CE4" w:rsidP="00294217"/>
    <w:p w:rsidR="00341CE4" w:rsidRPr="006B3E53" w:rsidRDefault="00341CE4" w:rsidP="00294217">
      <w:r>
        <w:t>Ett särskilt projekt ”S</w:t>
      </w:r>
      <w:r w:rsidRPr="006B3E53">
        <w:t>kolplanering för ett växande Stockholm” p</w:t>
      </w:r>
      <w:r w:rsidRPr="006B3E53">
        <w:t>å</w:t>
      </w:r>
      <w:r w:rsidRPr="006B3E53">
        <w:t>går sedan tidigare för att säkra utbyggnaden av grundskolekap</w:t>
      </w:r>
      <w:r w:rsidRPr="006B3E53">
        <w:t>a</w:t>
      </w:r>
      <w:r w:rsidRPr="006B3E53">
        <w:t>citeten i staden. Projektet tar även hänsyn till stadens gymnasiepl</w:t>
      </w:r>
      <w:r w:rsidRPr="006B3E53">
        <w:t>a</w:t>
      </w:r>
      <w:r w:rsidRPr="006B3E53">
        <w:t>nering för att samlat på bästa sätt kunna utnyttja stadens skolloka</w:t>
      </w:r>
      <w:r w:rsidRPr="006B3E53">
        <w:t>l</w:t>
      </w:r>
      <w:r w:rsidRPr="006B3E53">
        <w:t>resurser. Stadens planering sker i nära samarbete med fristående aktörer.</w:t>
      </w:r>
    </w:p>
    <w:p w:rsidR="00341CE4" w:rsidRPr="006B3E53" w:rsidRDefault="00341CE4" w:rsidP="00294217"/>
    <w:p w:rsidR="00341CE4" w:rsidRPr="006B3E53" w:rsidRDefault="00341CE4" w:rsidP="00294217">
      <w:r w:rsidRPr="006B3E53">
        <w:t>Kommunstyrelsen har fått ett utökat uppdrag att samordna skolpl</w:t>
      </w:r>
      <w:r w:rsidRPr="006B3E53">
        <w:t>a</w:t>
      </w:r>
      <w:r w:rsidRPr="006B3E53">
        <w:t>neringen och därigenom skapa en trygghet i att de kraftigt höjda bostadsambitionerna följs av en adekvat skolplanering. Den stora gemensamma utmaningen kräver en ökad samordning och en större samsyn kring hur staden på bästa sätt ska klara utbyggnaden av p</w:t>
      </w:r>
      <w:r w:rsidRPr="006B3E53">
        <w:t>e</w:t>
      </w:r>
      <w:r w:rsidRPr="006B3E53">
        <w:t>dagogiska lokaler.</w:t>
      </w:r>
    </w:p>
    <w:p w:rsidR="00341CE4" w:rsidRDefault="00341CE4" w:rsidP="00294217"/>
    <w:p w:rsidR="00341CE4" w:rsidRPr="006B3E53" w:rsidRDefault="00341CE4" w:rsidP="00294217">
      <w:r>
        <w:t>N</w:t>
      </w:r>
      <w:r w:rsidRPr="006B3E53">
        <w:t xml:space="preserve">ya förskolor och skolor </w:t>
      </w:r>
      <w:r>
        <w:t xml:space="preserve">har </w:t>
      </w:r>
      <w:r w:rsidRPr="006B3E53">
        <w:t>generellt sett högre hyror jämfört med befintliga</w:t>
      </w:r>
      <w:r>
        <w:t xml:space="preserve">. Därmed </w:t>
      </w:r>
      <w:r w:rsidRPr="006B3E53">
        <w:t>riskerar lokalkostnaderna att ta en allt större del av schablonen.</w:t>
      </w:r>
      <w:r>
        <w:t xml:space="preserve"> I samband med nyproduktion finns det goda föru</w:t>
      </w:r>
      <w:r>
        <w:t>t</w:t>
      </w:r>
      <w:r>
        <w:t>sättningar att optimera utformningen och bygga rationellt så att l</w:t>
      </w:r>
      <w:r>
        <w:t>o</w:t>
      </w:r>
      <w:r>
        <w:t>kalerna blir mer effektiva. Kostnadsökningen kan därför begränsas.</w:t>
      </w:r>
      <w:r w:rsidRPr="006B3E53">
        <w:t xml:space="preserve"> Utvecklingen av hyrorna på fastighetsmarknaden kommer också att påverka lokalkostnaderna. Det är angeläget att staden fortsätter a</w:t>
      </w:r>
      <w:r w:rsidRPr="006B3E53">
        <w:t>r</w:t>
      </w:r>
      <w:r w:rsidRPr="006B3E53">
        <w:t>betet med att hålla nere kostnaderna.</w:t>
      </w:r>
    </w:p>
    <w:p w:rsidR="00341CE4" w:rsidRDefault="00341CE4" w:rsidP="00294217"/>
    <w:p w:rsidR="00341CE4" w:rsidRDefault="00341CE4" w:rsidP="00294217">
      <w:r w:rsidRPr="006B3E53">
        <w:t>Efterfrågan på lokaler förväntas kulminera vid olika tidpunkter för olika åldersgrupper, vilket bör hanteras genom ett flexibelt lokalu</w:t>
      </w:r>
      <w:r w:rsidRPr="006B3E53">
        <w:t>t</w:t>
      </w:r>
      <w:r w:rsidRPr="006B3E53">
        <w:t xml:space="preserve">nyttjande och samverkan mellan olika verksamheter i staden. </w:t>
      </w:r>
    </w:p>
    <w:p w:rsidR="00341CE4" w:rsidRDefault="00341CE4" w:rsidP="000F5B55">
      <w:pPr>
        <w:spacing w:line="0" w:lineRule="auto"/>
      </w:pPr>
    </w:p>
    <w:p w:rsidR="00341CE4" w:rsidRPr="0082203A" w:rsidRDefault="00341CE4" w:rsidP="008B19BA">
      <w:pPr>
        <w:spacing w:line="0" w:lineRule="auto"/>
      </w:pPr>
    </w:p>
    <w:p w:rsidR="00341CE4" w:rsidRPr="001F3A17" w:rsidRDefault="00341CE4" w:rsidP="0082203A">
      <w:pPr>
        <w:spacing w:line="0" w:lineRule="auto"/>
      </w:pPr>
    </w:p>
    <w:p w:rsidR="00341CE4" w:rsidRPr="0016522D" w:rsidRDefault="00341CE4" w:rsidP="001F3A17">
      <w:pPr>
        <w:spacing w:line="0" w:lineRule="auto"/>
      </w:pPr>
    </w:p>
    <w:p w:rsidR="00341CE4" w:rsidRPr="00655CDD" w:rsidRDefault="00341CE4" w:rsidP="0016522D">
      <w:pPr>
        <w:spacing w:line="0" w:lineRule="auto"/>
      </w:pPr>
    </w:p>
    <w:p w:rsidR="00341CE4" w:rsidRPr="00163434" w:rsidRDefault="00341CE4" w:rsidP="00294217">
      <w:pPr>
        <w:pStyle w:val="Rubrik3"/>
      </w:pPr>
      <w:r w:rsidRPr="00163434">
        <w:t xml:space="preserve">Äldreomsorg </w:t>
      </w:r>
    </w:p>
    <w:p w:rsidR="00341CE4" w:rsidRPr="007871C5" w:rsidRDefault="00341CE4" w:rsidP="00294217">
      <w:pPr>
        <w:pStyle w:val="Rubrik4"/>
      </w:pPr>
      <w:r w:rsidRPr="007871C5">
        <w:t>Nuläge - trender i omvärlden och i staden</w:t>
      </w:r>
      <w:r>
        <w:t xml:space="preserve"> </w:t>
      </w:r>
    </w:p>
    <w:p w:rsidR="00341CE4" w:rsidRPr="007871C5" w:rsidRDefault="00341CE4" w:rsidP="00294217">
      <w:r w:rsidRPr="007871C5">
        <w:t xml:space="preserve">Ett stort antal nationella satsningar på kvalitetsökningar </w:t>
      </w:r>
      <w:r>
        <w:t xml:space="preserve">för </w:t>
      </w:r>
      <w:r w:rsidRPr="007871C5">
        <w:t>vård och omsorg om de äldre</w:t>
      </w:r>
      <w:r>
        <w:t xml:space="preserve"> har gjorts och kommer att </w:t>
      </w:r>
      <w:r w:rsidRPr="007871C5">
        <w:t>gör</w:t>
      </w:r>
      <w:r>
        <w:t>a</w:t>
      </w:r>
      <w:r w:rsidRPr="007871C5">
        <w:t>s under de kommande åren. Införandet av öppna jämförelser av äldreomso</w:t>
      </w:r>
      <w:r w:rsidRPr="007871C5">
        <w:t>r</w:t>
      </w:r>
      <w:r w:rsidRPr="007871C5">
        <w:t>gens kvalitet och effektivitet har inneburit ett viktigt steg mot en förbättrad kunskapsstyrning. Stockholms stad ligger väl framme både kvalitetsmässigt och när det gäller att lyssna på de äldre g</w:t>
      </w:r>
      <w:r w:rsidRPr="007871C5">
        <w:t>e</w:t>
      </w:r>
      <w:r w:rsidRPr="007871C5">
        <w:t xml:space="preserve">nom de brukarundersökningar som gjorts sedan 2008. </w:t>
      </w:r>
    </w:p>
    <w:p w:rsidR="00341CE4" w:rsidRPr="007871C5" w:rsidRDefault="00341CE4" w:rsidP="00294217"/>
    <w:p w:rsidR="00341CE4" w:rsidRDefault="00341CE4" w:rsidP="00294217">
      <w:r w:rsidRPr="007871C5">
        <w:t>Det finns samtidigt ett antal utmaningar s</w:t>
      </w:r>
      <w:r>
        <w:t>om kommer att kräva att</w:t>
      </w:r>
      <w:r w:rsidRPr="007871C5">
        <w:t xml:space="preserve"> kommuner</w:t>
      </w:r>
      <w:r>
        <w:t>na</w:t>
      </w:r>
      <w:r w:rsidRPr="007871C5">
        <w:t xml:space="preserve"> och landsting</w:t>
      </w:r>
      <w:r>
        <w:t>en</w:t>
      </w:r>
      <w:r w:rsidRPr="007871C5">
        <w:t xml:space="preserve"> </w:t>
      </w:r>
      <w:r>
        <w:t xml:space="preserve">i Sverige </w:t>
      </w:r>
      <w:r w:rsidRPr="007871C5">
        <w:t>gemensamt måste ta ett a</w:t>
      </w:r>
      <w:r w:rsidRPr="007871C5">
        <w:t>n</w:t>
      </w:r>
      <w:r w:rsidRPr="007871C5">
        <w:t>svar för att åstadkomma förbätt</w:t>
      </w:r>
      <w:r>
        <w:t xml:space="preserve">ring. </w:t>
      </w:r>
      <w:r w:rsidRPr="007871C5">
        <w:t>Sverige har en åldrande b</w:t>
      </w:r>
      <w:r w:rsidRPr="007871C5">
        <w:t>e</w:t>
      </w:r>
      <w:r w:rsidRPr="007871C5">
        <w:t xml:space="preserve">folkning som sannolikt kommer att ställa högre krav på kvalitet, tillgänglighet och valfrihet. Färre yrkesarbetande ska i framtiden försörja fler pensionärer, vilket ökar kraven på effektivitet inom den offentliga sektorn. </w:t>
      </w:r>
      <w:r>
        <w:t>Men det har också funnits en utveckling av att människor lever och är friskare längre. Det finns inget som mots</w:t>
      </w:r>
      <w:r>
        <w:t>ä</w:t>
      </w:r>
      <w:r>
        <w:t xml:space="preserve">ger att denna utveckling inte skulle kunna fortsätta. Det pågår också forskning kring bromsmediciner mot demens som kraftigt skulle kunna förändra behovet av äldreomsorg i framtiden. </w:t>
      </w:r>
    </w:p>
    <w:p w:rsidR="00341CE4" w:rsidRDefault="00341CE4" w:rsidP="00294217"/>
    <w:p w:rsidR="00341CE4" w:rsidRDefault="00341CE4" w:rsidP="00294217">
      <w:r w:rsidRPr="00E46074">
        <w:t xml:space="preserve">Det är resurseffektivt och kvalitetsdrivande att lära av varandra och ta </w:t>
      </w:r>
      <w:r>
        <w:t xml:space="preserve">till </w:t>
      </w:r>
      <w:r w:rsidRPr="00E46074">
        <w:t xml:space="preserve">vara på de goda exempel </w:t>
      </w:r>
      <w:r>
        <w:t>som finns både i organisationen</w:t>
      </w:r>
      <w:r w:rsidRPr="00E46074">
        <w:t xml:space="preserve"> och i omvärlden. I staden pågår en rad insatser för att säkra och utveckla kvaliteten i verksamheten. Detta sker bland annat genom att up</w:t>
      </w:r>
      <w:r w:rsidRPr="00E46074">
        <w:t>p</w:t>
      </w:r>
      <w:r w:rsidRPr="00E46074">
        <w:t>följning och analys av resultat utvecklas och att samverkan ökar mellan nämnderna. Kommunstyrelsen driver, i samarbete med äl</w:t>
      </w:r>
      <w:r w:rsidRPr="00E46074">
        <w:t>d</w:t>
      </w:r>
      <w:r w:rsidRPr="00E46074">
        <w:t>renämnden och stadsdelsnämnderna, ett projekt avseende uppföl</w:t>
      </w:r>
      <w:r w:rsidRPr="00E46074">
        <w:t>j</w:t>
      </w:r>
      <w:r w:rsidRPr="00E46074">
        <w:t>ning genom fördjupad kvalitetsanalys inom äldreomsorgen. I pr</w:t>
      </w:r>
      <w:r w:rsidRPr="00E46074">
        <w:t>o</w:t>
      </w:r>
      <w:r w:rsidRPr="00E46074">
        <w:t xml:space="preserve">jektet tas en metod </w:t>
      </w:r>
      <w:r>
        <w:t xml:space="preserve">fram </w:t>
      </w:r>
      <w:r w:rsidRPr="00E46074">
        <w:t>för uppföljning.</w:t>
      </w:r>
      <w:r>
        <w:t xml:space="preserve"> </w:t>
      </w:r>
      <w:r w:rsidRPr="00E46074">
        <w:t>Resultatet från projektet ska användas för att under 2015 utveckla och anpassa metoden till stadens övriga verksamheter.</w:t>
      </w:r>
    </w:p>
    <w:p w:rsidR="00341CE4" w:rsidRDefault="00341CE4" w:rsidP="00294217"/>
    <w:p w:rsidR="00341CE4" w:rsidRDefault="00341CE4" w:rsidP="00294217">
      <w:r w:rsidRPr="007871C5">
        <w:t xml:space="preserve">I flertalet av landets landsting har hemsjukvården förts över till kommunerna. </w:t>
      </w:r>
      <w:r>
        <w:t>Det finns en gemensam ambition att, genom skatt</w:t>
      </w:r>
      <w:r>
        <w:t>e</w:t>
      </w:r>
      <w:r>
        <w:t xml:space="preserve">växling, </w:t>
      </w:r>
      <w:r w:rsidRPr="007871C5">
        <w:t xml:space="preserve">överföra ansvaret för hemsjukvården </w:t>
      </w:r>
      <w:r>
        <w:t xml:space="preserve">från landstinget till </w:t>
      </w:r>
      <w:r w:rsidRPr="007871C5">
        <w:t>kommun</w:t>
      </w:r>
      <w:r>
        <w:t>erna</w:t>
      </w:r>
      <w:r w:rsidRPr="007871C5">
        <w:t xml:space="preserve"> även </w:t>
      </w:r>
      <w:r>
        <w:t>i Stockholms län</w:t>
      </w:r>
      <w:r w:rsidRPr="007871C5">
        <w:t xml:space="preserve">. Målen är en god, trygg och säker vård för den enskilde samt att samhällets resurser används effektivt. </w:t>
      </w:r>
      <w:r>
        <w:t>Ett visst förberedande arbete inför en överföring skedde under 2012 men då det inte togs erforderliga beslut kring detta a</w:t>
      </w:r>
      <w:r>
        <w:t>v</w:t>
      </w:r>
      <w:r>
        <w:t>stannade arbetet. Under våren 2014 har arbetet återupptagits men har inte konkretiserats i den utsträckningen att en tidsplan för beslut och införande finns.</w:t>
      </w:r>
    </w:p>
    <w:p w:rsidR="00341CE4" w:rsidRPr="007871C5" w:rsidRDefault="00341CE4" w:rsidP="00294217">
      <w:pPr>
        <w:pStyle w:val="Rubrik4"/>
      </w:pPr>
      <w:r w:rsidRPr="007871C5">
        <w:t>Befolkningsutveckling och omsorgsbehov</w:t>
      </w:r>
    </w:p>
    <w:p w:rsidR="00341CE4" w:rsidRDefault="00341CE4" w:rsidP="00294217">
      <w:r w:rsidRPr="007871C5">
        <w:t>Enligt stadens befolkningsprognos för perioden 201</w:t>
      </w:r>
      <w:r>
        <w:t>3–</w:t>
      </w:r>
      <w:r w:rsidRPr="007871C5">
        <w:t>202</w:t>
      </w:r>
      <w:r>
        <w:t>3</w:t>
      </w:r>
      <w:r w:rsidRPr="007871C5">
        <w:t xml:space="preserve"> förvä</w:t>
      </w:r>
      <w:r w:rsidRPr="007871C5">
        <w:t>n</w:t>
      </w:r>
      <w:r w:rsidRPr="007871C5">
        <w:t>tas antalet 65–</w:t>
      </w:r>
      <w:r>
        <w:t xml:space="preserve">79-åringar </w:t>
      </w:r>
      <w:r w:rsidRPr="00C5457B">
        <w:t xml:space="preserve">öka med </w:t>
      </w:r>
      <w:r>
        <w:t>3</w:t>
      </w:r>
      <w:r w:rsidR="00702841">
        <w:t>0</w:t>
      </w:r>
      <w:r>
        <w:t xml:space="preserve"> procent. Antalet personer 80– år</w:t>
      </w:r>
      <w:r w:rsidRPr="00C5457B">
        <w:t xml:space="preserve"> </w:t>
      </w:r>
      <w:r>
        <w:t>ökar</w:t>
      </w:r>
      <w:r w:rsidRPr="00C5457B">
        <w:t xml:space="preserve"> fram till 202</w:t>
      </w:r>
      <w:r>
        <w:t xml:space="preserve">3 </w:t>
      </w:r>
      <w:r w:rsidRPr="00C5457B">
        <w:t xml:space="preserve">med </w:t>
      </w:r>
      <w:r w:rsidR="00702841">
        <w:t>8,5</w:t>
      </w:r>
      <w:r w:rsidRPr="00C5457B">
        <w:t xml:space="preserve"> procent </w:t>
      </w:r>
      <w:r>
        <w:t xml:space="preserve">och efter </w:t>
      </w:r>
      <w:r w:rsidRPr="00C5457B">
        <w:t xml:space="preserve">2040 </w:t>
      </w:r>
      <w:r>
        <w:t>blir ökningen inom denna grupp betydligt kraftigare</w:t>
      </w:r>
      <w:r w:rsidRPr="00C5457B">
        <w:t>.</w:t>
      </w:r>
      <w:r w:rsidRPr="007871C5">
        <w:t xml:space="preserve"> </w:t>
      </w:r>
    </w:p>
    <w:p w:rsidR="00341CE4" w:rsidRDefault="00341CE4" w:rsidP="00294217">
      <w:pPr>
        <w:pStyle w:val="Rubrik4"/>
      </w:pPr>
      <w:r>
        <w:lastRenderedPageBreak/>
        <w:t>U</w:t>
      </w:r>
      <w:r w:rsidRPr="007871C5">
        <w:t xml:space="preserve">tveckling </w:t>
      </w:r>
      <w:r>
        <w:t xml:space="preserve">av befolkningen över </w:t>
      </w:r>
      <w:r w:rsidRPr="007871C5">
        <w:t xml:space="preserve">65 år </w:t>
      </w:r>
    </w:p>
    <w:p w:rsidR="00702841" w:rsidRDefault="001033D4" w:rsidP="00294217">
      <w:r>
        <w:rPr>
          <w:noProof/>
          <w:lang w:eastAsia="sv-SE"/>
        </w:rPr>
        <w:drawing>
          <wp:inline distT="0" distB="0" distL="0" distR="0" wp14:anchorId="7E55513D" wp14:editId="2A1A9197">
            <wp:extent cx="4176395" cy="2509310"/>
            <wp:effectExtent l="0" t="0" r="0" b="5715"/>
            <wp:docPr id="13" name="Bildobjekt 13" descr="cid:image002.png@01CF6454.6EBB6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cid:image002.png@01CF6454.6EBB68C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176395" cy="2509310"/>
                    </a:xfrm>
                    <a:prstGeom prst="rect">
                      <a:avLst/>
                    </a:prstGeom>
                    <a:noFill/>
                    <a:ln>
                      <a:noFill/>
                    </a:ln>
                  </pic:spPr>
                </pic:pic>
              </a:graphicData>
            </a:graphic>
          </wp:inline>
        </w:drawing>
      </w:r>
    </w:p>
    <w:p w:rsidR="00702841" w:rsidRDefault="001033D4" w:rsidP="00294217">
      <w:r w:rsidRPr="007871C5">
        <w:rPr>
          <w:rFonts w:cstheme="minorHAnsi"/>
          <w:sz w:val="20"/>
        </w:rPr>
        <w:t>Källa: Sweco</w:t>
      </w:r>
    </w:p>
    <w:p w:rsidR="00702841" w:rsidRDefault="00702841" w:rsidP="00294217"/>
    <w:p w:rsidR="00341CE4" w:rsidRDefault="00341CE4" w:rsidP="00294217">
      <w:r w:rsidRPr="007871C5">
        <w:t xml:space="preserve">I </w:t>
      </w:r>
      <w:r>
        <w:t>december</w:t>
      </w:r>
      <w:r w:rsidRPr="007871C5">
        <w:t xml:space="preserve"> 201</w:t>
      </w:r>
      <w:r>
        <w:t>3</w:t>
      </w:r>
      <w:r w:rsidRPr="007871C5">
        <w:t xml:space="preserve"> hade 26</w:t>
      </w:r>
      <w:r>
        <w:t> 762</w:t>
      </w:r>
      <w:r>
        <w:tab/>
      </w:r>
      <w:r w:rsidRPr="007871C5">
        <w:t xml:space="preserve"> personer någon form av insats från äldreomsorgen, vilket motsvarar </w:t>
      </w:r>
      <w:r>
        <w:t>20</w:t>
      </w:r>
      <w:r w:rsidRPr="007871C5">
        <w:t xml:space="preserve">,7 procent av befolkningen över 65 år. Jämfört med </w:t>
      </w:r>
      <w:r>
        <w:t xml:space="preserve">samma tidpunkt </w:t>
      </w:r>
      <w:r w:rsidRPr="007871C5">
        <w:t>201</w:t>
      </w:r>
      <w:r>
        <w:t>2</w:t>
      </w:r>
      <w:r w:rsidRPr="007871C5">
        <w:t xml:space="preserve"> är det en minskning med 0,</w:t>
      </w:r>
      <w:r>
        <w:t>2</w:t>
      </w:r>
      <w:r w:rsidRPr="007871C5">
        <w:t xml:space="preserve"> procentenheter. Den förändrade befolkningsstrukturen kommer att påverka behovet av äldreomsorgsinsatser de närmaste åren då majoriteten (7</w:t>
      </w:r>
      <w:r>
        <w:t>3</w:t>
      </w:r>
      <w:r w:rsidRPr="007871C5">
        <w:t xml:space="preserve"> procent) av de som får äldreomsorgsinsatser är 80 år eller äldre. Befolkningsstrukturen skiljer sig åt över staden, vilket måste beaktas i respektive stadsdelsnämnds planering. De skiftande behoven ställer fortsatt krav på samplanering mellan stadsdel</w:t>
      </w:r>
      <w:r w:rsidRPr="007871C5">
        <w:t>s</w:t>
      </w:r>
      <w:r w:rsidRPr="007871C5">
        <w:t xml:space="preserve">nämnderna, inte minst när det gäller boendeplanering. </w:t>
      </w:r>
    </w:p>
    <w:p w:rsidR="00341CE4" w:rsidRPr="007871C5" w:rsidRDefault="00341CE4" w:rsidP="00294217">
      <w:pPr>
        <w:pStyle w:val="Rubrik4"/>
      </w:pPr>
      <w:r w:rsidRPr="007871C5">
        <w:t>Valfrihetssystem</w:t>
      </w:r>
      <w:r>
        <w:t xml:space="preserve"> </w:t>
      </w:r>
    </w:p>
    <w:p w:rsidR="00341CE4" w:rsidRDefault="00341CE4" w:rsidP="00294217">
      <w:r>
        <w:t>Idag finns det valfrihetssystem för hemtjänst, dagverksamhet samt vård- och omsorgsboende, vilket innebär att det finns valfrihet inom cirka 90 procent av äldreomsorgen. Inom hemtjänsten finns 198 hemtjänstföretag att välja mellan. I Jämför service finns information om dessa utförare så att det blir lätt för den äldre att göra ett vä</w:t>
      </w:r>
      <w:r>
        <w:t>l</w:t>
      </w:r>
      <w:r>
        <w:t>grundat val. Biståndsbedömaren vägleder även den äldre på ett n</w:t>
      </w:r>
      <w:r>
        <w:t>e</w:t>
      </w:r>
      <w:r>
        <w:t>utralt sätt för att komma fram till vilket val som är lämpligt utifrån den äldres preferenser. Från och med 2014 har ett nytt ersättning</w:t>
      </w:r>
      <w:r>
        <w:t>s</w:t>
      </w:r>
      <w:r>
        <w:t xml:space="preserve">system införts inom hemtjänsten. Tidigare ersattes utförare efter biståndsbedömd tid med justering för avvikelserapportering och ersättning gavs efter 18 nivåer beroende på behov av insats. Med det nya systemet ersätts utförare för utförd tid som redovisas via ett tidsredovisningssystem. </w:t>
      </w:r>
    </w:p>
    <w:p w:rsidR="00341CE4" w:rsidRDefault="00341CE4" w:rsidP="00294217"/>
    <w:p w:rsidR="00341CE4" w:rsidRDefault="00341CE4" w:rsidP="00294217">
      <w:r>
        <w:t xml:space="preserve">Det finns en väl fungerande valfrihet för vård- och omsorgsboende. Valfriheten styrs av en mångfald av aktörer men också av att det finns riklig tillgång till platser på vård- och omsorgsboenden. Även </w:t>
      </w:r>
      <w:r>
        <w:lastRenderedPageBreak/>
        <w:t xml:space="preserve">för vård- och omsorgsboende infördes ett nytt ersättningssystem från och med 2014 där de tidigare nivåerna ersattes av två olika ersättningar för inriktningarna demens och somatik. </w:t>
      </w:r>
    </w:p>
    <w:p w:rsidR="00341CE4" w:rsidRDefault="00341CE4" w:rsidP="00294217"/>
    <w:p w:rsidR="00341CE4" w:rsidRDefault="00341CE4" w:rsidP="00294217">
      <w:r w:rsidRPr="003E2BC2">
        <w:rPr>
          <w:rStyle w:val="Rubrik4Char"/>
        </w:rPr>
        <w:t>Boendeplanering</w:t>
      </w:r>
      <w:r w:rsidRPr="003E2BC2">
        <w:rPr>
          <w:rStyle w:val="Rubrik4Char"/>
        </w:rPr>
        <w:br/>
      </w:r>
      <w:r w:rsidRPr="00E1341B">
        <w:t>Behovet av servicehus och vård- och omsorgsboende minskar de kommande åren</w:t>
      </w:r>
      <w:r>
        <w:t xml:space="preserve"> och s</w:t>
      </w:r>
      <w:r w:rsidRPr="00E1341B">
        <w:t xml:space="preserve">ammantaget behöver platser avvecklas. </w:t>
      </w:r>
      <w:r>
        <w:t>För v</w:t>
      </w:r>
      <w:r w:rsidRPr="00E1341B">
        <w:t>issa profilboenden</w:t>
      </w:r>
      <w:r>
        <w:t xml:space="preserve"> och</w:t>
      </w:r>
      <w:r w:rsidRPr="00E1341B">
        <w:t xml:space="preserve"> boenden för äldre med särskilda behov finns</w:t>
      </w:r>
      <w:r>
        <w:t xml:space="preserve"> </w:t>
      </w:r>
      <w:r w:rsidRPr="00E1341B">
        <w:t>ett ökat behov. Antalet platser på korttidsvård har under ett a</w:t>
      </w:r>
      <w:r>
        <w:t>ntal år minskat för att under</w:t>
      </w:r>
      <w:r w:rsidRPr="00E1341B">
        <w:t xml:space="preserve"> 2013 öka något. </w:t>
      </w:r>
    </w:p>
    <w:p w:rsidR="00341CE4" w:rsidRDefault="00341CE4" w:rsidP="00294217"/>
    <w:p w:rsidR="00341CE4" w:rsidRPr="00E1341B" w:rsidRDefault="00341CE4" w:rsidP="00294217">
      <w:r w:rsidRPr="00E1341B">
        <w:t>Många av stadens boenden uppfyller inte gällande krav på modern standard</w:t>
      </w:r>
      <w:r>
        <w:t xml:space="preserve"> vilket medför att a</w:t>
      </w:r>
      <w:r w:rsidRPr="00E1341B">
        <w:t xml:space="preserve">vvägningar måste ske när det är lämpligt att bygga om </w:t>
      </w:r>
      <w:r>
        <w:t>en fastighet r</w:t>
      </w:r>
      <w:r w:rsidRPr="00E1341B">
        <w:t>espektive att avveckla</w:t>
      </w:r>
      <w:r>
        <w:t xml:space="preserve"> den.</w:t>
      </w:r>
      <w:r w:rsidRPr="00E1341B">
        <w:t xml:space="preserve"> </w:t>
      </w:r>
      <w:r>
        <w:t>I vissa fall kan ä</w:t>
      </w:r>
      <w:r w:rsidRPr="00E1341B">
        <w:t xml:space="preserve">ven nybyggnad </w:t>
      </w:r>
      <w:r>
        <w:t xml:space="preserve">av äldreboende </w:t>
      </w:r>
      <w:r w:rsidRPr="00E1341B">
        <w:t xml:space="preserve">bli aktuellt. En inventering och genomgång </w:t>
      </w:r>
      <w:r>
        <w:t xml:space="preserve">kring detta </w:t>
      </w:r>
      <w:r w:rsidRPr="00E1341B">
        <w:t>har gjorts tillsammans med Micasa Fasti</w:t>
      </w:r>
      <w:r w:rsidRPr="00E1341B">
        <w:t>g</w:t>
      </w:r>
      <w:r w:rsidRPr="00E1341B">
        <w:t>heter i Stockholm AB för att säkerställa att fastighetsbeståndet u</w:t>
      </w:r>
      <w:r w:rsidRPr="00E1341B">
        <w:t>t</w:t>
      </w:r>
      <w:r w:rsidRPr="00E1341B">
        <w:t>nyttjas på bästa sätt på både kort och lång sikt. Äldreboendeplan</w:t>
      </w:r>
      <w:r w:rsidRPr="00E1341B">
        <w:t>e</w:t>
      </w:r>
      <w:r w:rsidRPr="00E1341B">
        <w:t>ringen har som utgångspunkt att alla boenden staden äger är en g</w:t>
      </w:r>
      <w:r w:rsidRPr="00E1341B">
        <w:t>e</w:t>
      </w:r>
      <w:r w:rsidRPr="00E1341B">
        <w:t>mensam resurs, vilket innebär att behoven inte behöver tillgodoses inom samtliga stadsdelsnämnder. Den centrala samordningen av planeringen har stärkts och kommunstyrelsen har ett samordnande ansvar</w:t>
      </w:r>
      <w:r>
        <w:t xml:space="preserve"> och h</w:t>
      </w:r>
      <w:r w:rsidRPr="00E1341B">
        <w:t>änsyn tas även till privata aktörers planering.</w:t>
      </w:r>
    </w:p>
    <w:p w:rsidR="00341CE4" w:rsidRDefault="00341CE4" w:rsidP="000F5B55">
      <w:pPr>
        <w:spacing w:line="0" w:lineRule="auto"/>
      </w:pPr>
    </w:p>
    <w:p w:rsidR="00341CE4" w:rsidRPr="0082203A" w:rsidRDefault="00341CE4" w:rsidP="008B19BA">
      <w:pPr>
        <w:spacing w:line="0" w:lineRule="auto"/>
      </w:pPr>
    </w:p>
    <w:p w:rsidR="00341CE4" w:rsidRPr="001F3A17" w:rsidRDefault="00341CE4" w:rsidP="0082203A">
      <w:pPr>
        <w:spacing w:line="0" w:lineRule="auto"/>
      </w:pPr>
    </w:p>
    <w:p w:rsidR="00341CE4" w:rsidRPr="0016522D" w:rsidRDefault="00341CE4" w:rsidP="001F3A17">
      <w:pPr>
        <w:spacing w:line="0" w:lineRule="auto"/>
      </w:pPr>
    </w:p>
    <w:p w:rsidR="00341CE4" w:rsidRPr="00655CDD" w:rsidRDefault="00341CE4" w:rsidP="0016522D">
      <w:pPr>
        <w:spacing w:line="0" w:lineRule="auto"/>
      </w:pPr>
    </w:p>
    <w:p w:rsidR="00341CE4" w:rsidRPr="00896474" w:rsidRDefault="00341CE4" w:rsidP="00294217">
      <w:pPr>
        <w:pStyle w:val="Rubrik3"/>
      </w:pPr>
      <w:r w:rsidRPr="00896474">
        <w:t xml:space="preserve">Stöd och service till personer med funktionsnedsättning </w:t>
      </w:r>
    </w:p>
    <w:p w:rsidR="00341CE4" w:rsidRPr="001A12FC" w:rsidRDefault="00341CE4" w:rsidP="00294217">
      <w:pPr>
        <w:pStyle w:val="Rubrik4"/>
      </w:pPr>
      <w:r w:rsidRPr="001A12FC">
        <w:t>Nuläge - trender i omvärlden och i staden</w:t>
      </w:r>
    </w:p>
    <w:p w:rsidR="00341CE4" w:rsidRPr="006261CA" w:rsidRDefault="00341CE4" w:rsidP="00294217">
      <w:r w:rsidRPr="006261CA">
        <w:t>Stadens bidrag till det s</w:t>
      </w:r>
      <w:r>
        <w:t>tatliga utjämningssystemet för l</w:t>
      </w:r>
      <w:r w:rsidRPr="006261CA">
        <w:t>agen om stöd och service till vissa funktionshindrade, LSS, fortsätter att öka.</w:t>
      </w:r>
      <w:r>
        <w:t xml:space="preserve"> </w:t>
      </w:r>
      <w:r w:rsidRPr="00DD3816">
        <w:t>S</w:t>
      </w:r>
      <w:r w:rsidRPr="00DD3816">
        <w:t>y</w:t>
      </w:r>
      <w:r w:rsidRPr="00DD3816">
        <w:t xml:space="preserve">stemet är </w:t>
      </w:r>
      <w:r>
        <w:t>underfinansierat</w:t>
      </w:r>
      <w:r w:rsidRPr="00DD3816">
        <w:t xml:space="preserve"> och kostnaderna har ökat kraftigt sen systemets införande. </w:t>
      </w:r>
      <w:r w:rsidRPr="006261CA">
        <w:t>För 201</w:t>
      </w:r>
      <w:r>
        <w:t>4</w:t>
      </w:r>
      <w:r w:rsidRPr="006261CA">
        <w:t xml:space="preserve"> betalar staden </w:t>
      </w:r>
      <w:r>
        <w:t xml:space="preserve">871,1 mnkr vilket är en ökning med 106,9 mnkr mot föregående år. </w:t>
      </w:r>
      <w:r w:rsidRPr="006261CA">
        <w:t>Det är mycket svårt att prognostisera hur mycket Stockholm</w:t>
      </w:r>
      <w:r>
        <w:t>s stad</w:t>
      </w:r>
      <w:r w:rsidRPr="006261CA">
        <w:t xml:space="preserve"> kommer att få betala kommande år</w:t>
      </w:r>
      <w:r>
        <w:t>,</w:t>
      </w:r>
      <w:r w:rsidRPr="006261CA">
        <w:t xml:space="preserve"> men mycket talar för att </w:t>
      </w:r>
      <w:r>
        <w:t>kostnaden</w:t>
      </w:r>
      <w:r w:rsidRPr="006261CA">
        <w:t xml:space="preserve"> kommer fortsätta öka. </w:t>
      </w:r>
    </w:p>
    <w:p w:rsidR="00341CE4" w:rsidRPr="006261CA" w:rsidRDefault="00341CE4" w:rsidP="00294217"/>
    <w:p w:rsidR="00341CE4" w:rsidRPr="006261CA" w:rsidRDefault="00341CE4" w:rsidP="00294217">
      <w:r w:rsidRPr="006261CA">
        <w:t xml:space="preserve">Den främsta anledningen till att kostnaderna ökat </w:t>
      </w:r>
      <w:r>
        <w:t xml:space="preserve">markant är den kraftiga befolkningsökningen i Stockholms stad </w:t>
      </w:r>
      <w:r w:rsidRPr="006261CA">
        <w:t xml:space="preserve">de senaste åren. Av den totala andelen som Stockholm växer med har en mycket liten del behov av LSS insatser. Detta innebär att i förhållande till andra kommuner har Stockholm </w:t>
      </w:r>
      <w:r>
        <w:t xml:space="preserve">relativt </w:t>
      </w:r>
      <w:r w:rsidRPr="006261CA">
        <w:t xml:space="preserve">en </w:t>
      </w:r>
      <w:r>
        <w:t>lägre</w:t>
      </w:r>
      <w:r w:rsidRPr="006261CA">
        <w:t xml:space="preserve"> kostnad för sina insatser. </w:t>
      </w:r>
    </w:p>
    <w:p w:rsidR="00341CE4" w:rsidRPr="006261CA" w:rsidRDefault="00341CE4" w:rsidP="00294217"/>
    <w:p w:rsidR="00341CE4" w:rsidRDefault="00341CE4" w:rsidP="00294217">
      <w:r>
        <w:t>Diagrammet nedan visar k</w:t>
      </w:r>
      <w:r w:rsidRPr="00DD3816">
        <w:t>ostnadsutveckling</w:t>
      </w:r>
      <w:r>
        <w:t>en</w:t>
      </w:r>
      <w:r w:rsidRPr="00DD3816">
        <w:t xml:space="preserve"> för Stockholm</w:t>
      </w:r>
      <w:r>
        <w:t>s stad, Malmö och Göteborg</w:t>
      </w:r>
      <w:r w:rsidRPr="00DD3816">
        <w:t xml:space="preserve">. </w:t>
      </w:r>
      <w:r>
        <w:t xml:space="preserve">Anmärkningsvärt är </w:t>
      </w:r>
      <w:r w:rsidRPr="006261CA">
        <w:t>att Göteborg har öve</w:t>
      </w:r>
      <w:r w:rsidRPr="006261CA">
        <w:t>r</w:t>
      </w:r>
      <w:r w:rsidRPr="006261CA">
        <w:t>gått från att vara en kommun som betalar till systemet till att vara en kom</w:t>
      </w:r>
      <w:r>
        <w:t>mun som erhåller bidrag.</w:t>
      </w:r>
    </w:p>
    <w:p w:rsidR="00341CE4" w:rsidRDefault="00341CE4" w:rsidP="002869AE">
      <w:pPr>
        <w:pStyle w:val="Rubrik4"/>
      </w:pPr>
      <w:r>
        <w:lastRenderedPageBreak/>
        <w:t>Kostnadsutveckling avseende utjämningssystemet för LSS.</w:t>
      </w:r>
    </w:p>
    <w:p w:rsidR="00341CE4" w:rsidRDefault="00341CE4" w:rsidP="002F5B93">
      <w:pPr>
        <w:rPr>
          <w:b/>
          <w:i/>
          <w:noProof/>
          <w:color w:val="00B0F0"/>
        </w:rPr>
      </w:pPr>
      <w:r>
        <w:rPr>
          <w:b/>
          <w:i/>
          <w:noProof/>
          <w:color w:val="00B0F0"/>
          <w:lang w:eastAsia="sv-SE"/>
        </w:rPr>
        <w:drawing>
          <wp:inline distT="0" distB="0" distL="0" distR="0" wp14:anchorId="5CC6B33E" wp14:editId="4DD72E95">
            <wp:extent cx="4137624" cy="2847975"/>
            <wp:effectExtent l="19050" t="19050" r="15875"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0289" cy="2849809"/>
                    </a:xfrm>
                    <a:prstGeom prst="rect">
                      <a:avLst/>
                    </a:prstGeom>
                    <a:noFill/>
                    <a:ln w="0">
                      <a:solidFill>
                        <a:schemeClr val="tx1"/>
                      </a:solidFill>
                    </a:ln>
                  </pic:spPr>
                </pic:pic>
              </a:graphicData>
            </a:graphic>
          </wp:inline>
        </w:drawing>
      </w:r>
    </w:p>
    <w:p w:rsidR="00341CE4" w:rsidRPr="007871C5" w:rsidRDefault="00341CE4" w:rsidP="00294217">
      <w:pPr>
        <w:pStyle w:val="Anmrknklla"/>
      </w:pPr>
      <w:r w:rsidRPr="007871C5">
        <w:rPr>
          <w:rFonts w:asciiTheme="minorHAnsi" w:hAnsiTheme="minorHAnsi" w:cstheme="minorHAnsi"/>
          <w:sz w:val="20"/>
        </w:rPr>
        <w:t>Källa: S</w:t>
      </w:r>
      <w:r>
        <w:rPr>
          <w:rFonts w:asciiTheme="minorHAnsi" w:hAnsiTheme="minorHAnsi" w:cstheme="minorHAnsi"/>
          <w:sz w:val="20"/>
        </w:rPr>
        <w:t>CB</w:t>
      </w:r>
      <w:r w:rsidRPr="007871C5">
        <w:t xml:space="preserve"> </w:t>
      </w:r>
    </w:p>
    <w:p w:rsidR="00341CE4" w:rsidRPr="007251E8" w:rsidRDefault="00341CE4" w:rsidP="00294217"/>
    <w:p w:rsidR="00341CE4" w:rsidRPr="007251E8" w:rsidRDefault="00341CE4" w:rsidP="00294217">
      <w:r w:rsidRPr="007251E8">
        <w:t>Antalet insatser inom ramen för LSS fortsätter att öka. De s</w:t>
      </w:r>
      <w:r>
        <w:t>enaste</w:t>
      </w:r>
      <w:r w:rsidRPr="007251E8">
        <w:t xml:space="preserve"> fem åren har ökningen legat mellan </w:t>
      </w:r>
      <w:r>
        <w:t>2,4–</w:t>
      </w:r>
      <w:r w:rsidRPr="007251E8">
        <w:t>8</w:t>
      </w:r>
      <w:r>
        <w:t>,0</w:t>
      </w:r>
      <w:r w:rsidRPr="007251E8">
        <w:t xml:space="preserve"> procentenheter och trenden bedöms hålla i sig de kommande åren. </w:t>
      </w:r>
    </w:p>
    <w:p w:rsidR="00341CE4" w:rsidRPr="007251E8" w:rsidRDefault="00341CE4" w:rsidP="00294217"/>
    <w:p w:rsidR="00341CE4" w:rsidRPr="00164287" w:rsidRDefault="00341CE4" w:rsidP="00164287">
      <w:r w:rsidRPr="007251E8">
        <w:t>Av tabellen nedan framgår ökningen av antal prestationer inom o</w:t>
      </w:r>
      <w:r w:rsidRPr="007251E8">
        <w:t>m</w:t>
      </w:r>
      <w:r w:rsidRPr="007251E8">
        <w:t xml:space="preserve">rådet stöd </w:t>
      </w:r>
      <w:r w:rsidRPr="00164287">
        <w:t>och service till personer med funktionsnedsättning med högst kostnader.</w:t>
      </w:r>
    </w:p>
    <w:p w:rsidR="00341CE4" w:rsidRPr="004D4A68" w:rsidRDefault="00341CE4" w:rsidP="00B7400C">
      <w:pPr>
        <w:pStyle w:val="Rubrik4"/>
      </w:pPr>
      <w:r w:rsidRPr="004D4A68">
        <w:t xml:space="preserve">Utveckling av antal prestationer </w:t>
      </w:r>
    </w:p>
    <w:p w:rsidR="00341CE4" w:rsidRDefault="00341CE4" w:rsidP="002F5B93">
      <w:pPr>
        <w:rPr>
          <w:sz w:val="23"/>
          <w:szCs w:val="23"/>
        </w:rPr>
      </w:pPr>
      <w:r>
        <w:rPr>
          <w:noProof/>
          <w:lang w:eastAsia="sv-SE"/>
        </w:rPr>
        <w:drawing>
          <wp:inline distT="0" distB="0" distL="0" distR="0" wp14:anchorId="5322FAE5" wp14:editId="00000B32">
            <wp:extent cx="4238625" cy="2211123"/>
            <wp:effectExtent l="0" t="0" r="0" b="0"/>
            <wp:docPr id="9" name="Bildobjekt 9" descr="cid:image001.png@01CF559B.406C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cid:image001.png@01CF559B.406C398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246481" cy="2215221"/>
                    </a:xfrm>
                    <a:prstGeom prst="rect">
                      <a:avLst/>
                    </a:prstGeom>
                    <a:noFill/>
                    <a:ln>
                      <a:noFill/>
                    </a:ln>
                  </pic:spPr>
                </pic:pic>
              </a:graphicData>
            </a:graphic>
          </wp:inline>
        </w:drawing>
      </w:r>
    </w:p>
    <w:p w:rsidR="00341CE4" w:rsidRPr="007871C5" w:rsidRDefault="00341CE4" w:rsidP="00294217">
      <w:pPr>
        <w:pStyle w:val="Anmrknklla"/>
      </w:pPr>
      <w:r w:rsidRPr="007871C5">
        <w:rPr>
          <w:rFonts w:asciiTheme="minorHAnsi" w:hAnsiTheme="minorHAnsi" w:cstheme="minorHAnsi"/>
          <w:sz w:val="20"/>
        </w:rPr>
        <w:t xml:space="preserve">Källa: </w:t>
      </w:r>
      <w:r>
        <w:rPr>
          <w:rFonts w:asciiTheme="minorHAnsi" w:hAnsiTheme="minorHAnsi" w:cstheme="minorHAnsi"/>
          <w:sz w:val="20"/>
        </w:rPr>
        <w:t>Stockholms stads prestationsavläsning</w:t>
      </w:r>
    </w:p>
    <w:p w:rsidR="00341CE4" w:rsidRDefault="00341CE4" w:rsidP="00294217">
      <w:pPr>
        <w:rPr>
          <w:sz w:val="23"/>
          <w:szCs w:val="23"/>
        </w:rPr>
      </w:pPr>
    </w:p>
    <w:p w:rsidR="00341CE4" w:rsidRDefault="00341CE4" w:rsidP="00294217">
      <w:r>
        <w:t>Nämnderna bedömer att det finns ett antal gemensamma utmaningar för kommande år. Behovet av bostäder för målgruppen är fortsatt stor och efterfrågan på varierande boendeformer ökar. Hyresnivåe</w:t>
      </w:r>
      <w:r>
        <w:t>r</w:t>
      </w:r>
      <w:r>
        <w:t xml:space="preserve">na i nybyggda områden förväntas bli höga. Medarbetare </w:t>
      </w:r>
      <w:r w:rsidRPr="006261CA">
        <w:t>har ett for</w:t>
      </w:r>
      <w:r w:rsidRPr="006261CA">
        <w:t>t</w:t>
      </w:r>
      <w:r w:rsidRPr="006261CA">
        <w:t xml:space="preserve">satt behov av kompetensutveckling inom områdena upphandling, </w:t>
      </w:r>
      <w:r w:rsidRPr="006261CA">
        <w:lastRenderedPageBreak/>
        <w:t>uppföljning och samverkan med privata utförare och entreprenörer.</w:t>
      </w:r>
      <w:r>
        <w:t xml:space="preserve"> Möjligheterna till detta har ökats i och med att medel har reserverats för detta ändamål i socialnämndens budget. </w:t>
      </w:r>
    </w:p>
    <w:p w:rsidR="00341CE4" w:rsidRDefault="00341CE4" w:rsidP="00294217"/>
    <w:p w:rsidR="00341CE4" w:rsidRPr="002964A2" w:rsidRDefault="00341CE4" w:rsidP="00294217">
      <w:r w:rsidRPr="007E3052">
        <w:t>För särskilda boenden</w:t>
      </w:r>
      <w:r>
        <w:t>,</w:t>
      </w:r>
      <w:r w:rsidRPr="007E3052">
        <w:t xml:space="preserve"> bl</w:t>
      </w:r>
      <w:r>
        <w:t>and annat</w:t>
      </w:r>
      <w:r w:rsidRPr="007E3052">
        <w:t xml:space="preserve"> vård- och omsorgsboenden och servicehus</w:t>
      </w:r>
      <w:r>
        <w:t>,</w:t>
      </w:r>
      <w:r w:rsidRPr="007E3052">
        <w:t xml:space="preserve"> tog kommunen över hälso- och sjukvården i samband med ÄDEL-reformen 1992. När LSS-verksamheten kommun</w:t>
      </w:r>
      <w:r>
        <w:t>al</w:t>
      </w:r>
      <w:r>
        <w:t>i</w:t>
      </w:r>
      <w:r>
        <w:t xml:space="preserve">serades </w:t>
      </w:r>
      <w:r w:rsidRPr="007E3052">
        <w:t xml:space="preserve">1994 gjordes en principöverenskommelse att hälso- och sjukvårdsansvaret skulle finnas kvar hos </w:t>
      </w:r>
      <w:r>
        <w:t>l</w:t>
      </w:r>
      <w:r w:rsidRPr="007E3052">
        <w:t>andstinget</w:t>
      </w:r>
      <w:r>
        <w:t xml:space="preserve"> för denna ver</w:t>
      </w:r>
      <w:r>
        <w:t>k</w:t>
      </w:r>
      <w:r>
        <w:t>samhet</w:t>
      </w:r>
      <w:r w:rsidRPr="007E3052">
        <w:t>. De</w:t>
      </w:r>
      <w:r>
        <w:t>nna</w:t>
      </w:r>
      <w:r w:rsidRPr="007E3052">
        <w:t xml:space="preserve"> överenskommelse ska upphöra </w:t>
      </w:r>
      <w:r>
        <w:t xml:space="preserve">och </w:t>
      </w:r>
      <w:r w:rsidRPr="007E3052">
        <w:t>hälso- och sju</w:t>
      </w:r>
      <w:r w:rsidRPr="007E3052">
        <w:t>k</w:t>
      </w:r>
      <w:r w:rsidRPr="007E3052">
        <w:t xml:space="preserve">vårdsansvaret förs över till kommunen. </w:t>
      </w:r>
      <w:r>
        <w:t>Enligt gällande förslag är detta planerat till den första oktober 2015, då verksamheten förs över. Kommunen ersätts för sina kostnader under de tre sista mån</w:t>
      </w:r>
      <w:r>
        <w:t>a</w:t>
      </w:r>
      <w:r>
        <w:t xml:space="preserve">derna 2015 och skatteväxling av verksamheten sker sedan från och med 2016. </w:t>
      </w:r>
    </w:p>
    <w:p w:rsidR="00341CE4" w:rsidRDefault="00341CE4" w:rsidP="000F5B55">
      <w:pPr>
        <w:spacing w:line="0" w:lineRule="auto"/>
      </w:pPr>
    </w:p>
    <w:p w:rsidR="00341CE4" w:rsidRPr="0082203A" w:rsidRDefault="00341CE4" w:rsidP="008B19BA">
      <w:pPr>
        <w:spacing w:line="0" w:lineRule="auto"/>
      </w:pPr>
    </w:p>
    <w:p w:rsidR="00341CE4" w:rsidRPr="001F3A17" w:rsidRDefault="00341CE4" w:rsidP="0082203A">
      <w:pPr>
        <w:spacing w:line="0" w:lineRule="auto"/>
      </w:pPr>
    </w:p>
    <w:p w:rsidR="00341CE4" w:rsidRPr="0016522D" w:rsidRDefault="00341CE4" w:rsidP="001F3A17">
      <w:pPr>
        <w:spacing w:line="0" w:lineRule="auto"/>
      </w:pPr>
    </w:p>
    <w:p w:rsidR="00341CE4" w:rsidRPr="00655CDD" w:rsidRDefault="00341CE4" w:rsidP="0016522D">
      <w:pPr>
        <w:spacing w:line="0" w:lineRule="auto"/>
      </w:pPr>
    </w:p>
    <w:p w:rsidR="00341CE4" w:rsidRDefault="00341CE4">
      <w:pPr>
        <w:spacing w:line="0" w:lineRule="auto"/>
        <w:rPr>
          <w:lang w:eastAsia="sv-SE"/>
        </w:rPr>
      </w:pPr>
    </w:p>
    <w:p w:rsidR="00341CE4" w:rsidRDefault="00341CE4" w:rsidP="00294217">
      <w:pPr>
        <w:pStyle w:val="Rubrik3"/>
      </w:pPr>
      <w:r>
        <w:t>Ekonomiskt bistånd</w:t>
      </w:r>
    </w:p>
    <w:p w:rsidR="00341CE4" w:rsidRPr="00F9418E" w:rsidRDefault="00341CE4" w:rsidP="00F9418E">
      <w:pPr>
        <w:pStyle w:val="Rubrik4"/>
      </w:pPr>
      <w:r w:rsidRPr="00F9418E">
        <w:t>Nuläge - trender i omvärlden och i staden</w:t>
      </w:r>
    </w:p>
    <w:p w:rsidR="00341CE4" w:rsidRPr="00F9418E" w:rsidRDefault="00341CE4" w:rsidP="00F9418E">
      <w:r>
        <w:t>Antalet biståndstagare</w:t>
      </w:r>
      <w:r w:rsidRPr="00F9418E">
        <w:t xml:space="preserve"> i staden har minskat svagt under de senaste två åren. Minskningstakten har avtagit successivt från 2013. De eftersläpningseffekter på biståndstagandet som observerats hist</w:t>
      </w:r>
      <w:r w:rsidRPr="00F9418E">
        <w:t>o</w:t>
      </w:r>
      <w:r w:rsidRPr="00F9418E">
        <w:t xml:space="preserve">riskt vid konjunkturvändningar </w:t>
      </w:r>
      <w:r>
        <w:t xml:space="preserve">innebär att risken för att antalet </w:t>
      </w:r>
      <w:r w:rsidRPr="00F9418E">
        <w:t>b</w:t>
      </w:r>
      <w:r w:rsidRPr="00F9418E">
        <w:t>i</w:t>
      </w:r>
      <w:r w:rsidRPr="00F9418E">
        <w:t>ståndstaga</w:t>
      </w:r>
      <w:r>
        <w:t>re</w:t>
      </w:r>
      <w:r w:rsidRPr="00F9418E">
        <w:t xml:space="preserve"> </w:t>
      </w:r>
      <w:r>
        <w:t xml:space="preserve">kan öka </w:t>
      </w:r>
      <w:r w:rsidRPr="00F9418E">
        <w:t>svagt 2014</w:t>
      </w:r>
      <w:r>
        <w:t xml:space="preserve"> behöver beaktas</w:t>
      </w:r>
      <w:r w:rsidRPr="00F9418E">
        <w:t xml:space="preserve">. </w:t>
      </w:r>
      <w:r>
        <w:t>Risken behöver även beaktas för att antalet b</w:t>
      </w:r>
      <w:r w:rsidRPr="00F9418E">
        <w:t>iståndstaga</w:t>
      </w:r>
      <w:r>
        <w:t>re</w:t>
      </w:r>
      <w:r w:rsidRPr="00F9418E">
        <w:t xml:space="preserve"> </w:t>
      </w:r>
      <w:r>
        <w:t>kan komma att</w:t>
      </w:r>
      <w:r w:rsidRPr="00F9418E">
        <w:t xml:space="preserve"> öka med anledning av att flyktinginvandringen har ökat och att grupper </w:t>
      </w:r>
      <w:r w:rsidR="004375A4">
        <w:t xml:space="preserve">som står längre från arbetsmarknaden </w:t>
      </w:r>
      <w:r w:rsidRPr="00F9418E">
        <w:t xml:space="preserve">fortfarande har svårt att </w:t>
      </w:r>
      <w:r w:rsidR="004375A4">
        <w:t>få jobb</w:t>
      </w:r>
      <w:r w:rsidRPr="00F9418E">
        <w:t>. För 2015 antas den förstärkta arbe</w:t>
      </w:r>
      <w:r>
        <w:t>tsmarknaden slå igenom vilket förväntas ge positiva effekter på biståndstagandet. Den samma</w:t>
      </w:r>
      <w:r>
        <w:t>n</w:t>
      </w:r>
      <w:r>
        <w:t xml:space="preserve">tagna bedömning som kan göras är att utvecklingen  </w:t>
      </w:r>
      <w:r w:rsidR="004375A4">
        <w:t xml:space="preserve">av </w:t>
      </w:r>
      <w:r>
        <w:t>ekonomisk</w:t>
      </w:r>
      <w:r w:rsidR="004375A4">
        <w:t>t</w:t>
      </w:r>
      <w:r>
        <w:t xml:space="preserve"> bistånd kommer att vara fortsatt positiv </w:t>
      </w:r>
      <w:r w:rsidR="004375A4">
        <w:t xml:space="preserve">under </w:t>
      </w:r>
      <w:r>
        <w:t>de kommande åren.</w:t>
      </w:r>
    </w:p>
    <w:p w:rsidR="00341CE4" w:rsidRPr="00F9418E" w:rsidRDefault="00341CE4" w:rsidP="00F9418E"/>
    <w:p w:rsidR="00341CE4" w:rsidRPr="00F9418E" w:rsidRDefault="00341CE4" w:rsidP="00F9418E">
      <w:r>
        <w:t>Sweco Strategy AB har i en prognos från april 2014 beräknat k</w:t>
      </w:r>
      <w:r w:rsidRPr="00F9418E">
        <w:t>os</w:t>
      </w:r>
      <w:r>
        <w:t>t</w:t>
      </w:r>
      <w:r>
        <w:t>naden för utbetalt ekonomiskt bistånd</w:t>
      </w:r>
      <w:r w:rsidRPr="00F9418E">
        <w:t xml:space="preserve"> 2014 till 1 019 </w:t>
      </w:r>
      <w:r>
        <w:t>mnkr (inkl</w:t>
      </w:r>
      <w:r>
        <w:t>u</w:t>
      </w:r>
      <w:r>
        <w:t>sive e</w:t>
      </w:r>
      <w:r w:rsidRPr="00F9418E">
        <w:t>nheten för hemlösa och bistånd till dödsbon). Hänsyn har t</w:t>
      </w:r>
      <w:r w:rsidRPr="00F9418E">
        <w:t>a</w:t>
      </w:r>
      <w:r w:rsidRPr="00F9418E">
        <w:t xml:space="preserve">gits till införandet av jobbstimulans </w:t>
      </w:r>
      <w:r>
        <w:t xml:space="preserve">inom det ekonomiska biståndet </w:t>
      </w:r>
      <w:r w:rsidRPr="00F9418E">
        <w:t xml:space="preserve">från och med 1 juli 2013 samt införandet av fritidspeng från 1 juli 2014. Kostnaden för 2015 beräknas </w:t>
      </w:r>
      <w:r>
        <w:t>vara relativt oförändrad i rela</w:t>
      </w:r>
      <w:r>
        <w:t>t</w:t>
      </w:r>
      <w:r>
        <w:t xml:space="preserve">ion till kostnaden för 2014. </w:t>
      </w:r>
    </w:p>
    <w:p w:rsidR="00341CE4" w:rsidRDefault="00341CE4" w:rsidP="000F5B55">
      <w:pPr>
        <w:spacing w:line="0" w:lineRule="auto"/>
      </w:pPr>
    </w:p>
    <w:p w:rsidR="00341CE4" w:rsidRPr="0082203A" w:rsidRDefault="00341CE4" w:rsidP="008B19BA">
      <w:pPr>
        <w:spacing w:line="0" w:lineRule="auto"/>
      </w:pPr>
    </w:p>
    <w:p w:rsidR="00341CE4" w:rsidRPr="001F3A17" w:rsidRDefault="00341CE4" w:rsidP="0082203A">
      <w:pPr>
        <w:spacing w:line="0" w:lineRule="auto"/>
      </w:pPr>
    </w:p>
    <w:p w:rsidR="00341CE4" w:rsidRPr="0016522D" w:rsidRDefault="00341CE4" w:rsidP="001F3A17">
      <w:pPr>
        <w:spacing w:line="0" w:lineRule="auto"/>
      </w:pPr>
    </w:p>
    <w:p w:rsidR="00341CE4" w:rsidRPr="00655CDD" w:rsidRDefault="00341CE4" w:rsidP="0016522D">
      <w:pPr>
        <w:spacing w:line="0" w:lineRule="auto"/>
      </w:pPr>
    </w:p>
    <w:p w:rsidR="00F4376A" w:rsidRDefault="00F4376A" w:rsidP="00F4376A">
      <w:pPr>
        <w:pStyle w:val="Rubrik2"/>
      </w:pPr>
      <w:r>
        <w:t>Kompetensförsörjning</w:t>
      </w:r>
    </w:p>
    <w:p w:rsidR="00A62AC8" w:rsidRPr="00DB2743" w:rsidRDefault="00A62AC8" w:rsidP="007845BA">
      <w:r w:rsidRPr="00DB2743">
        <w:t>Den framtida kompetensförsörjningen är en av nyckelfaktorerna för ett Stockholm i världsklass. En väl fungerande kompetensförsör</w:t>
      </w:r>
      <w:r w:rsidRPr="00DB2743">
        <w:t>j</w:t>
      </w:r>
      <w:r w:rsidRPr="00DB2743">
        <w:t xml:space="preserve">ning bygger på flera samverkande faktorer. Förmågan att attrahera, rekrytera, utveckla och behålla rätt kompetens påverkar i hög grad möjligheten att nå framgång. Arbetet med kompetensförsörjning ska </w:t>
      </w:r>
      <w:r w:rsidRPr="00DB2743">
        <w:lastRenderedPageBreak/>
        <w:t>säkerställa att staden har medarbetare som är engagerade, vill u</w:t>
      </w:r>
      <w:r w:rsidRPr="00DB2743">
        <w:t>t</w:t>
      </w:r>
      <w:r w:rsidRPr="00DB2743">
        <w:t>vecklas och bidra till att verksamheten når sina mål.</w:t>
      </w:r>
      <w:r>
        <w:t xml:space="preserve"> </w:t>
      </w:r>
      <w:r w:rsidRPr="00DB2743">
        <w:t>I takt med ökad komplexitet i många arbetsuppgifter, förändrade uppdrag och gen</w:t>
      </w:r>
      <w:r w:rsidRPr="00DB2743">
        <w:t>e</w:t>
      </w:r>
      <w:r w:rsidRPr="00DB2743">
        <w:t>rationsväxling kommer kompetenskraven att förändras och kontin</w:t>
      </w:r>
      <w:r w:rsidRPr="00DB2743">
        <w:t>u</w:t>
      </w:r>
      <w:r w:rsidRPr="00DB2743">
        <w:t>erlig utveckling vara en prioriterad fråga.</w:t>
      </w:r>
      <w:r w:rsidRPr="00DB2743">
        <w:rPr>
          <w:color w:val="42BAFF" w:themeColor="text2" w:themeTint="99"/>
        </w:rPr>
        <w:t xml:space="preserve"> </w:t>
      </w:r>
      <w:r w:rsidRPr="00DB2743">
        <w:t>De närmaste årens pen</w:t>
      </w:r>
      <w:r w:rsidRPr="00DB2743">
        <w:t>s</w:t>
      </w:r>
      <w:r w:rsidRPr="00DB2743">
        <w:t>ionsavgångar kräver också en utveckling av ledarrollen</w:t>
      </w:r>
      <w:r w:rsidRPr="00DB2743">
        <w:rPr>
          <w:color w:val="42BAFF" w:themeColor="text2" w:themeTint="99"/>
        </w:rPr>
        <w:t xml:space="preserve"> </w:t>
      </w:r>
      <w:r w:rsidRPr="00DB2743">
        <w:t>dels för att möta yngre medarbetares förväntningar på chefen, dels för att locka yngre att bli chefer. Den kompetensbrist som finns på marknaden när</w:t>
      </w:r>
      <w:r w:rsidRPr="00DB2743">
        <w:rPr>
          <w:color w:val="42BAFF" w:themeColor="text2" w:themeTint="99"/>
        </w:rPr>
        <w:t xml:space="preserve"> </w:t>
      </w:r>
      <w:r w:rsidRPr="00DB2743">
        <w:t xml:space="preserve">det gäller främst förskollärare, lärare och chefer är en fråga </w:t>
      </w:r>
      <w:r>
        <w:t>det</w:t>
      </w:r>
      <w:r w:rsidRPr="00DB2743">
        <w:t xml:space="preserve"> särskilt måste läggas fokus på.</w:t>
      </w:r>
      <w:r>
        <w:t xml:space="preserve"> </w:t>
      </w:r>
      <w:r w:rsidRPr="00DB2743">
        <w:t>En ytterligare angelägen fråga är hur stadens HR/personalfunktioner kommer att arbeta.</w:t>
      </w:r>
      <w:r w:rsidRPr="00DB2743">
        <w:rPr>
          <w:color w:val="000000"/>
          <w:sz w:val="25"/>
          <w:szCs w:val="25"/>
        </w:rPr>
        <w:t xml:space="preserve"> </w:t>
      </w:r>
      <w:r w:rsidRPr="00DB2743">
        <w:rPr>
          <w:color w:val="000000"/>
        </w:rPr>
        <w:t>De har en viktig del i arbetet med att se till att organisationen har medarbetare som förstår hur de bidrar till att skapa resultat och att nå uppsatta mål. Nämnderna bör inrikta sig mer mot att arbeta med strategisk ko</w:t>
      </w:r>
      <w:r w:rsidRPr="00DB2743">
        <w:rPr>
          <w:color w:val="000000"/>
        </w:rPr>
        <w:t>m</w:t>
      </w:r>
      <w:r w:rsidRPr="00DB2743">
        <w:rPr>
          <w:color w:val="000000"/>
        </w:rPr>
        <w:t xml:space="preserve">petensförsörjning inom sina respektive kärnområden. </w:t>
      </w:r>
    </w:p>
    <w:p w:rsidR="00A62AC8" w:rsidRPr="00E76B47" w:rsidRDefault="00A62AC8" w:rsidP="007845BA">
      <w:pPr>
        <w:pStyle w:val="Rubrik3"/>
      </w:pPr>
      <w:r w:rsidRPr="00E76B47">
        <w:t>Personalbehovet för alla verksamheter som staden finansi</w:t>
      </w:r>
      <w:r w:rsidRPr="00E76B47">
        <w:t>e</w:t>
      </w:r>
      <w:r w:rsidRPr="00E76B47">
        <w:t>rar</w:t>
      </w:r>
    </w:p>
    <w:p w:rsidR="00A62AC8" w:rsidRPr="007577A9" w:rsidRDefault="00A62AC8" w:rsidP="007845BA">
      <w:r w:rsidRPr="00652D8E">
        <w:t>Staden tar fram prognoser för de interna personal- och rekrytering</w:t>
      </w:r>
      <w:r w:rsidRPr="00652D8E">
        <w:t>s</w:t>
      </w:r>
      <w:r w:rsidRPr="00652D8E">
        <w:t xml:space="preserve">behoven och för </w:t>
      </w:r>
      <w:r>
        <w:t xml:space="preserve">det totala </w:t>
      </w:r>
      <w:r w:rsidRPr="00652D8E">
        <w:t>personalbehovet för de verksamheter som staden finansierar</w:t>
      </w:r>
      <w:r w:rsidRPr="00191620">
        <w:t>. Det totala personalbehovet beror i hög grad på hur befolkningsstrukturen i staden utvecklas</w:t>
      </w:r>
      <w:r>
        <w:t>.</w:t>
      </w:r>
      <w:r w:rsidRPr="00191620">
        <w:t xml:space="preserve"> </w:t>
      </w:r>
      <w:r w:rsidRPr="00274C85">
        <w:t>För 2014 är pers</w:t>
      </w:r>
      <w:r w:rsidRPr="00274C85">
        <w:t>o</w:t>
      </w:r>
      <w:r w:rsidRPr="00274C85">
        <w:t>nalbehoven störst inom verksamhetsområdena grundskola och fö</w:t>
      </w:r>
      <w:r w:rsidRPr="00274C85">
        <w:t>r</w:t>
      </w:r>
      <w:r w:rsidRPr="00274C85">
        <w:t>skola</w:t>
      </w:r>
      <w:r>
        <w:t xml:space="preserve"> samt stöd och service till personer med funktionsnedsättning</w:t>
      </w:r>
    </w:p>
    <w:p w:rsidR="00A62AC8" w:rsidRDefault="00A62AC8" w:rsidP="007845BA"/>
    <w:p w:rsidR="00A62AC8" w:rsidRDefault="00A62AC8" w:rsidP="007845BA">
      <w:r w:rsidRPr="00CB3AE3">
        <w:t>Personalbehovet inom grundskolan prognostiseras att öka under hela prognosperioden med totalt drygt 30 procent fram till 2022</w:t>
      </w:r>
      <w:r>
        <w:t>, vilket innebär att grundskolan blir det klart största verksamhetso</w:t>
      </w:r>
      <w:r>
        <w:t>m</w:t>
      </w:r>
      <w:r>
        <w:t>rådet inom staden.</w:t>
      </w:r>
      <w:r w:rsidRPr="00CB3AE3">
        <w:t xml:space="preserve"> </w:t>
      </w:r>
      <w:r w:rsidRPr="00E97EBD">
        <w:t>Förskoleverksamheten förväntas ha ökat med drygt 6 procent vid slutet av</w:t>
      </w:r>
      <w:r>
        <w:t xml:space="preserve"> </w:t>
      </w:r>
      <w:r w:rsidRPr="009A6F37">
        <w:t>prognosperioden.</w:t>
      </w:r>
      <w:r>
        <w:t xml:space="preserve"> </w:t>
      </w:r>
      <w:r w:rsidRPr="00254EF9">
        <w:t>Även inom verksa</w:t>
      </w:r>
      <w:r w:rsidRPr="00254EF9">
        <w:t>m</w:t>
      </w:r>
      <w:r w:rsidRPr="00254EF9">
        <w:t>hetsområdena skolbarnomsorg och gymnasieskola förväntas pers</w:t>
      </w:r>
      <w:r w:rsidRPr="00254EF9">
        <w:t>o</w:t>
      </w:r>
      <w:r w:rsidRPr="00254EF9">
        <w:t xml:space="preserve">nalbehovet öka kraftigt med cirka 23 procent vardera till 2022. </w:t>
      </w:r>
      <w:r w:rsidRPr="009A6F37">
        <w:t xml:space="preserve">För stöd och service till personer med funktionsnedsättning förväntas personalbehovet öka </w:t>
      </w:r>
      <w:r>
        <w:t>med 14 procent</w:t>
      </w:r>
      <w:r w:rsidRPr="009A6F37">
        <w:t xml:space="preserve"> </w:t>
      </w:r>
      <w:r w:rsidRPr="00A51ECC">
        <w:t xml:space="preserve">medan det är </w:t>
      </w:r>
      <w:r>
        <w:t>relativt konstant</w:t>
      </w:r>
      <w:r w:rsidRPr="00A51ECC">
        <w:t xml:space="preserve"> inom äldreomsorgen</w:t>
      </w:r>
      <w:r>
        <w:t xml:space="preserve"> </w:t>
      </w:r>
      <w:r w:rsidRPr="00A51ECC">
        <w:t>fram till 2016 för att därefter öka.</w:t>
      </w:r>
      <w:r>
        <w:t xml:space="preserve"> </w:t>
      </w:r>
    </w:p>
    <w:p w:rsidR="00A62AC8" w:rsidRDefault="00A62AC8" w:rsidP="007845BA">
      <w:pPr>
        <w:pStyle w:val="Rubrik4"/>
      </w:pPr>
      <w:r>
        <w:lastRenderedPageBreak/>
        <w:t>Totalt personalbehov i de verksamheter staden finansierar</w:t>
      </w:r>
    </w:p>
    <w:p w:rsidR="00A62AC8" w:rsidRPr="00925183" w:rsidRDefault="00A62AC8" w:rsidP="00925183">
      <w:pPr>
        <w:ind w:left="-851"/>
      </w:pPr>
      <w:r>
        <w:rPr>
          <w:noProof/>
          <w:lang w:eastAsia="sv-SE"/>
        </w:rPr>
        <w:drawing>
          <wp:inline distT="0" distB="0" distL="0" distR="0" wp14:anchorId="605B42E7" wp14:editId="28229054">
            <wp:extent cx="4804012" cy="2743200"/>
            <wp:effectExtent l="0" t="0" r="0" b="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62AC8" w:rsidRPr="00A547D2" w:rsidRDefault="00A62AC8" w:rsidP="007845BA">
      <w:pPr>
        <w:pStyle w:val="Anmrknklla"/>
        <w:rPr>
          <w:rFonts w:asciiTheme="minorHAnsi" w:hAnsiTheme="minorHAnsi" w:cstheme="minorHAnsi"/>
          <w:sz w:val="20"/>
        </w:rPr>
      </w:pPr>
      <w:r w:rsidRPr="00A547D2">
        <w:rPr>
          <w:rFonts w:asciiTheme="minorHAnsi" w:hAnsiTheme="minorHAnsi" w:cstheme="minorHAnsi"/>
          <w:sz w:val="20"/>
        </w:rPr>
        <w:t>Källa: Rapport Personalbehovsprognos Stockholms stad 201</w:t>
      </w:r>
      <w:r>
        <w:rPr>
          <w:rFonts w:asciiTheme="minorHAnsi" w:hAnsiTheme="minorHAnsi" w:cstheme="minorHAnsi"/>
          <w:sz w:val="20"/>
        </w:rPr>
        <w:t>4-2022</w:t>
      </w:r>
    </w:p>
    <w:p w:rsidR="00A62AC8" w:rsidRPr="00E76B47" w:rsidRDefault="00A62AC8" w:rsidP="007845BA">
      <w:pPr>
        <w:pStyle w:val="Rubrik3"/>
      </w:pPr>
      <w:r w:rsidRPr="00E76B47">
        <w:t>Rekryteringsbehovet för verksamheter i stadens regi</w:t>
      </w:r>
    </w:p>
    <w:p w:rsidR="00A62AC8" w:rsidRDefault="00A62AC8" w:rsidP="007845BA">
      <w:r w:rsidRPr="00B33BF2">
        <w:t>Rekryteringsbehovet till stadens egna verksamheter är komplext</w:t>
      </w:r>
      <w:r>
        <w:t xml:space="preserve"> och beror på en rad olika faktorer såsom upphandling i konkurrens, demografisk utveckling, medarbetarnas åldersstruktur, frånvaro, pensionsavgångar och rörlighet.</w:t>
      </w:r>
      <w:r w:rsidRPr="00B33BF2">
        <w:t xml:space="preserve"> Den största anledningen till ett ökat eller minskat rekryteringsbehov är hur mycket och i vilken takt pe</w:t>
      </w:r>
      <w:r w:rsidRPr="00B33BF2">
        <w:t>r</w:t>
      </w:r>
      <w:r w:rsidRPr="00B33BF2">
        <w:t xml:space="preserve">sonalbehovet </w:t>
      </w:r>
      <w:r w:rsidRPr="00932D8C">
        <w:t>förändras. Prognosen bygger på antaganden om ofö</w:t>
      </w:r>
      <w:r w:rsidRPr="00932D8C">
        <w:t>r</w:t>
      </w:r>
      <w:r w:rsidRPr="00932D8C">
        <w:t>ändrad fördelning mellan enskild och kommunal</w:t>
      </w:r>
      <w:r>
        <w:t xml:space="preserve"> verksamhet och det uppskattade personalbehovet beror därför främst på befol</w:t>
      </w:r>
      <w:r>
        <w:t>k</w:t>
      </w:r>
      <w:r>
        <w:t xml:space="preserve">ningsutvecklingen i staden. </w:t>
      </w:r>
      <w:r w:rsidRPr="009815BA">
        <w:t xml:space="preserve">Yngre personer stannar i regel kortare tid på en arbetsplats än äldre och en ung personalstyrka genererar därför ett större rekryteringsbehov än en medelålders. </w:t>
      </w:r>
    </w:p>
    <w:p w:rsidR="00A62AC8" w:rsidRDefault="00A62AC8" w:rsidP="007845BA"/>
    <w:p w:rsidR="00A62AC8" w:rsidRDefault="00A62AC8" w:rsidP="007845BA">
      <w:r>
        <w:t xml:space="preserve">Både avgångar och rekryteringsbehov prognostiseras att öka i stort sett över hela prognosperioden. </w:t>
      </w:r>
      <w:r w:rsidRPr="00100907">
        <w:t>Rekryteringsbehovet beräknas vara omkring 5 500 personer per år, med nuvarande fördelning mellan offentligt och enskilt driven verksamhet.</w:t>
      </w:r>
      <w:r>
        <w:t xml:space="preserve"> </w:t>
      </w:r>
    </w:p>
    <w:p w:rsidR="00A62AC8" w:rsidRDefault="00A62AC8" w:rsidP="00925183">
      <w:pPr>
        <w:pStyle w:val="Rubrik4"/>
        <w:rPr>
          <w:rFonts w:eastAsiaTheme="minorHAnsi"/>
        </w:rPr>
      </w:pPr>
      <w:r w:rsidRPr="006F2DCA">
        <w:rPr>
          <w:rFonts w:eastAsiaTheme="minorHAnsi"/>
        </w:rPr>
        <w:lastRenderedPageBreak/>
        <w:t>Rekryteringsbehov i förskoleverksamhet</w:t>
      </w:r>
      <w:r>
        <w:rPr>
          <w:rFonts w:asciiTheme="minorHAnsi" w:hAnsiTheme="minorHAnsi" w:cstheme="minorHAnsi"/>
          <w:sz w:val="20"/>
          <w:szCs w:val="20"/>
        </w:rPr>
        <w:t xml:space="preserve"> </w:t>
      </w:r>
      <w:r w:rsidRPr="006F2DCA">
        <w:rPr>
          <w:rFonts w:eastAsiaTheme="minorHAnsi"/>
        </w:rPr>
        <w:t>och grundskola</w:t>
      </w:r>
    </w:p>
    <w:p w:rsidR="00A62AC8" w:rsidRDefault="00A62AC8" w:rsidP="00925183">
      <w:pPr>
        <w:ind w:left="-851"/>
      </w:pPr>
      <w:r>
        <w:rPr>
          <w:noProof/>
          <w:lang w:eastAsia="sv-SE"/>
        </w:rPr>
        <w:drawing>
          <wp:inline distT="0" distB="0" distL="0" distR="0" wp14:anchorId="5107BC62" wp14:editId="30D2DB96">
            <wp:extent cx="5172501" cy="2729552"/>
            <wp:effectExtent l="0" t="0" r="0" b="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62AC8" w:rsidRDefault="00A62AC8" w:rsidP="007845BA">
      <w:pPr>
        <w:rPr>
          <w:rFonts w:cstheme="minorHAnsi"/>
          <w:sz w:val="20"/>
          <w:szCs w:val="20"/>
        </w:rPr>
      </w:pPr>
      <w:r>
        <w:rPr>
          <w:rFonts w:cstheme="minorHAnsi"/>
          <w:sz w:val="20"/>
          <w:szCs w:val="20"/>
        </w:rPr>
        <w:t>Källa: Rapport Personalbehovsprognos Stockholms stad 2014-2022</w:t>
      </w:r>
    </w:p>
    <w:p w:rsidR="00A62AC8" w:rsidRDefault="00A62AC8" w:rsidP="007845BA">
      <w:pPr>
        <w:rPr>
          <w:rFonts w:cstheme="minorHAnsi"/>
          <w:sz w:val="20"/>
          <w:szCs w:val="20"/>
        </w:rPr>
      </w:pPr>
    </w:p>
    <w:p w:rsidR="00A62AC8" w:rsidRPr="005E4A23" w:rsidRDefault="00A62AC8" w:rsidP="007845BA">
      <w:r w:rsidRPr="000D2C79">
        <w:t xml:space="preserve">Inom </w:t>
      </w:r>
      <w:r w:rsidRPr="00F17244">
        <w:t>grundskolan ökar</w:t>
      </w:r>
      <w:r w:rsidRPr="000D2C79">
        <w:t xml:space="preserve"> personalbehovet</w:t>
      </w:r>
      <w:r>
        <w:t xml:space="preserve"> men </w:t>
      </w:r>
      <w:r w:rsidRPr="000D2C79">
        <w:t xml:space="preserve">rekryteringsbehovet </w:t>
      </w:r>
      <w:r>
        <w:t>är konstant de kommande tre</w:t>
      </w:r>
      <w:r w:rsidRPr="000D2C79">
        <w:t xml:space="preserve"> åren</w:t>
      </w:r>
      <w:r>
        <w:t xml:space="preserve"> för att sedan minska.</w:t>
      </w:r>
      <w:r w:rsidRPr="000D2C79">
        <w:t xml:space="preserve"> För at</w:t>
      </w:r>
      <w:r>
        <w:t>t</w:t>
      </w:r>
      <w:r w:rsidRPr="000D2C79">
        <w:t xml:space="preserve"> möta upp det ökade personalbehovet förväntas det att antalet rekryterin</w:t>
      </w:r>
      <w:r w:rsidRPr="000D2C79">
        <w:t>g</w:t>
      </w:r>
      <w:r w:rsidRPr="000D2C79">
        <w:t xml:space="preserve">ar i snitt behöver ligga på 1 350 </w:t>
      </w:r>
      <w:r>
        <w:t xml:space="preserve">personer </w:t>
      </w:r>
      <w:r w:rsidRPr="000D2C79">
        <w:t>per år under prognosp</w:t>
      </w:r>
      <w:r w:rsidRPr="000D2C79">
        <w:t>e</w:t>
      </w:r>
      <w:r w:rsidRPr="000D2C79">
        <w:t>rioden</w:t>
      </w:r>
      <w:r w:rsidRPr="00821E12">
        <w:t>.</w:t>
      </w:r>
      <w:r>
        <w:t xml:space="preserve"> </w:t>
      </w:r>
      <w:r w:rsidRPr="00821E12">
        <w:t>A</w:t>
      </w:r>
      <w:r w:rsidRPr="00F66AC1">
        <w:t xml:space="preserve">v dessa är </w:t>
      </w:r>
      <w:r>
        <w:t xml:space="preserve">800-900 lärare. </w:t>
      </w:r>
      <w:r w:rsidRPr="00E070A2">
        <w:t>Den huvudsakliga anledningen är det ökade antalet grundskolebarn samtidigt med ökade pension</w:t>
      </w:r>
      <w:r w:rsidRPr="00E070A2">
        <w:t>s</w:t>
      </w:r>
      <w:r w:rsidRPr="00E070A2">
        <w:t xml:space="preserve">avgångar. </w:t>
      </w:r>
      <w:r w:rsidRPr="005E4A23">
        <w:t xml:space="preserve">Inom gymnasieskolan förväntas rekryteringsbehovet </w:t>
      </w:r>
      <w:r>
        <w:t xml:space="preserve">vara 200-240 gymnasielärare </w:t>
      </w:r>
      <w:r w:rsidRPr="005E4A23">
        <w:t>per år under hela perioden.</w:t>
      </w:r>
    </w:p>
    <w:p w:rsidR="00A62AC8" w:rsidRPr="0092728B" w:rsidRDefault="00A62AC8" w:rsidP="007845BA">
      <w:pPr>
        <w:rPr>
          <w:highlight w:val="yellow"/>
        </w:rPr>
      </w:pPr>
    </w:p>
    <w:p w:rsidR="00A62AC8" w:rsidRPr="00ED3EB8" w:rsidRDefault="00A62AC8" w:rsidP="007845BA">
      <w:r w:rsidRPr="00ED3EB8">
        <w:t xml:space="preserve">Inom förskolan är det totala rekryteringsbehovet av förskollärare och barnskötare högst i början av prognosperioden då det är de första åren som personalbehovet ökar snabbast. </w:t>
      </w:r>
      <w:r>
        <w:t>R</w:t>
      </w:r>
      <w:r w:rsidRPr="00ED3EB8">
        <w:t>ekryteringsbeh</w:t>
      </w:r>
      <w:r w:rsidRPr="00ED3EB8">
        <w:t>o</w:t>
      </w:r>
      <w:r w:rsidRPr="00ED3EB8">
        <w:t xml:space="preserve">vet av förskollärare och barnskötare förväntas ligga på </w:t>
      </w:r>
      <w:r>
        <w:t>cirka</w:t>
      </w:r>
      <w:r w:rsidRPr="00ED3EB8">
        <w:t xml:space="preserve"> 1 200 </w:t>
      </w:r>
      <w:r>
        <w:t>personer</w:t>
      </w:r>
      <w:r w:rsidRPr="00ED3EB8">
        <w:t xml:space="preserve"> per år i början av prognosperioden för att sedan minska till </w:t>
      </w:r>
      <w:r>
        <w:t>cirka</w:t>
      </w:r>
      <w:r w:rsidRPr="00ED3EB8">
        <w:t xml:space="preserve"> 1 100 </w:t>
      </w:r>
      <w:r>
        <w:t>personer</w:t>
      </w:r>
      <w:r w:rsidRPr="00ED3EB8">
        <w:t xml:space="preserve"> i slutet av perioden. </w:t>
      </w:r>
      <w:r>
        <w:t>För att uppnå kommu</w:t>
      </w:r>
      <w:r>
        <w:t>n</w:t>
      </w:r>
      <w:r>
        <w:t>fullmäktiges mål för andelen förskollärare i verksamheten behöver drygt 500 förskollärare rekryteras årligen. Beslut har precis fattats om att utöka antalet utbildningsplatser. Stockholms Universitet och Södertörns högskola får tillsammans 600 fler utbildningsplatser för förskollärare.</w:t>
      </w:r>
      <w:r>
        <w:rPr>
          <w:rStyle w:val="Fotnotsreferens"/>
        </w:rPr>
        <w:footnoteReference w:id="2"/>
      </w:r>
    </w:p>
    <w:p w:rsidR="00A62AC8" w:rsidRDefault="00A62AC8" w:rsidP="007845BA">
      <w:pPr>
        <w:rPr>
          <w:highlight w:val="yellow"/>
        </w:rPr>
      </w:pPr>
    </w:p>
    <w:p w:rsidR="00A62AC8" w:rsidRPr="00E76B47" w:rsidRDefault="00A62AC8" w:rsidP="007845BA">
      <w:r w:rsidRPr="002D11FD">
        <w:t>Inom äldreomsorg</w:t>
      </w:r>
      <w:r>
        <w:t>en</w:t>
      </w:r>
      <w:r w:rsidRPr="002D11FD">
        <w:t xml:space="preserve"> kommer rekryteringsbehovet till en början av perioden vara c</w:t>
      </w:r>
      <w:r>
        <w:t>irka</w:t>
      </w:r>
      <w:r w:rsidRPr="002D11FD">
        <w:t xml:space="preserve"> </w:t>
      </w:r>
      <w:r>
        <w:t>670 personer</w:t>
      </w:r>
      <w:r w:rsidRPr="002D11FD">
        <w:t xml:space="preserve"> om året och 2022 förväntas beh</w:t>
      </w:r>
      <w:r w:rsidRPr="002D11FD">
        <w:t>o</w:t>
      </w:r>
      <w:r w:rsidRPr="002D11FD">
        <w:t xml:space="preserve">vet ha ökat till drygt </w:t>
      </w:r>
      <w:r>
        <w:t>840 personer</w:t>
      </w:r>
      <w:r w:rsidRPr="002D11FD">
        <w:t xml:space="preserve"> per år. </w:t>
      </w:r>
      <w:r>
        <w:t>Äldreomsorgen kan under</w:t>
      </w:r>
      <w:r w:rsidRPr="00A87D4F">
        <w:t xml:space="preserve"> perioden ställas inför svårigheter att rekrytera kvalificerade meda</w:t>
      </w:r>
      <w:r w:rsidRPr="00A87D4F">
        <w:t>r</w:t>
      </w:r>
      <w:r w:rsidRPr="00A87D4F">
        <w:t>betare. Inom äldreomsorgen finns även ett fortsatt behov av sat</w:t>
      </w:r>
      <w:r w:rsidRPr="00A87D4F">
        <w:t>s</w:t>
      </w:r>
      <w:r w:rsidRPr="00A87D4F">
        <w:lastRenderedPageBreak/>
        <w:t>ningar på grundutbildningar i form av utvalda kurser ur vård- och omsorgsprogrammet.</w:t>
      </w:r>
    </w:p>
    <w:p w:rsidR="00A62AC8" w:rsidRDefault="00A62AC8" w:rsidP="007845BA"/>
    <w:p w:rsidR="00A62AC8" w:rsidRPr="00E76B47" w:rsidRDefault="00A62AC8" w:rsidP="007845BA">
      <w:r w:rsidRPr="00A52C07">
        <w:t xml:space="preserve">Kompetensförsörjning är en strategisk utmaning för </w:t>
      </w:r>
      <w:r>
        <w:t xml:space="preserve">framför allt </w:t>
      </w:r>
      <w:r w:rsidRPr="00A52C07">
        <w:t>skolan och förskolan. Kravet på lärarlegitimation</w:t>
      </w:r>
      <w:r>
        <w:t xml:space="preserve"> </w:t>
      </w:r>
      <w:r w:rsidRPr="00A52C07">
        <w:t>i kombination med stora pensionsavgångar</w:t>
      </w:r>
      <w:r>
        <w:t xml:space="preserve"> de närmaste åren,</w:t>
      </w:r>
      <w:r w:rsidRPr="00A52C07">
        <w:t xml:space="preserve"> kommer sannolikt att medföra</w:t>
      </w:r>
      <w:r>
        <w:t xml:space="preserve"> en brist på legitimerade lärare. Bristen på både lärare och förskollärare ger även </w:t>
      </w:r>
      <w:r w:rsidRPr="003D30AA">
        <w:t xml:space="preserve">en ökad konkurrens mellan olika kommunala och fristående huvudmän </w:t>
      </w:r>
      <w:r>
        <w:t>i länet under hela planperioden och det är därför viktigt att fortsätta arbetet med att stärka Stockholms stad som attraktiv arbetsgivare.</w:t>
      </w:r>
    </w:p>
    <w:p w:rsidR="00A62AC8" w:rsidRPr="00E76B47" w:rsidRDefault="00A62AC8" w:rsidP="007845BA">
      <w:pPr>
        <w:pStyle w:val="Rubrik3"/>
      </w:pPr>
      <w:r w:rsidRPr="00E76B47">
        <w:t xml:space="preserve">Hälsa och sjukfrånvaro </w:t>
      </w:r>
    </w:p>
    <w:p w:rsidR="00A62AC8" w:rsidRDefault="00A62AC8" w:rsidP="007845BA">
      <w:r>
        <w:t>Under perioden 2010–2012 minskade sjukfrånvaron i staden från 5,8 till 5,3 procent. Utvecklingen av sjukfrånvaron har sedan speglat utvecklingen i riket i stort med en ökning till 5,5 procent vid u</w:t>
      </w:r>
      <w:r>
        <w:t>t</w:t>
      </w:r>
      <w:r>
        <w:t>gången av 2013. Ökningen av den korta sjukfrånvaron, dag 2–14, beror främst på att dag 2–7 har ökat. Sjukfrånvaro längre än 14 d</w:t>
      </w:r>
      <w:r>
        <w:t>a</w:t>
      </w:r>
      <w:r>
        <w:t>gar ökade under 2013 efter att ha minskat 2010–2012.</w:t>
      </w:r>
    </w:p>
    <w:p w:rsidR="00A62AC8" w:rsidRDefault="00A62AC8" w:rsidP="007845BA"/>
    <w:p w:rsidR="00A62AC8" w:rsidRDefault="00A62AC8" w:rsidP="007845BA">
      <w:r>
        <w:t>Sjukfrånvaron har ökat mest i ålderskategorierna 30–39 och 60– år i jämförelse med övriga ålderskategorier. Inom de olika verksa</w:t>
      </w:r>
      <w:r>
        <w:t>m</w:t>
      </w:r>
      <w:r>
        <w:t>hetsområdena har sjukfrånvaron ökat mest inom förskola och sko</w:t>
      </w:r>
      <w:r>
        <w:t>l</w:t>
      </w:r>
      <w:r>
        <w:t xml:space="preserve">barnsomsorg. </w:t>
      </w:r>
    </w:p>
    <w:p w:rsidR="00A62AC8" w:rsidRDefault="00A62AC8" w:rsidP="00B7400C">
      <w:pPr>
        <w:pStyle w:val="Rubrik4"/>
      </w:pPr>
      <w:r>
        <w:lastRenderedPageBreak/>
        <w:t>Sjukfrånvaro Stockholms stad totalt</w:t>
      </w:r>
    </w:p>
    <w:p w:rsidR="00A62AC8" w:rsidRDefault="00A62AC8" w:rsidP="00925183">
      <w:pPr>
        <w:ind w:left="-851"/>
      </w:pPr>
      <w:r>
        <w:rPr>
          <w:noProof/>
          <w:lang w:eastAsia="sv-SE"/>
        </w:rPr>
        <w:drawing>
          <wp:inline distT="0" distB="0" distL="0" distR="0" wp14:anchorId="243ED71F" wp14:editId="19CF7AA2">
            <wp:extent cx="4858603" cy="4981433"/>
            <wp:effectExtent l="0" t="0" r="0" b="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62AC8" w:rsidRPr="001F6EC9" w:rsidRDefault="00A62AC8" w:rsidP="007845BA">
      <w:pPr>
        <w:rPr>
          <w:rFonts w:cstheme="minorHAnsi"/>
          <w:sz w:val="20"/>
          <w:szCs w:val="20"/>
        </w:rPr>
      </w:pPr>
      <w:r w:rsidRPr="001F6EC9">
        <w:rPr>
          <w:rFonts w:cstheme="minorHAnsi"/>
          <w:sz w:val="20"/>
          <w:szCs w:val="20"/>
        </w:rPr>
        <w:t xml:space="preserve">Källa: </w:t>
      </w:r>
      <w:r>
        <w:rPr>
          <w:rFonts w:cstheme="minorHAnsi"/>
          <w:sz w:val="20"/>
          <w:szCs w:val="20"/>
        </w:rPr>
        <w:t>LIS</w:t>
      </w:r>
    </w:p>
    <w:p w:rsidR="00A62AC8" w:rsidRDefault="00A62AC8" w:rsidP="004178EF"/>
    <w:p w:rsidR="00A62AC8" w:rsidRDefault="00A62AC8" w:rsidP="000F5B55">
      <w:pPr>
        <w:spacing w:line="0" w:lineRule="auto"/>
      </w:pPr>
    </w:p>
    <w:p w:rsidR="00A62AC8" w:rsidRPr="0082203A" w:rsidRDefault="00A62AC8" w:rsidP="008B19BA">
      <w:pPr>
        <w:spacing w:line="0" w:lineRule="auto"/>
      </w:pPr>
    </w:p>
    <w:p w:rsidR="00A62AC8" w:rsidRPr="001F3A17" w:rsidRDefault="00A62AC8" w:rsidP="0082203A">
      <w:pPr>
        <w:spacing w:line="0" w:lineRule="auto"/>
      </w:pPr>
    </w:p>
    <w:p w:rsidR="00A62AC8" w:rsidRPr="0016522D" w:rsidRDefault="00A62AC8" w:rsidP="001F3A17">
      <w:pPr>
        <w:spacing w:line="0" w:lineRule="auto"/>
      </w:pPr>
    </w:p>
    <w:p w:rsidR="00A62AC8" w:rsidRPr="00655CDD" w:rsidRDefault="00A62AC8" w:rsidP="0016522D">
      <w:pPr>
        <w:spacing w:line="0" w:lineRule="auto"/>
      </w:pPr>
    </w:p>
    <w:p w:rsidR="00F4376A" w:rsidRDefault="00F4376A" w:rsidP="00F4376A">
      <w:pPr>
        <w:pStyle w:val="Rubrik2"/>
      </w:pPr>
      <w:r>
        <w:t>Kommunkoncernens investeringar</w:t>
      </w:r>
    </w:p>
    <w:p w:rsidR="00A62AC8" w:rsidRDefault="00A62AC8" w:rsidP="00B56014">
      <w:r w:rsidRPr="00536BD4">
        <w:t>Vision Stockholm 2030 är en vägledning för stadens nämnder och bolag i vad som är prioriterade områden i den fortsatta planeringen. En viktig förutsättning för att stockholmarna ska kunna bli fler är att nya bostäder och arbetsplatser byggs och att infrastrukturen utvec</w:t>
      </w:r>
      <w:r w:rsidRPr="00536BD4">
        <w:t>k</w:t>
      </w:r>
      <w:r w:rsidRPr="00536BD4">
        <w:t xml:space="preserve">las. </w:t>
      </w:r>
      <w:r>
        <w:t xml:space="preserve">Målet i Stockholms stad är 140 000 nya bostäder till 2030. </w:t>
      </w:r>
      <w:r w:rsidRPr="00536BD4">
        <w:t>Dä</w:t>
      </w:r>
      <w:r w:rsidRPr="00536BD4">
        <w:t>r</w:t>
      </w:r>
      <w:r w:rsidRPr="00536BD4">
        <w:t>till kommer investeringar i gator, parker, idrottshallar, förskolor, skolor, gruppbostäder och äldreboenden. Översiktsplanens strat</w:t>
      </w:r>
      <w:r w:rsidRPr="00536BD4">
        <w:t>e</w:t>
      </w:r>
      <w:r w:rsidRPr="00536BD4">
        <w:t>gier innebär att ett växande Stockholm på många ställen blir tätare och mer sammankopplat.</w:t>
      </w:r>
    </w:p>
    <w:p w:rsidR="00A62AC8" w:rsidRPr="00536BD4" w:rsidRDefault="00A62AC8" w:rsidP="00B56014">
      <w:pPr>
        <w:pStyle w:val="Rubrik3"/>
      </w:pPr>
      <w:r w:rsidRPr="00536BD4">
        <w:t>Investeringsstrategi</w:t>
      </w:r>
    </w:p>
    <w:p w:rsidR="00A62AC8" w:rsidRDefault="00A62AC8" w:rsidP="00B56014">
      <w:r w:rsidRPr="00536BD4">
        <w:t>Kommunfullmäktige har beslutat om en investeringsstrategi för att säkerställa en utbyggnad av staden i enlighet med Vision Stockholm 2030 och som anpassats till att stadens finansiella resurser är b</w:t>
      </w:r>
      <w:r w:rsidRPr="00536BD4">
        <w:t>e</w:t>
      </w:r>
      <w:r w:rsidRPr="00536BD4">
        <w:lastRenderedPageBreak/>
        <w:t>gränsade.</w:t>
      </w:r>
      <w:r>
        <w:t xml:space="preserve"> Ett arbete med att uppdatera stadens investeringsstrategi har påbörjats, bland annat med anledning av kommunfullmäktiges beslut i budget 2014 att höja bostadsmålet till 140 000 bostäder till 2030, stadens bostadsåtagande i samband med tunnelbanans u</w:t>
      </w:r>
      <w:r>
        <w:t>t</w:t>
      </w:r>
      <w:r>
        <w:t>byggnad samt stadens långsiktiga produktionsplan Bostadspotential i Stockholm. I samband med stadens revidering av Vision Stoc</w:t>
      </w:r>
      <w:r>
        <w:t>k</w:t>
      </w:r>
      <w:r>
        <w:t>holm 2030 och uppdaterad översiktsplan kommer investeringsstr</w:t>
      </w:r>
      <w:r>
        <w:t>a</w:t>
      </w:r>
      <w:r>
        <w:t>tegin att utvecklas vidare.</w:t>
      </w:r>
    </w:p>
    <w:p w:rsidR="00A62AC8" w:rsidRDefault="00A62AC8" w:rsidP="00B56014"/>
    <w:p w:rsidR="00A62AC8" w:rsidRDefault="00A62AC8" w:rsidP="00B56014">
      <w:r w:rsidRPr="00536BD4">
        <w:t xml:space="preserve">Då de finansiella resurserna är begränsade </w:t>
      </w:r>
      <w:r>
        <w:t>är det</w:t>
      </w:r>
      <w:r w:rsidRPr="00536BD4">
        <w:t xml:space="preserve"> angeläget att pri</w:t>
      </w:r>
      <w:r w:rsidRPr="00536BD4">
        <w:t>o</w:t>
      </w:r>
      <w:r w:rsidRPr="00536BD4">
        <w:t>ritera mellan stadens framtida investeringsprojekt. Det är viktigt att tidigt, redan vid utredningsbeslut, översiktligt bedöma lönsamhet</w:t>
      </w:r>
      <w:r w:rsidRPr="00536BD4">
        <w:t>s</w:t>
      </w:r>
      <w:r w:rsidRPr="00536BD4">
        <w:t>potentialen i investeringsprojekten.</w:t>
      </w:r>
      <w:r>
        <w:t xml:space="preserve"> En fortsatt inriktning på mar</w:t>
      </w:r>
      <w:r>
        <w:t>k</w:t>
      </w:r>
      <w:r>
        <w:t>försäljning vid bostadsbebyggelse genererar försäljningsinkomster. Staden bör därför sträva efter att realisera de markvärden som ska</w:t>
      </w:r>
      <w:r>
        <w:t>p</w:t>
      </w:r>
      <w:r>
        <w:t xml:space="preserve">as genom planläggning av tidigare oattraktiva områden. </w:t>
      </w:r>
      <w:r w:rsidRPr="00536BD4">
        <w:t>Staden bör prioritera områden för bostadsexploatering där det finns eller plan</w:t>
      </w:r>
      <w:r w:rsidRPr="00536BD4">
        <w:t>e</w:t>
      </w:r>
      <w:r w:rsidRPr="00536BD4">
        <w:t>ras infrastrukturlösningar. Detta innebär god ekonomisk hushål</w:t>
      </w:r>
      <w:r w:rsidRPr="00536BD4">
        <w:t>l</w:t>
      </w:r>
      <w:r w:rsidRPr="00536BD4">
        <w:t>ning, eftersom det blir möjligt att utnyttja redan gjorda investeringar i väg- och ledningsnät, kommunikationer och till viss del även a</w:t>
      </w:r>
      <w:r w:rsidRPr="00536BD4">
        <w:t>n</w:t>
      </w:r>
      <w:r w:rsidRPr="00536BD4">
        <w:t xml:space="preserve">läggningar för social service. </w:t>
      </w:r>
    </w:p>
    <w:p w:rsidR="00A62AC8" w:rsidRPr="00536BD4" w:rsidRDefault="00A62AC8" w:rsidP="00B56014">
      <w:pPr>
        <w:pStyle w:val="Rubrik3"/>
      </w:pPr>
      <w:r w:rsidRPr="00536BD4">
        <w:t>Finansieringsstrategi</w:t>
      </w:r>
    </w:p>
    <w:p w:rsidR="00A62AC8" w:rsidRDefault="00A62AC8" w:rsidP="00E71D37">
      <w:r w:rsidRPr="00536BD4">
        <w:t>Det investeringsutrymme som finns att tillgå och som investering</w:t>
      </w:r>
      <w:r w:rsidRPr="00536BD4">
        <w:t>s</w:t>
      </w:r>
      <w:r w:rsidRPr="00536BD4">
        <w:t>strategin grundar sig på tar sin utgångspunkt i vad det långsiktiga ekonomiska utrymmet medger utan att befintlig verksamhet och andra angelägna behov ska behöva begränsas. Syftet med en fina</w:t>
      </w:r>
      <w:r w:rsidRPr="00536BD4">
        <w:t>n</w:t>
      </w:r>
      <w:r w:rsidRPr="00536BD4">
        <w:t>sieringsstrategi är bl</w:t>
      </w:r>
      <w:r>
        <w:t xml:space="preserve">and </w:t>
      </w:r>
      <w:r w:rsidRPr="00536BD4">
        <w:t>a</w:t>
      </w:r>
      <w:r>
        <w:t>nnat</w:t>
      </w:r>
      <w:r w:rsidRPr="00536BD4">
        <w:t xml:space="preserve"> att ange hur kassaflödet ska styras utifrån en god ekonomisk hushållning</w:t>
      </w:r>
      <w:r>
        <w:t>.</w:t>
      </w:r>
    </w:p>
    <w:p w:rsidR="00A62AC8" w:rsidRDefault="00A62AC8" w:rsidP="00E71D37">
      <w:r>
        <w:t xml:space="preserve"> </w:t>
      </w:r>
    </w:p>
    <w:p w:rsidR="00A62AC8" w:rsidRDefault="00A62AC8" w:rsidP="00B56014">
      <w:r>
        <w:t>En viktig förutsättning för att Stockholm ska kunna genomföra i</w:t>
      </w:r>
      <w:r>
        <w:t>n</w:t>
      </w:r>
      <w:r>
        <w:t>vesteringsplanen med bibehållen finansiell styrka kommer att vara balansen mellan egen finansiering och upplåning. Lönsamma lån</w:t>
      </w:r>
      <w:r>
        <w:t>e</w:t>
      </w:r>
      <w:r>
        <w:t>finansierade investeringar som genererar intäkter som även täcker kostnaderna för avskrivningar och ränta belastar inte resultaträ</w:t>
      </w:r>
      <w:r>
        <w:t>k</w:t>
      </w:r>
      <w:r>
        <w:t>ningen sett över en längre period. Investeringarna och nyupplånin</w:t>
      </w:r>
      <w:r>
        <w:t>g</w:t>
      </w:r>
      <w:r>
        <w:t>en kommer att ha en negativ påverkan på stadens finansiella stäl</w:t>
      </w:r>
      <w:r>
        <w:t>l</w:t>
      </w:r>
      <w:r>
        <w:t>ning och soliditet</w:t>
      </w:r>
      <w:r w:rsidRPr="007551EA">
        <w:t xml:space="preserve">. </w:t>
      </w:r>
    </w:p>
    <w:p w:rsidR="00A62AC8" w:rsidRDefault="00A62AC8" w:rsidP="00B56014"/>
    <w:p w:rsidR="00A62AC8" w:rsidRDefault="00A62AC8" w:rsidP="00B56014">
      <w:r>
        <w:t>Stade</w:t>
      </w:r>
      <w:r w:rsidRPr="007551EA">
        <w:t xml:space="preserve">ns </w:t>
      </w:r>
      <w:r>
        <w:t>kreditbetyg, upplåningskostnad,</w:t>
      </w:r>
      <w:r w:rsidRPr="007551EA">
        <w:t xml:space="preserve"> och på sikt låneutrymme, är beroende av att staden kan prioritera </w:t>
      </w:r>
      <w:r>
        <w:t xml:space="preserve">även </w:t>
      </w:r>
      <w:r w:rsidRPr="007551EA">
        <w:t>bland lönsamma inv</w:t>
      </w:r>
      <w:r w:rsidRPr="007551EA">
        <w:t>e</w:t>
      </w:r>
      <w:r w:rsidRPr="007551EA">
        <w:t>steringar.</w:t>
      </w:r>
    </w:p>
    <w:p w:rsidR="00A62AC8" w:rsidRPr="006F3F86" w:rsidRDefault="00A62AC8" w:rsidP="00B56014">
      <w:pPr>
        <w:pStyle w:val="Rubrik3"/>
      </w:pPr>
      <w:r w:rsidRPr="006F3F86">
        <w:lastRenderedPageBreak/>
        <w:t>Nämndernas investeringsplaner</w:t>
      </w:r>
    </w:p>
    <w:p w:rsidR="00A62AC8" w:rsidRDefault="00A62AC8" w:rsidP="00306D93">
      <w:r>
        <w:t xml:space="preserve">Underlag från nämnderna för kommande år visar en fortsatt hög investeringstakt. Planeringsnivåerna för 2015–2019 ligger kvar på ungefär samma nivå som i planeringsunderlagen från föregående år. </w:t>
      </w:r>
      <w:r w:rsidRPr="00536BD4">
        <w:t>Ur sammanställningen nedan kan utläsas att nämndernas invest</w:t>
      </w:r>
      <w:r w:rsidRPr="00536BD4">
        <w:t>e</w:t>
      </w:r>
      <w:r w:rsidRPr="00536BD4">
        <w:t xml:space="preserve">ringsplaner sammantaget överstiger </w:t>
      </w:r>
      <w:r>
        <w:t xml:space="preserve">budgeterade nivåer med </w:t>
      </w:r>
    </w:p>
    <w:p w:rsidR="00A62AC8" w:rsidRDefault="00A62AC8" w:rsidP="00306D93">
      <w:r>
        <w:t>1,0–2,0 </w:t>
      </w:r>
      <w:r w:rsidRPr="00536BD4">
        <w:t>mdkr per år, vilket tydliggör behovet av ytterligare priorit</w:t>
      </w:r>
      <w:r w:rsidRPr="00536BD4">
        <w:t>e</w:t>
      </w:r>
      <w:r w:rsidRPr="00536BD4">
        <w:t>ring bland de investeringsprojekt som ännu inte erhållit genomf</w:t>
      </w:r>
      <w:r w:rsidRPr="00536BD4">
        <w:t>ö</w:t>
      </w:r>
      <w:r w:rsidRPr="00536BD4">
        <w:t xml:space="preserve">randebeslut. </w:t>
      </w:r>
      <w:r>
        <w:t>Avvikelsen förklaras i stor utsträckning av att fasti</w:t>
      </w:r>
      <w:r>
        <w:t>g</w:t>
      </w:r>
      <w:r>
        <w:t>hetsnämndens investeringsplanering innehåller flera stora och ett stort antal mindre planeringsprojekt utanför budgetram. Trafik- och renhållningsnämndens investeringsplanering innehåller också plan</w:t>
      </w:r>
      <w:r>
        <w:t>e</w:t>
      </w:r>
      <w:r>
        <w:t xml:space="preserve">ringsprojekt utanför budgetram, med störst volymer åren </w:t>
      </w:r>
    </w:p>
    <w:p w:rsidR="00A62AC8" w:rsidRDefault="00A62AC8" w:rsidP="00A62AC8">
      <w:pPr>
        <w:rPr>
          <w:rFonts w:asciiTheme="majorHAnsi" w:eastAsiaTheme="majorEastAsia" w:hAnsiTheme="majorHAnsi" w:cstheme="majorBidi"/>
          <w:b/>
          <w:bCs/>
          <w:iCs/>
          <w:sz w:val="22"/>
        </w:rPr>
      </w:pPr>
      <w:r>
        <w:t>2017–2018.</w:t>
      </w:r>
    </w:p>
    <w:p w:rsidR="00A62AC8" w:rsidRPr="00F0165C" w:rsidRDefault="00A62AC8" w:rsidP="00B56014">
      <w:pPr>
        <w:pStyle w:val="Rubrik4"/>
        <w:rPr>
          <w:rFonts w:cstheme="majorHAnsi"/>
        </w:rPr>
      </w:pPr>
      <w:r w:rsidRPr="00536BD4">
        <w:t>Sammanställning av nettoinvesteringar från nämndernas bu</w:t>
      </w:r>
      <w:r w:rsidRPr="00536BD4">
        <w:t>d</w:t>
      </w:r>
      <w:r w:rsidRPr="00536BD4">
        <w:t>getunderlag</w:t>
      </w:r>
    </w:p>
    <w:tbl>
      <w:tblPr>
        <w:tblW w:w="7560" w:type="dxa"/>
        <w:tblInd w:w="-781" w:type="dxa"/>
        <w:tblCellMar>
          <w:left w:w="70" w:type="dxa"/>
          <w:right w:w="70" w:type="dxa"/>
        </w:tblCellMar>
        <w:tblLook w:val="04A0" w:firstRow="1" w:lastRow="0" w:firstColumn="1" w:lastColumn="0" w:noHBand="0" w:noVBand="1"/>
      </w:tblPr>
      <w:tblGrid>
        <w:gridCol w:w="3460"/>
        <w:gridCol w:w="820"/>
        <w:gridCol w:w="820"/>
        <w:gridCol w:w="820"/>
        <w:gridCol w:w="820"/>
        <w:gridCol w:w="820"/>
      </w:tblGrid>
      <w:tr w:rsidR="00A62AC8" w:rsidRPr="00F0165C" w:rsidTr="00AA5256">
        <w:trPr>
          <w:trHeight w:val="300"/>
        </w:trPr>
        <w:tc>
          <w:tcPr>
            <w:tcW w:w="3460" w:type="dxa"/>
            <w:tcBorders>
              <w:top w:val="single" w:sz="8" w:space="0" w:color="auto"/>
              <w:left w:val="single" w:sz="8" w:space="0" w:color="auto"/>
              <w:bottom w:val="single" w:sz="8" w:space="0" w:color="auto"/>
              <w:right w:val="single" w:sz="4" w:space="0" w:color="auto"/>
            </w:tcBorders>
            <w:shd w:val="clear" w:color="auto" w:fill="auto"/>
            <w:hideMark/>
          </w:tcPr>
          <w:p w:rsidR="00A62AC8" w:rsidRPr="00F0165C" w:rsidRDefault="00A62AC8" w:rsidP="00F0165C">
            <w:pPr>
              <w:rPr>
                <w:rFonts w:asciiTheme="majorHAnsi" w:hAnsiTheme="majorHAnsi" w:cstheme="majorHAnsi"/>
                <w:sz w:val="22"/>
              </w:rPr>
            </w:pPr>
            <w:r w:rsidRPr="00F0165C">
              <w:rPr>
                <w:rFonts w:asciiTheme="majorHAnsi" w:hAnsiTheme="majorHAnsi" w:cstheme="majorHAnsi"/>
                <w:sz w:val="22"/>
              </w:rPr>
              <w:t>År, mnkr</w:t>
            </w:r>
          </w:p>
        </w:tc>
        <w:tc>
          <w:tcPr>
            <w:tcW w:w="820" w:type="dxa"/>
            <w:tcBorders>
              <w:top w:val="single" w:sz="8" w:space="0" w:color="auto"/>
              <w:left w:val="nil"/>
              <w:bottom w:val="single" w:sz="8"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rPr>
            </w:pPr>
            <w:r w:rsidRPr="00F0165C">
              <w:rPr>
                <w:rFonts w:asciiTheme="majorHAnsi" w:hAnsiTheme="majorHAnsi" w:cstheme="majorHAnsi"/>
                <w:sz w:val="22"/>
              </w:rPr>
              <w:t>2015</w:t>
            </w:r>
          </w:p>
        </w:tc>
        <w:tc>
          <w:tcPr>
            <w:tcW w:w="820" w:type="dxa"/>
            <w:tcBorders>
              <w:top w:val="single" w:sz="8" w:space="0" w:color="auto"/>
              <w:left w:val="nil"/>
              <w:bottom w:val="single" w:sz="8"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rPr>
            </w:pPr>
            <w:r w:rsidRPr="00F0165C">
              <w:rPr>
                <w:rFonts w:asciiTheme="majorHAnsi" w:hAnsiTheme="majorHAnsi" w:cstheme="majorHAnsi"/>
                <w:sz w:val="22"/>
              </w:rPr>
              <w:t>2016</w:t>
            </w:r>
          </w:p>
        </w:tc>
        <w:tc>
          <w:tcPr>
            <w:tcW w:w="820" w:type="dxa"/>
            <w:tcBorders>
              <w:top w:val="single" w:sz="8" w:space="0" w:color="auto"/>
              <w:left w:val="nil"/>
              <w:bottom w:val="single" w:sz="8"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rPr>
            </w:pPr>
            <w:r w:rsidRPr="00F0165C">
              <w:rPr>
                <w:rFonts w:asciiTheme="majorHAnsi" w:hAnsiTheme="majorHAnsi" w:cstheme="majorHAnsi"/>
                <w:sz w:val="22"/>
              </w:rPr>
              <w:t>2017</w:t>
            </w:r>
          </w:p>
        </w:tc>
        <w:tc>
          <w:tcPr>
            <w:tcW w:w="820" w:type="dxa"/>
            <w:tcBorders>
              <w:top w:val="single" w:sz="8" w:space="0" w:color="auto"/>
              <w:left w:val="nil"/>
              <w:bottom w:val="single" w:sz="8"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rPr>
            </w:pPr>
            <w:r w:rsidRPr="00F0165C">
              <w:rPr>
                <w:rFonts w:asciiTheme="majorHAnsi" w:hAnsiTheme="majorHAnsi" w:cstheme="majorHAnsi"/>
                <w:sz w:val="22"/>
              </w:rPr>
              <w:t>2018</w:t>
            </w:r>
          </w:p>
        </w:tc>
        <w:tc>
          <w:tcPr>
            <w:tcW w:w="820" w:type="dxa"/>
            <w:tcBorders>
              <w:top w:val="single" w:sz="8" w:space="0" w:color="auto"/>
              <w:left w:val="nil"/>
              <w:bottom w:val="single" w:sz="8"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rPr>
            </w:pPr>
            <w:r w:rsidRPr="00F0165C">
              <w:rPr>
                <w:rFonts w:asciiTheme="majorHAnsi" w:hAnsiTheme="majorHAnsi" w:cstheme="majorHAnsi"/>
                <w:sz w:val="22"/>
              </w:rPr>
              <w:t>2019</w:t>
            </w:r>
          </w:p>
        </w:tc>
      </w:tr>
      <w:tr w:rsidR="00A62AC8" w:rsidRPr="006C1FCC" w:rsidTr="006939D5">
        <w:trPr>
          <w:trHeight w:val="319"/>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Genomförandeprojekt</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3 537</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3 750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2 883</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2 999</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1 007</w:t>
            </w:r>
          </w:p>
        </w:tc>
      </w:tr>
      <w:tr w:rsidR="00A62AC8" w:rsidRPr="006C1FCC" w:rsidTr="006939D5">
        <w:trPr>
          <w:trHeight w:val="319"/>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Planeringsprojekt</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3 305</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4 142</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4 085</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3 024</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2 630</w:t>
            </w:r>
          </w:p>
        </w:tc>
      </w:tr>
      <w:tr w:rsidR="00A62AC8" w:rsidRPr="006C1FCC" w:rsidTr="006939D5">
        <w:trPr>
          <w:trHeight w:val="319"/>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Planeringsprojekt utanför bu</w:t>
            </w:r>
            <w:r w:rsidRPr="00F0165C">
              <w:rPr>
                <w:rFonts w:asciiTheme="majorHAnsi" w:hAnsiTheme="majorHAnsi" w:cstheme="majorHAnsi"/>
                <w:color w:val="000000"/>
                <w:sz w:val="22"/>
                <w:szCs w:val="22"/>
              </w:rPr>
              <w:t>d</w:t>
            </w:r>
            <w:r w:rsidRPr="00F0165C">
              <w:rPr>
                <w:rFonts w:asciiTheme="majorHAnsi" w:hAnsiTheme="majorHAnsi" w:cstheme="majorHAnsi"/>
                <w:color w:val="000000"/>
                <w:sz w:val="22"/>
                <w:szCs w:val="22"/>
              </w:rPr>
              <w:t>getram</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770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1 498</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2 044</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1 595</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371</w:t>
            </w:r>
          </w:p>
        </w:tc>
      </w:tr>
      <w:tr w:rsidR="00A62AC8" w:rsidRPr="006C1FCC" w:rsidTr="006939D5">
        <w:trPr>
          <w:trHeight w:val="319"/>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Exploatering (generell justering)</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-878</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-1 903</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-1 401</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-1 085</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1 332</w:t>
            </w:r>
          </w:p>
        </w:tc>
      </w:tr>
      <w:tr w:rsidR="00A62AC8" w:rsidRPr="006C1FCC" w:rsidTr="006939D5">
        <w:trPr>
          <w:trHeight w:val="319"/>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Exploateringsinkomster</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-420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-530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-530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-530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-530</w:t>
            </w:r>
          </w:p>
        </w:tc>
      </w:tr>
      <w:tr w:rsidR="00A62AC8" w:rsidRPr="006C1FCC" w:rsidTr="006939D5">
        <w:trPr>
          <w:trHeight w:val="319"/>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Stadsmiljö</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98</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100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101</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139</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56</w:t>
            </w:r>
          </w:p>
        </w:tc>
      </w:tr>
      <w:tr w:rsidR="00A62AC8" w:rsidRPr="006C1FCC" w:rsidTr="006939D5">
        <w:trPr>
          <w:trHeight w:val="319"/>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Inventarier</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125</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121</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111</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109</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103</w:t>
            </w:r>
          </w:p>
        </w:tc>
      </w:tr>
      <w:tr w:rsidR="00A62AC8" w:rsidRPr="006C1FCC" w:rsidTr="006939D5">
        <w:trPr>
          <w:trHeight w:val="319"/>
        </w:trPr>
        <w:tc>
          <w:tcPr>
            <w:tcW w:w="3460" w:type="dxa"/>
            <w:tcBorders>
              <w:top w:val="nil"/>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 xml:space="preserve">Central medelsreserv 4 </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300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300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300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300</w:t>
            </w:r>
          </w:p>
        </w:tc>
        <w:tc>
          <w:tcPr>
            <w:tcW w:w="820" w:type="dxa"/>
            <w:tcBorders>
              <w:top w:val="nil"/>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300</w:t>
            </w:r>
          </w:p>
        </w:tc>
      </w:tr>
      <w:tr w:rsidR="00A62AC8" w:rsidRPr="006C1FCC" w:rsidTr="006939D5">
        <w:trPr>
          <w:trHeight w:val="360"/>
        </w:trPr>
        <w:tc>
          <w:tcPr>
            <w:tcW w:w="3460" w:type="dxa"/>
            <w:tcBorders>
              <w:top w:val="double" w:sz="6" w:space="0" w:color="auto"/>
              <w:left w:val="single" w:sz="8" w:space="0" w:color="auto"/>
              <w:bottom w:val="single" w:sz="4"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b/>
                <w:bCs/>
                <w:color w:val="000000"/>
                <w:sz w:val="22"/>
                <w:szCs w:val="22"/>
              </w:rPr>
            </w:pPr>
            <w:r w:rsidRPr="00F0165C">
              <w:rPr>
                <w:rFonts w:asciiTheme="majorHAnsi" w:hAnsiTheme="majorHAnsi" w:cstheme="majorHAnsi"/>
                <w:b/>
                <w:bCs/>
                <w:color w:val="000000"/>
                <w:sz w:val="22"/>
                <w:szCs w:val="22"/>
              </w:rPr>
              <w:t>Totalt investeringar</w:t>
            </w:r>
          </w:p>
        </w:tc>
        <w:tc>
          <w:tcPr>
            <w:tcW w:w="820" w:type="dxa"/>
            <w:tcBorders>
              <w:top w:val="double" w:sz="6" w:space="0" w:color="auto"/>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b/>
                <w:bCs/>
                <w:color w:val="000000"/>
                <w:sz w:val="22"/>
                <w:szCs w:val="22"/>
              </w:rPr>
            </w:pPr>
            <w:r w:rsidRPr="00F0165C">
              <w:rPr>
                <w:rFonts w:asciiTheme="majorHAnsi" w:hAnsiTheme="majorHAnsi" w:cstheme="majorHAnsi"/>
                <w:b/>
                <w:bCs/>
                <w:color w:val="000000"/>
                <w:sz w:val="22"/>
                <w:szCs w:val="22"/>
              </w:rPr>
              <w:t>6 837</w:t>
            </w:r>
          </w:p>
        </w:tc>
        <w:tc>
          <w:tcPr>
            <w:tcW w:w="820" w:type="dxa"/>
            <w:tcBorders>
              <w:top w:val="double" w:sz="6" w:space="0" w:color="auto"/>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b/>
                <w:bCs/>
                <w:color w:val="000000"/>
                <w:sz w:val="22"/>
                <w:szCs w:val="22"/>
              </w:rPr>
            </w:pPr>
            <w:r w:rsidRPr="00F0165C">
              <w:rPr>
                <w:rFonts w:asciiTheme="majorHAnsi" w:hAnsiTheme="majorHAnsi" w:cstheme="majorHAnsi"/>
                <w:b/>
                <w:bCs/>
                <w:color w:val="000000"/>
                <w:sz w:val="22"/>
                <w:szCs w:val="22"/>
              </w:rPr>
              <w:t>7 478</w:t>
            </w:r>
          </w:p>
        </w:tc>
        <w:tc>
          <w:tcPr>
            <w:tcW w:w="820" w:type="dxa"/>
            <w:tcBorders>
              <w:top w:val="double" w:sz="6" w:space="0" w:color="auto"/>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b/>
                <w:bCs/>
                <w:color w:val="000000"/>
                <w:sz w:val="22"/>
                <w:szCs w:val="22"/>
              </w:rPr>
            </w:pPr>
            <w:r w:rsidRPr="00F0165C">
              <w:rPr>
                <w:rFonts w:asciiTheme="majorHAnsi" w:hAnsiTheme="majorHAnsi" w:cstheme="majorHAnsi"/>
                <w:b/>
                <w:bCs/>
                <w:color w:val="000000"/>
                <w:sz w:val="22"/>
                <w:szCs w:val="22"/>
              </w:rPr>
              <w:t>7 594</w:t>
            </w:r>
          </w:p>
        </w:tc>
        <w:tc>
          <w:tcPr>
            <w:tcW w:w="820" w:type="dxa"/>
            <w:tcBorders>
              <w:top w:val="double" w:sz="6" w:space="0" w:color="auto"/>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b/>
                <w:bCs/>
                <w:color w:val="000000"/>
                <w:sz w:val="22"/>
                <w:szCs w:val="22"/>
              </w:rPr>
            </w:pPr>
            <w:r w:rsidRPr="00F0165C">
              <w:rPr>
                <w:rFonts w:asciiTheme="majorHAnsi" w:hAnsiTheme="majorHAnsi" w:cstheme="majorHAnsi"/>
                <w:b/>
                <w:bCs/>
                <w:color w:val="000000"/>
                <w:sz w:val="22"/>
                <w:szCs w:val="22"/>
              </w:rPr>
              <w:t>6 551</w:t>
            </w:r>
          </w:p>
        </w:tc>
        <w:tc>
          <w:tcPr>
            <w:tcW w:w="820" w:type="dxa"/>
            <w:tcBorders>
              <w:top w:val="double" w:sz="6" w:space="0" w:color="auto"/>
              <w:left w:val="nil"/>
              <w:bottom w:val="single" w:sz="4"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b/>
                <w:bCs/>
                <w:color w:val="000000"/>
                <w:sz w:val="22"/>
                <w:szCs w:val="22"/>
              </w:rPr>
            </w:pPr>
            <w:r w:rsidRPr="00F0165C">
              <w:rPr>
                <w:rFonts w:asciiTheme="majorHAnsi" w:hAnsiTheme="majorHAnsi" w:cstheme="majorHAnsi"/>
                <w:b/>
                <w:bCs/>
                <w:color w:val="000000"/>
                <w:sz w:val="22"/>
                <w:szCs w:val="22"/>
              </w:rPr>
              <w:t>5 269</w:t>
            </w:r>
          </w:p>
        </w:tc>
      </w:tr>
      <w:tr w:rsidR="00A62AC8" w:rsidRPr="006C1FCC" w:rsidTr="006939D5">
        <w:trPr>
          <w:trHeight w:val="319"/>
        </w:trPr>
        <w:tc>
          <w:tcPr>
            <w:tcW w:w="3460" w:type="dxa"/>
            <w:tcBorders>
              <w:top w:val="nil"/>
              <w:left w:val="single" w:sz="8" w:space="0" w:color="auto"/>
              <w:bottom w:val="single" w:sz="8" w:space="0" w:color="auto"/>
              <w:right w:val="single" w:sz="4" w:space="0" w:color="auto"/>
            </w:tcBorders>
            <w:shd w:val="clear" w:color="auto" w:fill="auto"/>
            <w:vAlign w:val="bottom"/>
            <w:hideMark/>
          </w:tcPr>
          <w:p w:rsidR="00A62AC8" w:rsidRPr="00F0165C" w:rsidRDefault="00A62AC8" w:rsidP="006939D5">
            <w:pPr>
              <w:spacing w:line="240" w:lineRule="auto"/>
              <w:rPr>
                <w:rFonts w:asciiTheme="majorHAnsi" w:hAnsiTheme="majorHAnsi" w:cstheme="majorHAnsi"/>
                <w:color w:val="000000"/>
                <w:sz w:val="22"/>
                <w:szCs w:val="22"/>
              </w:rPr>
            </w:pPr>
            <w:r w:rsidRPr="00F0165C">
              <w:rPr>
                <w:rFonts w:asciiTheme="majorHAnsi" w:hAnsiTheme="majorHAnsi" w:cstheme="majorHAnsi"/>
                <w:color w:val="000000"/>
                <w:sz w:val="22"/>
                <w:szCs w:val="22"/>
              </w:rPr>
              <w:t>Investeringsplan enligt budget 2014</w:t>
            </w:r>
          </w:p>
        </w:tc>
        <w:tc>
          <w:tcPr>
            <w:tcW w:w="820" w:type="dxa"/>
            <w:tcBorders>
              <w:top w:val="nil"/>
              <w:left w:val="nil"/>
              <w:bottom w:val="single" w:sz="8"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5 590</w:t>
            </w:r>
          </w:p>
        </w:tc>
        <w:tc>
          <w:tcPr>
            <w:tcW w:w="820" w:type="dxa"/>
            <w:tcBorders>
              <w:top w:val="nil"/>
              <w:left w:val="nil"/>
              <w:bottom w:val="single" w:sz="8"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6 104</w:t>
            </w:r>
          </w:p>
        </w:tc>
        <w:tc>
          <w:tcPr>
            <w:tcW w:w="820" w:type="dxa"/>
            <w:tcBorders>
              <w:top w:val="nil"/>
              <w:left w:val="nil"/>
              <w:bottom w:val="single" w:sz="8"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5 475</w:t>
            </w:r>
          </w:p>
        </w:tc>
        <w:tc>
          <w:tcPr>
            <w:tcW w:w="820" w:type="dxa"/>
            <w:tcBorders>
              <w:top w:val="nil"/>
              <w:left w:val="nil"/>
              <w:bottom w:val="single" w:sz="8"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4 838</w:t>
            </w:r>
          </w:p>
        </w:tc>
        <w:tc>
          <w:tcPr>
            <w:tcW w:w="820" w:type="dxa"/>
            <w:tcBorders>
              <w:top w:val="nil"/>
              <w:left w:val="nil"/>
              <w:bottom w:val="single" w:sz="8" w:space="0" w:color="auto"/>
              <w:right w:val="single" w:sz="4" w:space="0" w:color="auto"/>
            </w:tcBorders>
            <w:shd w:val="clear" w:color="auto" w:fill="auto"/>
            <w:vAlign w:val="bottom"/>
            <w:hideMark/>
          </w:tcPr>
          <w:p w:rsidR="00A62AC8" w:rsidRPr="00F0165C" w:rsidRDefault="00A62AC8" w:rsidP="006939D5">
            <w:pPr>
              <w:spacing w:line="240" w:lineRule="auto"/>
              <w:jc w:val="right"/>
              <w:rPr>
                <w:rFonts w:asciiTheme="majorHAnsi" w:hAnsiTheme="majorHAnsi" w:cstheme="majorHAnsi"/>
                <w:color w:val="000000"/>
                <w:sz w:val="22"/>
                <w:szCs w:val="22"/>
              </w:rPr>
            </w:pPr>
            <w:r w:rsidRPr="00F0165C">
              <w:rPr>
                <w:rFonts w:asciiTheme="majorHAnsi" w:hAnsiTheme="majorHAnsi" w:cstheme="majorHAnsi"/>
                <w:color w:val="000000"/>
                <w:sz w:val="22"/>
                <w:szCs w:val="22"/>
              </w:rPr>
              <w:t> </w:t>
            </w:r>
          </w:p>
        </w:tc>
      </w:tr>
    </w:tbl>
    <w:p w:rsidR="00A62AC8" w:rsidRDefault="00A62AC8" w:rsidP="00B56014"/>
    <w:p w:rsidR="00A62AC8" w:rsidRDefault="00A62AC8" w:rsidP="00B56014">
      <w:r>
        <w:t>Exploateringsnämnden bedömer att investeringsnivån 2015 behöver uppgå till 3 400,0 mnkr och till 3 600,0 mnkr per år under perioden 2016–2019 för att nämnden ska kunna uppnå kommunfullmäktiges mål om att planera för minst 140 000 bostäder fram till 2030. Även efter 2019 behöver investeringsnivån vara fortsatt hög. Med en for</w:t>
      </w:r>
      <w:r>
        <w:t>t</w:t>
      </w:r>
      <w:r>
        <w:t>satt inriktning på lönsamhet och markförsäljning bedöms exploat</w:t>
      </w:r>
      <w:r>
        <w:t>e</w:t>
      </w:r>
      <w:r>
        <w:t>ringsinkomsterna uppgå till betydande belopp under planeringsp</w:t>
      </w:r>
      <w:r>
        <w:t>e</w:t>
      </w:r>
      <w:r>
        <w:t>rioden. Nämnden bedömer att inkomsterna från markförsäljningar i samband med exploatering kan komma att uppgå till mellan 2,7 och 4,7 mdkr under perioden 2015–2019. Nämnden räknar med att kunna finansiera cirka 80 procent av investeringsvolymen med fö</w:t>
      </w:r>
      <w:r>
        <w:t>r</w:t>
      </w:r>
      <w:r>
        <w:t>säljningsinkomster under 2015–2016. Senare under planeringsp</w:t>
      </w:r>
      <w:r>
        <w:t>e</w:t>
      </w:r>
      <w:r>
        <w:t xml:space="preserve">rioden bedömer nämnden att försäljningsinkomsterna ska kunna finansiera hela investeringsramen. </w:t>
      </w:r>
    </w:p>
    <w:p w:rsidR="00A62AC8" w:rsidRDefault="00A62AC8" w:rsidP="00B56014"/>
    <w:p w:rsidR="00A62AC8" w:rsidRDefault="00A62AC8" w:rsidP="00B56014">
      <w:r w:rsidRPr="00536BD4">
        <w:t>I takt med att stadens infrastruktur blir äldre ökar behovet av rei</w:t>
      </w:r>
      <w:r w:rsidRPr="00536BD4">
        <w:t>n</w:t>
      </w:r>
      <w:r w:rsidRPr="00536BD4">
        <w:t xml:space="preserve">vesteringar. </w:t>
      </w:r>
      <w:r>
        <w:t>F</w:t>
      </w:r>
      <w:r w:rsidRPr="00536BD4">
        <w:t>ör att skydda stadens befintliga anläggning</w:t>
      </w:r>
      <w:r w:rsidRPr="002D6A51">
        <w:t>ar och d</w:t>
      </w:r>
      <w:r w:rsidRPr="002D6A51">
        <w:t>e</w:t>
      </w:r>
      <w:r w:rsidRPr="002D6A51">
        <w:t>ras funktion</w:t>
      </w:r>
      <w:r w:rsidRPr="00536BD4">
        <w:t xml:space="preserve"> planerar </w:t>
      </w:r>
      <w:r>
        <w:t>trafik- och renhållningsnämnden</w:t>
      </w:r>
      <w:r w:rsidRPr="00536BD4">
        <w:t xml:space="preserve"> att </w:t>
      </w:r>
      <w:r>
        <w:t>öka rei</w:t>
      </w:r>
      <w:r>
        <w:t>n</w:t>
      </w:r>
      <w:r>
        <w:t>vesteringarna</w:t>
      </w:r>
      <w:r w:rsidRPr="00536BD4">
        <w:t xml:space="preserve"> och dera</w:t>
      </w:r>
      <w:r>
        <w:t>s andel av investeringsbudgeten. Kommu</w:t>
      </w:r>
      <w:r>
        <w:t>n</w:t>
      </w:r>
      <w:r>
        <w:t>fullmäktige har beslutat om flera reinvesteringsprogram för bland annat gatuytor, trafiksignaler, belysning och mindre broar. Reinv</w:t>
      </w:r>
      <w:r>
        <w:t>e</w:t>
      </w:r>
      <w:r>
        <w:t>steringsprogrammens andel av nämndens långsiktiga investering</w:t>
      </w:r>
      <w:r>
        <w:t>s</w:t>
      </w:r>
      <w:r>
        <w:t>budget om 680–690 mnkr per år planeras öka från cirka 30 procent 2015 till cirka 50 procent 2018. Nämndens</w:t>
      </w:r>
      <w:r w:rsidRPr="002D6A51">
        <w:t xml:space="preserve"> föreslagna prioriteringar visar att </w:t>
      </w:r>
      <w:r>
        <w:t>större reinvesteringsprojekt, utöver reinvesteringspr</w:t>
      </w:r>
      <w:r>
        <w:t>o</w:t>
      </w:r>
      <w:r>
        <w:t xml:space="preserve">grammen, </w:t>
      </w:r>
      <w:r w:rsidRPr="00F400A1">
        <w:t xml:space="preserve">endast kan genomföras om investeringsramen utökas. </w:t>
      </w:r>
      <w:r>
        <w:t>Ny bro vid Västberga allé, förstärkning av Kungsgatan och även den pågående renoveringen av Sergels torg är exempel på högt priorit</w:t>
      </w:r>
      <w:r>
        <w:t>e</w:t>
      </w:r>
      <w:r>
        <w:t xml:space="preserve">rade projekt som inte helt planerats inom ram. </w:t>
      </w:r>
    </w:p>
    <w:p w:rsidR="00A62AC8" w:rsidRDefault="00A62AC8" w:rsidP="00B56014"/>
    <w:p w:rsidR="00A62AC8" w:rsidRDefault="00A62AC8" w:rsidP="00B56014">
      <w:r>
        <w:t>Re</w:t>
      </w:r>
      <w:r w:rsidRPr="00536BD4">
        <w:t>investering</w:t>
      </w:r>
      <w:r>
        <w:t xml:space="preserve">ar </w:t>
      </w:r>
      <w:r w:rsidRPr="00536BD4">
        <w:t xml:space="preserve">i stadens fastigheter och idrottsanläggningar </w:t>
      </w:r>
      <w:r>
        <w:t>tar en stor del av fastighetsnämndens långsiktiga ram om 380,0 mnkr per år i anspråk</w:t>
      </w:r>
      <w:r w:rsidRPr="00536BD4">
        <w:t xml:space="preserve">. </w:t>
      </w:r>
      <w:r>
        <w:t>Nämndens investeringsprioriteringar visar att nybyg</w:t>
      </w:r>
      <w:r>
        <w:t>g</w:t>
      </w:r>
      <w:r>
        <w:t>nadsprojekt och projekt som innehåller en stor del verksamhetsu</w:t>
      </w:r>
      <w:r>
        <w:t>t</w:t>
      </w:r>
      <w:r>
        <w:t xml:space="preserve">veckling endast kan genomföras om investeringsramen utökas. Det gäller till exempel skapandet av en internationell scen i Gasklockan, nybyggnation av förvaltningsbyggnad i Tensta och utveckling och ombyggnad av Östermalmshallen. Fastighetsnämnden utreder f.n. ett antal större investeringsprojekt som inte bedöms inrymmas i nämndens långsiktiga ram. Utredningarna omfattar </w:t>
      </w:r>
      <w:r w:rsidRPr="00536BD4">
        <w:t xml:space="preserve">investeringar i </w:t>
      </w:r>
      <w:r>
        <w:t xml:space="preserve">verksamhetsfastigheter för kultur- och idrottsändamål, men </w:t>
      </w:r>
      <w:r w:rsidRPr="00536BD4">
        <w:t>även</w:t>
      </w:r>
      <w:r>
        <w:t xml:space="preserve"> </w:t>
      </w:r>
      <w:r w:rsidRPr="00536BD4">
        <w:t>projekt som beräknas bli lönsamma för staden.</w:t>
      </w:r>
      <w:r>
        <w:t xml:space="preserve"> Till skillnad från exploateringsnämndens investeringsram, som i hög grad bedöms kunna finansieras av försäljningsinkomster, kräver fastighetsnäm</w:t>
      </w:r>
      <w:r>
        <w:t>n</w:t>
      </w:r>
      <w:r>
        <w:t xml:space="preserve">dens investeringsram finansiering, även för de investeringsprojekt som på sikt </w:t>
      </w:r>
      <w:r w:rsidRPr="00536BD4">
        <w:t xml:space="preserve">beräknas bli </w:t>
      </w:r>
      <w:r>
        <w:t xml:space="preserve">lönsamma. </w:t>
      </w:r>
    </w:p>
    <w:p w:rsidR="00A62AC8" w:rsidRPr="00536BD4" w:rsidRDefault="00A62AC8" w:rsidP="00B56014">
      <w:pPr>
        <w:pStyle w:val="Rubrik3"/>
      </w:pPr>
      <w:r w:rsidRPr="0022697A">
        <w:t>Medfinansiering</w:t>
      </w:r>
    </w:p>
    <w:p w:rsidR="00A62AC8" w:rsidRDefault="00A62AC8" w:rsidP="00B56014">
      <w:r>
        <w:t>För att kunna genomföra angelägna satsningar på väg- och spårtr</w:t>
      </w:r>
      <w:r>
        <w:t>a</w:t>
      </w:r>
      <w:r>
        <w:t>fiken i Stockholm är staden medfinansiär i ett antal stora statliga infrastrukturprojekt. De projekt som pågår är Norra Länken, Cit</w:t>
      </w:r>
      <w:r>
        <w:t>y</w:t>
      </w:r>
      <w:r>
        <w:t>banan, Trafikplats Lindhagensgatan samt överdäckning av E18 vid Tensta och Rinkeby. Under åren 2015–2017 kommer staden att göra utbetalningar till projekten med cirka 100–400 mnkr per år.</w:t>
      </w:r>
    </w:p>
    <w:p w:rsidR="00A62AC8" w:rsidRDefault="00A62AC8" w:rsidP="00B56014"/>
    <w:p w:rsidR="00A62AC8" w:rsidRDefault="00A62AC8" w:rsidP="00B56014">
      <w:r>
        <w:t>Stockholmsförhandlingen gällande utbyggnad av tunnelbanan slu</w:t>
      </w:r>
      <w:r>
        <w:t>t</w:t>
      </w:r>
      <w:r>
        <w:t>fördes i december 2013. Stadens åtagande för medfinansiering av utbyggnad av tunnelbanan uppgår enligt överenskommelsen till 2 950,0 mnkr i 2013 års prisnivå. Utbetalningarna under plan</w:t>
      </w:r>
      <w:r>
        <w:t>e</w:t>
      </w:r>
      <w:r>
        <w:lastRenderedPageBreak/>
        <w:t xml:space="preserve">ringsperioden 2015–2017 beräknas uppgå till cirka 300 mnkr per år för tunnelbaneutbyggnaden. Totalt beräknas </w:t>
      </w:r>
      <w:r w:rsidRPr="00831822">
        <w:t>kvarvarande beslutade åtaganden f</w:t>
      </w:r>
      <w:r>
        <w:t xml:space="preserve">ör staden sammanlagt uppgå till </w:t>
      </w:r>
      <w:r w:rsidRPr="003B22B9">
        <w:t>8,1 mdkr</w:t>
      </w:r>
      <w:r w:rsidRPr="00831822">
        <w:t xml:space="preserve">. </w:t>
      </w:r>
      <w:r w:rsidRPr="003A10CB">
        <w:t>Utbetalnin</w:t>
      </w:r>
      <w:r w:rsidRPr="003A10CB">
        <w:t>g</w:t>
      </w:r>
      <w:r w:rsidRPr="003A10CB">
        <w:t>ar</w:t>
      </w:r>
      <w:r>
        <w:t xml:space="preserve">na om totalt cirka 400–700 mnkr per år till medfinansiering </w:t>
      </w:r>
      <w:r w:rsidRPr="003A10CB">
        <w:t>min</w:t>
      </w:r>
      <w:r w:rsidRPr="003A10CB">
        <w:t>s</w:t>
      </w:r>
      <w:r w:rsidRPr="003A10CB">
        <w:t xml:space="preserve">kar det kassaflöde som </w:t>
      </w:r>
      <w:r>
        <w:t>finns att tillgå för finansiering av</w:t>
      </w:r>
      <w:r w:rsidRPr="003A10CB">
        <w:t xml:space="preserve"> stadens </w:t>
      </w:r>
      <w:r>
        <w:t xml:space="preserve">egna </w:t>
      </w:r>
      <w:r w:rsidRPr="003A10CB">
        <w:t>investeringar</w:t>
      </w:r>
      <w:r>
        <w:t>.</w:t>
      </w:r>
    </w:p>
    <w:p w:rsidR="00A62AC8" w:rsidRDefault="00A62AC8" w:rsidP="000F5B55">
      <w:pPr>
        <w:spacing w:line="0" w:lineRule="auto"/>
      </w:pPr>
    </w:p>
    <w:p w:rsidR="00A62AC8" w:rsidRPr="0082203A" w:rsidRDefault="00A62AC8" w:rsidP="008B19BA">
      <w:pPr>
        <w:spacing w:line="0" w:lineRule="auto"/>
      </w:pPr>
    </w:p>
    <w:p w:rsidR="00A62AC8" w:rsidRPr="001F3A17" w:rsidRDefault="00A62AC8" w:rsidP="0082203A">
      <w:pPr>
        <w:spacing w:line="0" w:lineRule="auto"/>
      </w:pPr>
    </w:p>
    <w:p w:rsidR="00A62AC8" w:rsidRPr="0016522D" w:rsidRDefault="00A62AC8" w:rsidP="001F3A17">
      <w:pPr>
        <w:spacing w:line="0" w:lineRule="auto"/>
      </w:pPr>
    </w:p>
    <w:p w:rsidR="00A62AC8" w:rsidRPr="00655CDD" w:rsidRDefault="00A62AC8" w:rsidP="0016522D">
      <w:pPr>
        <w:spacing w:line="0" w:lineRule="auto"/>
      </w:pPr>
    </w:p>
    <w:p w:rsidR="00B56014" w:rsidRDefault="00B56014" w:rsidP="00B56014">
      <w:pPr>
        <w:pStyle w:val="Rubrik3"/>
      </w:pPr>
      <w:r w:rsidRPr="000D76B8">
        <w:t>Koncernen Stockholm</w:t>
      </w:r>
      <w:r w:rsidR="006A1D5C">
        <w:t>s</w:t>
      </w:r>
      <w:r w:rsidRPr="000D76B8">
        <w:t xml:space="preserve"> Stadshus </w:t>
      </w:r>
      <w:r>
        <w:t>AB: s</w:t>
      </w:r>
      <w:r w:rsidRPr="000D76B8">
        <w:t xml:space="preserve"> investeringar </w:t>
      </w:r>
    </w:p>
    <w:p w:rsidR="00A62AC8" w:rsidRDefault="00A62AC8" w:rsidP="00B56014">
      <w:r>
        <w:t xml:space="preserve">Den växande staden behöver nya bostäder och en väl fungerande infrastruktur. Stadens bolag har </w:t>
      </w:r>
      <w:r w:rsidRPr="00576B40">
        <w:t xml:space="preserve">mot denna bakgrund </w:t>
      </w:r>
      <w:r>
        <w:t>genomfört omfattande investeringsprogram under de senaste sju åren</w:t>
      </w:r>
      <w:r w:rsidRPr="00576B40">
        <w:t xml:space="preserve">. </w:t>
      </w:r>
      <w:r>
        <w:t xml:space="preserve">Bolagen har varje år satsat </w:t>
      </w:r>
      <w:r w:rsidR="002F5B93">
        <w:t xml:space="preserve">i genomsnitt </w:t>
      </w:r>
      <w:r>
        <w:t>8,5 mdkr i nyproduktion och up</w:t>
      </w:r>
      <w:r>
        <w:t>p</w:t>
      </w:r>
      <w:r>
        <w:t>rustning av</w:t>
      </w:r>
      <w:r w:rsidRPr="00576B40">
        <w:t xml:space="preserve"> </w:t>
      </w:r>
      <w:r>
        <w:t xml:space="preserve">bostäder, skolor, äldreboende och infrastruktur. </w:t>
      </w:r>
      <w:r w:rsidRPr="00576B40">
        <w:t>Detta har varit möjligt tack vare stadens goda finansiella situation</w:t>
      </w:r>
      <w:r>
        <w:t>,</w:t>
      </w:r>
      <w:r w:rsidRPr="00576B40">
        <w:t xml:space="preserve"> vilket är en effekt av de försäljningar som stadens bolag genomfört under senare år. </w:t>
      </w:r>
    </w:p>
    <w:p w:rsidR="00A62AC8" w:rsidRDefault="00A62AC8" w:rsidP="00B56014"/>
    <w:p w:rsidR="00A62AC8" w:rsidRDefault="00A62AC8" w:rsidP="00B56014">
      <w:r>
        <w:t>En viktig satsning under perioden 2009–2014 har varit Stimulans för Stockholm.</w:t>
      </w:r>
      <w:r w:rsidRPr="008321AC">
        <w:t xml:space="preserve"> </w:t>
      </w:r>
      <w:r>
        <w:t xml:space="preserve">Stadens bolag har </w:t>
      </w:r>
      <w:r w:rsidRPr="00907C74">
        <w:t>genomfört betydande insatser genom att tidigarelägga upprustningsprojekt och nyproduktion.</w:t>
      </w:r>
      <w:r w:rsidRPr="008321AC">
        <w:t xml:space="preserve"> </w:t>
      </w:r>
      <w:r>
        <w:t>T</w:t>
      </w:r>
      <w:r>
        <w:t>o</w:t>
      </w:r>
      <w:r>
        <w:t xml:space="preserve">talt uppgår insatserna till närmare 15,0 mdkr och </w:t>
      </w:r>
      <w:r w:rsidRPr="00907C74">
        <w:t>insatserna</w:t>
      </w:r>
      <w:r>
        <w:t xml:space="preserve"> har varit koncentrerade till</w:t>
      </w:r>
      <w:r w:rsidRPr="00907C74">
        <w:t xml:space="preserve"> stadens ytterstadsområden.</w:t>
      </w:r>
    </w:p>
    <w:p w:rsidR="00A62AC8" w:rsidRPr="00655739" w:rsidRDefault="00A62AC8" w:rsidP="00B56014"/>
    <w:p w:rsidR="00A62AC8" w:rsidRDefault="00A62AC8" w:rsidP="00B56014">
      <w:r w:rsidRPr="00576B40">
        <w:t xml:space="preserve">I </w:t>
      </w:r>
      <w:r>
        <w:t xml:space="preserve">de budgetförslag </w:t>
      </w:r>
      <w:r w:rsidRPr="00576B40">
        <w:t xml:space="preserve">som bolagen tagit fram </w:t>
      </w:r>
      <w:r>
        <w:t xml:space="preserve">planerar bolagen för en investeringsvolym som uppgår till drygt 54,0 mdkr för åren </w:t>
      </w:r>
    </w:p>
    <w:p w:rsidR="00A62AC8" w:rsidRDefault="00A62AC8" w:rsidP="00B56014">
      <w:r w:rsidRPr="00576B40">
        <w:t>2015</w:t>
      </w:r>
      <w:r>
        <w:t>–2019. Det är i stort samma höga nivå som bolagen present</w:t>
      </w:r>
      <w:r>
        <w:t>e</w:t>
      </w:r>
      <w:r>
        <w:t>rade i förra årets femårsplan. I likhet med föregående år redovisar flera bolag tidsförskjutningar av projekt under perioden. Förskju</w:t>
      </w:r>
      <w:r>
        <w:t>t</w:t>
      </w:r>
      <w:r>
        <w:t>ningarna beror på överklaganden, miljöprövningar och långa pla</w:t>
      </w:r>
      <w:r>
        <w:t>n</w:t>
      </w:r>
      <w:r>
        <w:t>processer för vissa projekt.</w:t>
      </w:r>
    </w:p>
    <w:p w:rsidR="00A62AC8" w:rsidRDefault="00A62AC8" w:rsidP="00B56014"/>
    <w:p w:rsidR="00A62AC8" w:rsidRDefault="00A62AC8" w:rsidP="00B56014">
      <w:r>
        <w:t>Bostadsbolagen står för drygt 50 procent av bolagskoncernens inv</w:t>
      </w:r>
      <w:r>
        <w:t>e</w:t>
      </w:r>
      <w:r>
        <w:t>steringsvolym. N</w:t>
      </w:r>
      <w:r w:rsidRPr="00576B40">
        <w:t>yproduktion</w:t>
      </w:r>
      <w:r>
        <w:t>en</w:t>
      </w:r>
      <w:r w:rsidRPr="00576B40">
        <w:t xml:space="preserve"> </w:t>
      </w:r>
      <w:r>
        <w:t xml:space="preserve">beräknas </w:t>
      </w:r>
      <w:r w:rsidRPr="00576B40">
        <w:t xml:space="preserve">till </w:t>
      </w:r>
      <w:r>
        <w:t xml:space="preserve">närmare 7 500 </w:t>
      </w:r>
      <w:r w:rsidRPr="00576B40">
        <w:t>påbö</w:t>
      </w:r>
      <w:r w:rsidRPr="00576B40">
        <w:t>r</w:t>
      </w:r>
      <w:r w:rsidRPr="00576B40">
        <w:t xml:space="preserve">jade lägenheter för de tre bostadsbolagen under perioden </w:t>
      </w:r>
    </w:p>
    <w:p w:rsidR="00A62AC8" w:rsidRPr="00576B40" w:rsidRDefault="00A62AC8" w:rsidP="00B56014">
      <w:r w:rsidRPr="00576B40">
        <w:t>201</w:t>
      </w:r>
      <w:r>
        <w:t>5–</w:t>
      </w:r>
      <w:r w:rsidRPr="00576B40">
        <w:t>201</w:t>
      </w:r>
      <w:r>
        <w:t>9</w:t>
      </w:r>
      <w:r w:rsidRPr="00576B40">
        <w:t xml:space="preserve">. </w:t>
      </w:r>
      <w:r>
        <w:t>Fokus för bostadsbolagen är därför att öka och geno</w:t>
      </w:r>
      <w:r>
        <w:t>m</w:t>
      </w:r>
      <w:r>
        <w:t>föra nyproduktionsprojekten under den kommande perioden. Mot bakgrund av den kraftfulla satsning på underhållsåtgärder som g</w:t>
      </w:r>
      <w:r>
        <w:t>e</w:t>
      </w:r>
      <w:r>
        <w:t>nomförts inom ramen för Stimulans för Stockholm de senaste fem åren så minskar andelen underhållsprojekt under planeringsp</w:t>
      </w:r>
      <w:r>
        <w:t>e</w:t>
      </w:r>
      <w:r>
        <w:t>rioden. Betydande upprustningsinsatser kommer att fortsätta i st</w:t>
      </w:r>
      <w:r>
        <w:t>a</w:t>
      </w:r>
      <w:r>
        <w:t>dens miljonprogramsområden och i ytterstaden.</w:t>
      </w:r>
    </w:p>
    <w:p w:rsidR="00A62AC8" w:rsidRDefault="00A62AC8" w:rsidP="00B56014"/>
    <w:p w:rsidR="00A62AC8" w:rsidRDefault="00A62AC8" w:rsidP="00B56014">
      <w:r>
        <w:t>F</w:t>
      </w:r>
      <w:r w:rsidRPr="00576B40">
        <w:t xml:space="preserve">lera av </w:t>
      </w:r>
      <w:r>
        <w:t xml:space="preserve">stadens </w:t>
      </w:r>
      <w:r w:rsidRPr="00576B40">
        <w:t>infrastrukturprojekt</w:t>
      </w:r>
      <w:r>
        <w:t xml:space="preserve"> har varit föremål miljöprö</w:t>
      </w:r>
      <w:r>
        <w:t>v</w:t>
      </w:r>
      <w:r>
        <w:t xml:space="preserve">ning. </w:t>
      </w:r>
      <w:r w:rsidRPr="00576B40">
        <w:t>Det</w:t>
      </w:r>
      <w:r>
        <w:t xml:space="preserve"> gäller</w:t>
      </w:r>
      <w:r w:rsidRPr="00576B40">
        <w:t xml:space="preserve"> </w:t>
      </w:r>
      <w:r>
        <w:t xml:space="preserve">framför allt de </w:t>
      </w:r>
      <w:r w:rsidRPr="00576B40">
        <w:t>projekt som avser utbyggnad och modernisering av hamnar</w:t>
      </w:r>
      <w:r>
        <w:t xml:space="preserve">. Projekten i </w:t>
      </w:r>
      <w:r w:rsidRPr="00576B40">
        <w:t>Värtahamnen</w:t>
      </w:r>
      <w:r>
        <w:t xml:space="preserve"> och i</w:t>
      </w:r>
      <w:r w:rsidRPr="00576B40">
        <w:t xml:space="preserve"> Kapel</w:t>
      </w:r>
      <w:r w:rsidRPr="00576B40">
        <w:t>l</w:t>
      </w:r>
      <w:r w:rsidRPr="00576B40">
        <w:lastRenderedPageBreak/>
        <w:t>skär</w:t>
      </w:r>
      <w:r>
        <w:t>, hos</w:t>
      </w:r>
      <w:r w:rsidRPr="00576B40">
        <w:t xml:space="preserve"> </w:t>
      </w:r>
      <w:r>
        <w:t>Stockholms Hamn AB,</w:t>
      </w:r>
      <w:r w:rsidRPr="00576B40">
        <w:t xml:space="preserve"> </w:t>
      </w:r>
      <w:r>
        <w:t xml:space="preserve">är nu under produktion. Bolaget planerar för att uppförandet av ny hamn i Norvik kommer igång under 2015. Sammanlagt räknar Stockholms Hamn AB med att </w:t>
      </w:r>
      <w:r w:rsidRPr="00576B40">
        <w:t>i</w:t>
      </w:r>
      <w:r w:rsidRPr="00576B40">
        <w:t>n</w:t>
      </w:r>
      <w:r w:rsidRPr="00576B40">
        <w:t>vestera 5,</w:t>
      </w:r>
      <w:r>
        <w:t>1</w:t>
      </w:r>
      <w:r w:rsidRPr="00576B40">
        <w:t xml:space="preserve"> mdkr i hamnanläggningar</w:t>
      </w:r>
      <w:r>
        <w:t xml:space="preserve"> </w:t>
      </w:r>
      <w:r w:rsidRPr="00576B40">
        <w:t>under perioden 201</w:t>
      </w:r>
      <w:r>
        <w:t>5–</w:t>
      </w:r>
      <w:r w:rsidRPr="00576B40">
        <w:t>201</w:t>
      </w:r>
      <w:r>
        <w:t>9</w:t>
      </w:r>
      <w:r w:rsidRPr="00576B40">
        <w:t>.</w:t>
      </w:r>
      <w:r>
        <w:t xml:space="preserve"> </w:t>
      </w:r>
    </w:p>
    <w:p w:rsidR="00A62AC8" w:rsidRDefault="00A62AC8" w:rsidP="00B56014"/>
    <w:p w:rsidR="00A62AC8" w:rsidRDefault="00A62AC8" w:rsidP="00B56014">
      <w:r>
        <w:t>Stockholm Vatten AB kommer under perioden arbeta med projektet Stockholms framtida avloppsrening som ska ge Stockholm ett av världens modernaste reningsverk i Henriksdal. Den samlade inv</w:t>
      </w:r>
      <w:r>
        <w:t>e</w:t>
      </w:r>
      <w:r>
        <w:t xml:space="preserve">steringsvolymen för projektet beräknas till 6,0 mdkr. Stockholm Vatten AB:s samlade investeringar beräknas till 8,8 mdkr under åren 2015–2019. </w:t>
      </w:r>
    </w:p>
    <w:p w:rsidR="00A62AC8" w:rsidRDefault="00A62AC8" w:rsidP="00B56014"/>
    <w:p w:rsidR="00A62AC8" w:rsidRDefault="00A62AC8" w:rsidP="00B56014">
      <w:r>
        <w:t>Antalet förskolebarn och skolbarn fortsätter att öka i Stockholm. Det ställer också krav på fler förskolor och skolor. Skolfastigheter i Stockholm AB planerar i sitt budgetförslag för investeringsnivåer om 1,5 mdkr per år under perioden. Investeringarna avser nypr</w:t>
      </w:r>
      <w:r>
        <w:t>o</w:t>
      </w:r>
      <w:r>
        <w:t xml:space="preserve">duktion samt upprustning och ombyggnad i befintliga lokaler. </w:t>
      </w:r>
    </w:p>
    <w:p w:rsidR="00A62AC8" w:rsidRPr="00576B40" w:rsidRDefault="00A62AC8" w:rsidP="00B56014"/>
    <w:p w:rsidR="00A62AC8" w:rsidRPr="00576B40" w:rsidRDefault="00A62AC8" w:rsidP="00B56014">
      <w:r>
        <w:t>Det är framför allt inom bolagssektorn som stadens upplåning ökar. En förhöjd investeringsvolym under den kommande perioden inn</w:t>
      </w:r>
      <w:r>
        <w:t>e</w:t>
      </w:r>
      <w:r>
        <w:t xml:space="preserve">bär att bolagen, i ännu högre grad måste fokusera på en rimlig och långsiktig avkastning, både vad gäller ersättningsinvesteringar och nyproduktion. </w:t>
      </w:r>
    </w:p>
    <w:p w:rsidR="00A62AC8" w:rsidRPr="00576B40" w:rsidRDefault="00A62AC8" w:rsidP="00B56014">
      <w:pPr>
        <w:pStyle w:val="Rubrik4"/>
      </w:pPr>
      <w:r w:rsidRPr="00576B40">
        <w:t>Bolagens förslag till investerings</w:t>
      </w:r>
      <w:r>
        <w:t>planer</w:t>
      </w:r>
    </w:p>
    <w:tbl>
      <w:tblPr>
        <w:tblW w:w="7000" w:type="dxa"/>
        <w:tblInd w:w="-497" w:type="dxa"/>
        <w:tblCellMar>
          <w:left w:w="70" w:type="dxa"/>
          <w:right w:w="70" w:type="dxa"/>
        </w:tblCellMar>
        <w:tblLook w:val="04A0" w:firstRow="1" w:lastRow="0" w:firstColumn="1" w:lastColumn="0" w:noHBand="0" w:noVBand="1"/>
      </w:tblPr>
      <w:tblGrid>
        <w:gridCol w:w="2732"/>
        <w:gridCol w:w="880"/>
        <w:gridCol w:w="880"/>
        <w:gridCol w:w="880"/>
        <w:gridCol w:w="880"/>
        <w:gridCol w:w="748"/>
      </w:tblGrid>
      <w:tr w:rsidR="00A62AC8" w:rsidRPr="00576B40" w:rsidTr="00AA5256">
        <w:trPr>
          <w:trHeight w:val="382"/>
        </w:trPr>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A62AC8" w:rsidRPr="00F0165C" w:rsidRDefault="00A62AC8" w:rsidP="00155FC3">
            <w:pPr>
              <w:rPr>
                <w:rFonts w:asciiTheme="majorHAnsi" w:hAnsiTheme="majorHAnsi" w:cstheme="majorHAnsi"/>
                <w:sz w:val="22"/>
                <w:szCs w:val="22"/>
              </w:rPr>
            </w:pPr>
            <w:r w:rsidRPr="00F0165C">
              <w:rPr>
                <w:rFonts w:asciiTheme="majorHAnsi" w:hAnsiTheme="majorHAnsi" w:cstheme="majorHAnsi"/>
                <w:sz w:val="22"/>
                <w:szCs w:val="22"/>
              </w:rPr>
              <w:t>År, mnkr</w:t>
            </w:r>
          </w:p>
        </w:tc>
        <w:tc>
          <w:tcPr>
            <w:tcW w:w="0" w:type="auto"/>
            <w:tcBorders>
              <w:top w:val="single" w:sz="4" w:space="0" w:color="auto"/>
              <w:left w:val="nil"/>
              <w:bottom w:val="single" w:sz="4"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szCs w:val="22"/>
              </w:rPr>
            </w:pPr>
            <w:r w:rsidRPr="00F0165C">
              <w:rPr>
                <w:rFonts w:asciiTheme="majorHAnsi" w:hAnsiTheme="majorHAnsi" w:cstheme="majorHAnsi"/>
                <w:sz w:val="22"/>
                <w:szCs w:val="22"/>
              </w:rPr>
              <w:t>2015</w:t>
            </w:r>
          </w:p>
        </w:tc>
        <w:tc>
          <w:tcPr>
            <w:tcW w:w="0" w:type="auto"/>
            <w:tcBorders>
              <w:top w:val="single" w:sz="4" w:space="0" w:color="auto"/>
              <w:left w:val="nil"/>
              <w:bottom w:val="single" w:sz="4"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szCs w:val="22"/>
              </w:rPr>
            </w:pPr>
            <w:r w:rsidRPr="00F0165C">
              <w:rPr>
                <w:rFonts w:asciiTheme="majorHAnsi" w:hAnsiTheme="majorHAnsi" w:cstheme="majorHAnsi"/>
                <w:sz w:val="22"/>
                <w:szCs w:val="22"/>
              </w:rPr>
              <w:t>2016</w:t>
            </w:r>
          </w:p>
        </w:tc>
        <w:tc>
          <w:tcPr>
            <w:tcW w:w="0" w:type="auto"/>
            <w:tcBorders>
              <w:top w:val="single" w:sz="4" w:space="0" w:color="auto"/>
              <w:left w:val="nil"/>
              <w:bottom w:val="single" w:sz="4"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szCs w:val="22"/>
              </w:rPr>
            </w:pPr>
            <w:r w:rsidRPr="00F0165C">
              <w:rPr>
                <w:rFonts w:asciiTheme="majorHAnsi" w:hAnsiTheme="majorHAnsi" w:cstheme="majorHAnsi"/>
                <w:sz w:val="22"/>
                <w:szCs w:val="22"/>
              </w:rPr>
              <w:t>2016</w:t>
            </w:r>
          </w:p>
        </w:tc>
        <w:tc>
          <w:tcPr>
            <w:tcW w:w="0" w:type="auto"/>
            <w:tcBorders>
              <w:top w:val="single" w:sz="4" w:space="0" w:color="auto"/>
              <w:left w:val="nil"/>
              <w:bottom w:val="single" w:sz="4"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szCs w:val="22"/>
              </w:rPr>
            </w:pPr>
            <w:r w:rsidRPr="00F0165C">
              <w:rPr>
                <w:rFonts w:asciiTheme="majorHAnsi" w:hAnsiTheme="majorHAnsi" w:cstheme="majorHAnsi"/>
                <w:sz w:val="22"/>
                <w:szCs w:val="22"/>
              </w:rPr>
              <w:t>2017</w:t>
            </w:r>
          </w:p>
        </w:tc>
        <w:tc>
          <w:tcPr>
            <w:tcW w:w="0" w:type="auto"/>
            <w:tcBorders>
              <w:top w:val="single" w:sz="4" w:space="0" w:color="auto"/>
              <w:left w:val="nil"/>
              <w:bottom w:val="single" w:sz="4" w:space="0" w:color="auto"/>
              <w:right w:val="single" w:sz="4" w:space="0" w:color="auto"/>
            </w:tcBorders>
            <w:shd w:val="clear" w:color="auto" w:fill="auto"/>
            <w:hideMark/>
          </w:tcPr>
          <w:p w:rsidR="00A62AC8" w:rsidRPr="00F0165C" w:rsidRDefault="00A62AC8" w:rsidP="00F0165C">
            <w:pPr>
              <w:jc w:val="center"/>
              <w:rPr>
                <w:rFonts w:asciiTheme="majorHAnsi" w:hAnsiTheme="majorHAnsi" w:cstheme="majorHAnsi"/>
                <w:sz w:val="22"/>
                <w:szCs w:val="22"/>
              </w:rPr>
            </w:pPr>
            <w:r w:rsidRPr="00F0165C">
              <w:rPr>
                <w:rFonts w:asciiTheme="majorHAnsi" w:hAnsiTheme="majorHAnsi" w:cstheme="majorHAnsi"/>
                <w:sz w:val="22"/>
                <w:szCs w:val="22"/>
              </w:rPr>
              <w:t>2018</w:t>
            </w:r>
          </w:p>
        </w:tc>
      </w:tr>
      <w:tr w:rsidR="00A62AC8" w:rsidRPr="00576B40" w:rsidTr="00F0165C">
        <w:trPr>
          <w:trHeight w:val="73"/>
        </w:trPr>
        <w:tc>
          <w:tcPr>
            <w:tcW w:w="2732" w:type="dxa"/>
            <w:tcBorders>
              <w:top w:val="single" w:sz="4" w:space="0" w:color="auto"/>
              <w:left w:val="single" w:sz="4" w:space="0" w:color="auto"/>
              <w:bottom w:val="single" w:sz="4" w:space="0" w:color="auto"/>
              <w:right w:val="single" w:sz="4" w:space="0" w:color="auto"/>
            </w:tcBorders>
            <w:hideMark/>
          </w:tcPr>
          <w:p w:rsidR="00A62AC8" w:rsidRPr="00F0165C" w:rsidRDefault="00A62AC8" w:rsidP="00155FC3">
            <w:pPr>
              <w:rPr>
                <w:rFonts w:asciiTheme="majorHAnsi" w:hAnsiTheme="majorHAnsi" w:cstheme="majorHAnsi"/>
                <w:sz w:val="22"/>
                <w:szCs w:val="22"/>
              </w:rPr>
            </w:pPr>
            <w:r w:rsidRPr="00F0165C">
              <w:rPr>
                <w:rFonts w:asciiTheme="majorHAnsi" w:hAnsiTheme="majorHAnsi" w:cstheme="majorHAnsi"/>
                <w:sz w:val="22"/>
                <w:szCs w:val="22"/>
              </w:rPr>
              <w:t>Totalt investeringar</w:t>
            </w:r>
          </w:p>
        </w:tc>
        <w:tc>
          <w:tcPr>
            <w:tcW w:w="0" w:type="auto"/>
            <w:tcBorders>
              <w:top w:val="single" w:sz="4" w:space="0" w:color="auto"/>
              <w:left w:val="nil"/>
              <w:bottom w:val="single" w:sz="4" w:space="0" w:color="auto"/>
              <w:right w:val="single" w:sz="4" w:space="0" w:color="auto"/>
            </w:tcBorders>
            <w:hideMark/>
          </w:tcPr>
          <w:p w:rsidR="00A62AC8" w:rsidRPr="00F0165C" w:rsidRDefault="00A62AC8" w:rsidP="00F0165C">
            <w:pPr>
              <w:jc w:val="right"/>
              <w:rPr>
                <w:rFonts w:asciiTheme="majorHAnsi" w:hAnsiTheme="majorHAnsi" w:cstheme="majorHAnsi"/>
                <w:sz w:val="22"/>
                <w:szCs w:val="22"/>
              </w:rPr>
            </w:pPr>
            <w:r w:rsidRPr="00F0165C">
              <w:rPr>
                <w:rFonts w:asciiTheme="majorHAnsi" w:hAnsiTheme="majorHAnsi" w:cstheme="majorHAnsi"/>
                <w:sz w:val="22"/>
                <w:szCs w:val="22"/>
              </w:rPr>
              <w:t>10 329</w:t>
            </w:r>
          </w:p>
        </w:tc>
        <w:tc>
          <w:tcPr>
            <w:tcW w:w="0" w:type="auto"/>
            <w:tcBorders>
              <w:top w:val="single" w:sz="4" w:space="0" w:color="auto"/>
              <w:left w:val="nil"/>
              <w:bottom w:val="single" w:sz="4" w:space="0" w:color="auto"/>
              <w:right w:val="single" w:sz="4" w:space="0" w:color="auto"/>
            </w:tcBorders>
            <w:hideMark/>
          </w:tcPr>
          <w:p w:rsidR="00A62AC8" w:rsidRPr="00F0165C" w:rsidRDefault="00A62AC8" w:rsidP="00F0165C">
            <w:pPr>
              <w:jc w:val="right"/>
              <w:rPr>
                <w:rFonts w:asciiTheme="majorHAnsi" w:hAnsiTheme="majorHAnsi" w:cstheme="majorHAnsi"/>
                <w:sz w:val="22"/>
                <w:szCs w:val="22"/>
              </w:rPr>
            </w:pPr>
            <w:r w:rsidRPr="00F0165C">
              <w:rPr>
                <w:rFonts w:asciiTheme="majorHAnsi" w:hAnsiTheme="majorHAnsi" w:cstheme="majorHAnsi"/>
                <w:sz w:val="22"/>
                <w:szCs w:val="22"/>
              </w:rPr>
              <w:t>11 815</w:t>
            </w:r>
          </w:p>
        </w:tc>
        <w:tc>
          <w:tcPr>
            <w:tcW w:w="0" w:type="auto"/>
            <w:tcBorders>
              <w:top w:val="single" w:sz="4" w:space="0" w:color="auto"/>
              <w:left w:val="nil"/>
              <w:bottom w:val="single" w:sz="4" w:space="0" w:color="auto"/>
              <w:right w:val="single" w:sz="4" w:space="0" w:color="auto"/>
            </w:tcBorders>
            <w:hideMark/>
          </w:tcPr>
          <w:p w:rsidR="00A62AC8" w:rsidRPr="00F0165C" w:rsidRDefault="00A62AC8" w:rsidP="00F0165C">
            <w:pPr>
              <w:jc w:val="right"/>
              <w:rPr>
                <w:rFonts w:asciiTheme="majorHAnsi" w:hAnsiTheme="majorHAnsi" w:cstheme="majorHAnsi"/>
                <w:sz w:val="22"/>
                <w:szCs w:val="22"/>
              </w:rPr>
            </w:pPr>
            <w:r w:rsidRPr="00F0165C">
              <w:rPr>
                <w:rFonts w:asciiTheme="majorHAnsi" w:hAnsiTheme="majorHAnsi" w:cstheme="majorHAnsi"/>
                <w:sz w:val="22"/>
                <w:szCs w:val="22"/>
              </w:rPr>
              <w:t>11 855</w:t>
            </w:r>
          </w:p>
        </w:tc>
        <w:tc>
          <w:tcPr>
            <w:tcW w:w="0" w:type="auto"/>
            <w:tcBorders>
              <w:top w:val="single" w:sz="4" w:space="0" w:color="auto"/>
              <w:left w:val="nil"/>
              <w:bottom w:val="single" w:sz="4" w:space="0" w:color="auto"/>
              <w:right w:val="single" w:sz="4" w:space="0" w:color="auto"/>
            </w:tcBorders>
            <w:hideMark/>
          </w:tcPr>
          <w:p w:rsidR="00A62AC8" w:rsidRPr="00F0165C" w:rsidRDefault="00A62AC8" w:rsidP="00F0165C">
            <w:pPr>
              <w:jc w:val="right"/>
              <w:rPr>
                <w:rFonts w:asciiTheme="majorHAnsi" w:hAnsiTheme="majorHAnsi" w:cstheme="majorHAnsi"/>
                <w:sz w:val="22"/>
                <w:szCs w:val="22"/>
              </w:rPr>
            </w:pPr>
            <w:r w:rsidRPr="00F0165C">
              <w:rPr>
                <w:rFonts w:asciiTheme="majorHAnsi" w:hAnsiTheme="majorHAnsi" w:cstheme="majorHAnsi"/>
                <w:sz w:val="22"/>
                <w:szCs w:val="22"/>
              </w:rPr>
              <w:t>10 609</w:t>
            </w:r>
          </w:p>
        </w:tc>
        <w:tc>
          <w:tcPr>
            <w:tcW w:w="0" w:type="auto"/>
            <w:tcBorders>
              <w:top w:val="single" w:sz="4" w:space="0" w:color="auto"/>
              <w:left w:val="nil"/>
              <w:bottom w:val="single" w:sz="4" w:space="0" w:color="auto"/>
              <w:right w:val="single" w:sz="4" w:space="0" w:color="auto"/>
            </w:tcBorders>
            <w:hideMark/>
          </w:tcPr>
          <w:p w:rsidR="00A62AC8" w:rsidRPr="00F0165C" w:rsidRDefault="00A62AC8" w:rsidP="00F0165C">
            <w:pPr>
              <w:jc w:val="right"/>
              <w:rPr>
                <w:rFonts w:asciiTheme="majorHAnsi" w:hAnsiTheme="majorHAnsi" w:cstheme="majorHAnsi"/>
                <w:sz w:val="22"/>
                <w:szCs w:val="22"/>
              </w:rPr>
            </w:pPr>
            <w:r w:rsidRPr="00F0165C">
              <w:rPr>
                <w:rFonts w:asciiTheme="majorHAnsi" w:hAnsiTheme="majorHAnsi" w:cstheme="majorHAnsi"/>
                <w:sz w:val="22"/>
                <w:szCs w:val="22"/>
              </w:rPr>
              <w:t>9 029</w:t>
            </w:r>
          </w:p>
        </w:tc>
      </w:tr>
    </w:tbl>
    <w:p w:rsidR="00A62AC8" w:rsidRDefault="00A62AC8" w:rsidP="000F5B55">
      <w:pPr>
        <w:spacing w:line="0" w:lineRule="auto"/>
      </w:pPr>
    </w:p>
    <w:p w:rsidR="00A62AC8" w:rsidRPr="0082203A" w:rsidRDefault="00A62AC8" w:rsidP="008B19BA">
      <w:pPr>
        <w:spacing w:line="0" w:lineRule="auto"/>
      </w:pPr>
    </w:p>
    <w:p w:rsidR="00A62AC8" w:rsidRPr="001F3A17" w:rsidRDefault="00A62AC8" w:rsidP="0082203A">
      <w:pPr>
        <w:spacing w:line="0" w:lineRule="auto"/>
      </w:pPr>
    </w:p>
    <w:p w:rsidR="00A62AC8" w:rsidRPr="0016522D" w:rsidRDefault="00A62AC8" w:rsidP="001F3A17">
      <w:pPr>
        <w:spacing w:line="0" w:lineRule="auto"/>
      </w:pPr>
    </w:p>
    <w:p w:rsidR="00A62AC8" w:rsidRPr="00655CDD" w:rsidRDefault="00A62AC8" w:rsidP="0016522D">
      <w:pPr>
        <w:spacing w:line="0" w:lineRule="auto"/>
      </w:pPr>
    </w:p>
    <w:p w:rsidR="00AE64B5" w:rsidRPr="00AE64B5" w:rsidRDefault="00AE64B5" w:rsidP="00AE64B5"/>
    <w:p w:rsidR="00F4376A" w:rsidRDefault="00F4376A" w:rsidP="00F4376A">
      <w:pPr>
        <w:pStyle w:val="Rubrik2"/>
      </w:pPr>
      <w:r w:rsidRPr="00C42782">
        <w:t>Planeringsförutsättningar inför 201</w:t>
      </w:r>
      <w:r>
        <w:t>5</w:t>
      </w:r>
      <w:r w:rsidRPr="00C42782">
        <w:t xml:space="preserve"> med inriktning 201</w:t>
      </w:r>
      <w:r>
        <w:t>6</w:t>
      </w:r>
      <w:r w:rsidRPr="00C42782">
        <w:t xml:space="preserve"> och 201</w:t>
      </w:r>
      <w:r>
        <w:t>7</w:t>
      </w:r>
    </w:p>
    <w:p w:rsidR="00A62AC8" w:rsidRPr="00FE3F81" w:rsidRDefault="00A62AC8" w:rsidP="00FE3F81">
      <w:pPr>
        <w:rPr>
          <w:highlight w:val="yellow"/>
        </w:rPr>
      </w:pPr>
      <w:r w:rsidRPr="005D01C5">
        <w:t>Befolkningsprognosen visar på att stadens befolkning förväntas öka till en miljon invånare 2022. Det är en reviderad och högre befol</w:t>
      </w:r>
      <w:r w:rsidRPr="005D01C5">
        <w:t>k</w:t>
      </w:r>
      <w:r w:rsidRPr="005D01C5">
        <w:t xml:space="preserve">ningsprognos än den som låg till grund för Vision Stockholm 2030. </w:t>
      </w:r>
    </w:p>
    <w:p w:rsidR="00A62AC8" w:rsidRPr="00FE3F81" w:rsidRDefault="00A62AC8" w:rsidP="00FE3F81">
      <w:pPr>
        <w:rPr>
          <w:highlight w:val="yellow"/>
        </w:rPr>
      </w:pPr>
    </w:p>
    <w:p w:rsidR="00A62AC8" w:rsidRPr="00FE3F81" w:rsidRDefault="00A62AC8" w:rsidP="00FE3F81">
      <w:r w:rsidRPr="00FE3F81">
        <w:t xml:space="preserve">De ekonomiska förutsättningarna för 2015 års budget redovisas i resultatbudgeten nedan. Av den framgår innevarande års budget, plan för 2015 som kommunfullmäktige tidigare har beslutat om samt de revideringar som redan nu kan förutses inför kommande budgetarbete. </w:t>
      </w:r>
    </w:p>
    <w:p w:rsidR="00A62AC8" w:rsidRPr="00FE3F81" w:rsidRDefault="00A62AC8" w:rsidP="00FE3F81">
      <w:pPr>
        <w:rPr>
          <w:highlight w:val="yellow"/>
        </w:rPr>
      </w:pPr>
    </w:p>
    <w:p w:rsidR="00A62AC8" w:rsidRPr="00FE3F81" w:rsidRDefault="00A62AC8" w:rsidP="00FE3F81">
      <w:r w:rsidRPr="00FE3F81">
        <w:t>Avskrivningar är oförändrade gentemot tidigare beslutad plan för 2014 och bedöms öka med 93,3 mnkr jämfört med budget 2014. Ökningen är en följd av den fortsatt höga investeringstakten.</w:t>
      </w:r>
    </w:p>
    <w:p w:rsidR="00A62AC8" w:rsidRPr="00FE3F81" w:rsidRDefault="00A62AC8" w:rsidP="00FE3F81">
      <w:pPr>
        <w:rPr>
          <w:highlight w:val="yellow"/>
        </w:rPr>
      </w:pPr>
    </w:p>
    <w:p w:rsidR="00A62AC8" w:rsidRPr="00FE3F81" w:rsidRDefault="00A62AC8" w:rsidP="00FE3F81">
      <w:pPr>
        <w:rPr>
          <w:highlight w:val="yellow"/>
        </w:rPr>
      </w:pPr>
      <w:r w:rsidRPr="00FE3F81">
        <w:lastRenderedPageBreak/>
        <w:t>Den anslagsfinansierade delen av pensioner/arbetsgivaravgifter b</w:t>
      </w:r>
      <w:r w:rsidRPr="00FE3F81">
        <w:t>e</w:t>
      </w:r>
      <w:r w:rsidRPr="00FE3F81">
        <w:t xml:space="preserve">döms </w:t>
      </w:r>
      <w:r w:rsidR="0050751A">
        <w:t>öka något</w:t>
      </w:r>
      <w:r w:rsidRPr="00FE3F81">
        <w:t xml:space="preserve"> jämfört med tidigare beslutad plan 2015. </w:t>
      </w:r>
    </w:p>
    <w:p w:rsidR="00A62AC8" w:rsidRPr="00FE3F81" w:rsidRDefault="00A62AC8" w:rsidP="00FE3F81">
      <w:pPr>
        <w:rPr>
          <w:highlight w:val="yellow"/>
        </w:rPr>
      </w:pPr>
    </w:p>
    <w:p w:rsidR="00A62AC8" w:rsidRPr="00FE3F81" w:rsidRDefault="00A62AC8" w:rsidP="00FE3F81">
      <w:r w:rsidRPr="00FE3F81">
        <w:t>I resultatbudgetens reviderade plan för 201</w:t>
      </w:r>
      <w:r>
        <w:t>5</w:t>
      </w:r>
      <w:r w:rsidRPr="00FE3F81">
        <w:t xml:space="preserve"> är skatterna beräknade utifrån SKL:s senaste prognos i slutet av april. För 201</w:t>
      </w:r>
      <w:r>
        <w:t>4</w:t>
      </w:r>
      <w:r w:rsidRPr="00FE3F81">
        <w:t xml:space="preserve"> väntas skatteunderlagstillväxten bli </w:t>
      </w:r>
      <w:r w:rsidR="0050751A">
        <w:t>3,4</w:t>
      </w:r>
      <w:r w:rsidRPr="00FE3F81">
        <w:t xml:space="preserve"> procent. </w:t>
      </w:r>
    </w:p>
    <w:p w:rsidR="00A62AC8" w:rsidRDefault="00A62AC8" w:rsidP="00FE3F81">
      <w:pPr>
        <w:rPr>
          <w:rFonts w:eastAsia="Times New Roman"/>
          <w:highlight w:val="yellow"/>
          <w:lang w:eastAsia="sv-SE"/>
        </w:rPr>
      </w:pPr>
    </w:p>
    <w:p w:rsidR="00A62AC8" w:rsidRPr="002F74F0" w:rsidRDefault="00A62AC8" w:rsidP="00FE3F81">
      <w:r w:rsidRPr="002F74F0">
        <w:t>Från och med den 1 januari 2014 började det reviderade systemet för kommunal utjämning att gälla. Förändringarna avser inkomstu</w:t>
      </w:r>
      <w:r w:rsidRPr="002F74F0">
        <w:t>t</w:t>
      </w:r>
      <w:r w:rsidRPr="002F74F0">
        <w:t xml:space="preserve">jämningen, kostnadsutjämningen och regleringsposten. </w:t>
      </w:r>
      <w:r>
        <w:t>För Stoc</w:t>
      </w:r>
      <w:r>
        <w:t>k</w:t>
      </w:r>
      <w:r>
        <w:t>holms stad innebär förändringarna ett kraftigt försämrat utfall i kostnadsutjämningen. För att minska effekten av det nya systemet betalas ett införandebidrag ut. När införandebidraget trappats av kommer detta att innebära att staden har tappat cirka 1,0 mdr i finansiering.</w:t>
      </w:r>
    </w:p>
    <w:p w:rsidR="00A62AC8" w:rsidRDefault="00A62AC8" w:rsidP="00FE3F81"/>
    <w:p w:rsidR="00A62AC8" w:rsidRDefault="0050751A" w:rsidP="00042E18">
      <w:r w:rsidRPr="0050751A">
        <w:rPr>
          <w:noProof/>
          <w:lang w:eastAsia="sv-SE"/>
        </w:rPr>
        <w:drawing>
          <wp:inline distT="0" distB="0" distL="0" distR="0" wp14:anchorId="63455E67" wp14:editId="77438D9A">
            <wp:extent cx="4176395" cy="4259756"/>
            <wp:effectExtent l="0" t="0" r="0" b="7620"/>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6395" cy="4259756"/>
                    </a:xfrm>
                    <a:prstGeom prst="rect">
                      <a:avLst/>
                    </a:prstGeom>
                    <a:noFill/>
                    <a:ln>
                      <a:noFill/>
                    </a:ln>
                  </pic:spPr>
                </pic:pic>
              </a:graphicData>
            </a:graphic>
          </wp:inline>
        </w:drawing>
      </w:r>
    </w:p>
    <w:p w:rsidR="00A62AC8" w:rsidRDefault="00A62AC8" w:rsidP="000F5B55">
      <w:pPr>
        <w:spacing w:line="0" w:lineRule="auto"/>
      </w:pPr>
    </w:p>
    <w:p w:rsidR="00A62AC8" w:rsidRPr="0082203A" w:rsidRDefault="00A62AC8" w:rsidP="008B19BA">
      <w:pPr>
        <w:spacing w:line="0" w:lineRule="auto"/>
      </w:pPr>
    </w:p>
    <w:p w:rsidR="00A62AC8" w:rsidRPr="001F3A17" w:rsidRDefault="00A62AC8" w:rsidP="0082203A">
      <w:pPr>
        <w:spacing w:line="0" w:lineRule="auto"/>
      </w:pPr>
    </w:p>
    <w:p w:rsidR="00A62AC8" w:rsidRPr="0016522D" w:rsidRDefault="00A62AC8" w:rsidP="001F3A17">
      <w:pPr>
        <w:spacing w:line="0" w:lineRule="auto"/>
      </w:pPr>
    </w:p>
    <w:p w:rsidR="00A62AC8" w:rsidRPr="00655CDD" w:rsidRDefault="00A62AC8" w:rsidP="0016522D">
      <w:pPr>
        <w:spacing w:line="0" w:lineRule="auto"/>
      </w:pPr>
    </w:p>
    <w:p w:rsidR="00AE64B5" w:rsidRPr="00AE64B5" w:rsidRDefault="00AE64B5" w:rsidP="00AE64B5"/>
    <w:p w:rsidR="00316898" w:rsidRDefault="00316898" w:rsidP="000F5B55">
      <w:pPr>
        <w:spacing w:line="0" w:lineRule="auto"/>
      </w:pPr>
    </w:p>
    <w:p w:rsidR="0082203A" w:rsidRPr="0082203A" w:rsidRDefault="0082203A" w:rsidP="008B19BA">
      <w:pPr>
        <w:spacing w:line="0" w:lineRule="auto"/>
      </w:pPr>
    </w:p>
    <w:p w:rsidR="001F3A17" w:rsidRPr="001F3A17" w:rsidRDefault="001F3A17" w:rsidP="0082203A">
      <w:pPr>
        <w:spacing w:line="0" w:lineRule="auto"/>
      </w:pPr>
    </w:p>
    <w:p w:rsidR="0016522D" w:rsidRPr="0016522D" w:rsidRDefault="0016522D" w:rsidP="001F3A17">
      <w:pPr>
        <w:spacing w:line="0" w:lineRule="auto"/>
      </w:pPr>
    </w:p>
    <w:p w:rsidR="00655CDD" w:rsidRPr="00655CDD" w:rsidRDefault="00655CDD" w:rsidP="0016522D">
      <w:pPr>
        <w:spacing w:line="0" w:lineRule="auto"/>
      </w:pPr>
    </w:p>
    <w:sectPr w:rsidR="00655CDD" w:rsidRPr="00655CDD" w:rsidSect="000F1527">
      <w:headerReference w:type="default" r:id="rId26"/>
      <w:footerReference w:type="default" r:id="rId27"/>
      <w:headerReference w:type="first" r:id="rId28"/>
      <w:footerReference w:type="first" r:id="rId29"/>
      <w:pgSz w:w="11907" w:h="16840" w:code="9"/>
      <w:pgMar w:top="2313" w:right="1134" w:bottom="907" w:left="4196" w:header="73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25" w:rsidRDefault="00FD4925" w:rsidP="00AA7530">
      <w:pPr>
        <w:spacing w:line="240" w:lineRule="auto"/>
      </w:pPr>
      <w:r>
        <w:separator/>
      </w:r>
    </w:p>
  </w:endnote>
  <w:endnote w:type="continuationSeparator" w:id="0">
    <w:p w:rsidR="00FD4925" w:rsidRDefault="00FD4925" w:rsidP="00AA7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hronicleTextG1-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text" w:horzAnchor="page" w:tblpX="908" w:tblpY="1"/>
      <w:tblOverlap w:val="never"/>
      <w:tblW w:w="2897" w:type="dxa"/>
      <w:tblLayout w:type="fixed"/>
      <w:tblCellMar>
        <w:left w:w="0" w:type="dxa"/>
        <w:right w:w="0" w:type="dxa"/>
      </w:tblCellMar>
      <w:tblLook w:val="04A0" w:firstRow="1" w:lastRow="0" w:firstColumn="1" w:lastColumn="0" w:noHBand="0" w:noVBand="1"/>
    </w:tblPr>
    <w:tblGrid>
      <w:gridCol w:w="2897"/>
    </w:tblGrid>
    <w:tr w:rsidR="00FD4925" w:rsidRPr="008B19BA" w:rsidTr="00207FEA">
      <w:trPr>
        <w:trHeight w:val="397"/>
      </w:trPr>
      <w:tc>
        <w:tcPr>
          <w:tcW w:w="2642" w:type="dxa"/>
          <w:tcBorders>
            <w:top w:val="nil"/>
            <w:left w:val="nil"/>
            <w:bottom w:val="nil"/>
            <w:right w:val="nil"/>
          </w:tcBorders>
          <w:vAlign w:val="bottom"/>
        </w:tcPr>
        <w:bookmarkStart w:id="3" w:name="Sidfoten"/>
        <w:p w:rsidR="00FD4925" w:rsidRPr="008B19BA" w:rsidRDefault="00FD4925" w:rsidP="00207FEA">
          <w:pPr>
            <w:pStyle w:val="Sidfot"/>
            <w:rPr>
              <w:b/>
              <w:szCs w:val="16"/>
            </w:rPr>
          </w:pPr>
          <w:r w:rsidRPr="008B19BA">
            <w:rPr>
              <w:b/>
              <w:szCs w:val="16"/>
            </w:rPr>
            <w:fldChar w:fldCharType="begin"/>
          </w:r>
          <w:r w:rsidRPr="008B19BA">
            <w:rPr>
              <w:b/>
              <w:szCs w:val="16"/>
            </w:rPr>
            <w:instrText xml:space="preserve"> STYLEREF   "Rubrik 1" \* MERGEFORMAT </w:instrText>
          </w:r>
          <w:r w:rsidRPr="008B19BA">
            <w:rPr>
              <w:b/>
              <w:szCs w:val="16"/>
            </w:rPr>
            <w:fldChar w:fldCharType="separate"/>
          </w:r>
          <w:r w:rsidR="00A34816">
            <w:rPr>
              <w:b/>
              <w:noProof/>
              <w:szCs w:val="16"/>
            </w:rPr>
            <w:t>Konjunkturärende med planeringsförutsättningar för budget 2015 med inriktning för 2016 och 2017</w:t>
          </w:r>
          <w:r w:rsidRPr="008B19BA">
            <w:rPr>
              <w:b/>
              <w:szCs w:val="16"/>
            </w:rPr>
            <w:fldChar w:fldCharType="end"/>
          </w:r>
        </w:p>
      </w:tc>
    </w:tr>
    <w:tr w:rsidR="00FD4925" w:rsidRPr="008B19BA" w:rsidTr="00207FEA">
      <w:trPr>
        <w:trHeight w:val="1003"/>
      </w:trPr>
      <w:tc>
        <w:tcPr>
          <w:tcW w:w="2642" w:type="dxa"/>
          <w:tcBorders>
            <w:top w:val="nil"/>
            <w:left w:val="nil"/>
            <w:bottom w:val="nil"/>
            <w:right w:val="nil"/>
          </w:tcBorders>
          <w:vAlign w:val="bottom"/>
        </w:tcPr>
        <w:p w:rsidR="00FD4925" w:rsidRPr="008B19BA" w:rsidRDefault="00FD4925" w:rsidP="00207FEA">
          <w:pPr>
            <w:pStyle w:val="Sidfot"/>
            <w:rPr>
              <w:b/>
              <w:szCs w:val="16"/>
            </w:rPr>
          </w:pPr>
        </w:p>
      </w:tc>
    </w:tr>
    <w:bookmarkEnd w:id="3"/>
  </w:tbl>
  <w:p w:rsidR="00FD4925" w:rsidRPr="008B19BA" w:rsidRDefault="00FD4925" w:rsidP="00C70EC4">
    <w:pPr>
      <w:pStyle w:val="Sidfo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text" w:horzAnchor="page" w:tblpX="908" w:tblpY="1"/>
      <w:tblOverlap w:val="never"/>
      <w:tblW w:w="2897" w:type="dxa"/>
      <w:tblLayout w:type="fixed"/>
      <w:tblCellMar>
        <w:left w:w="0" w:type="dxa"/>
        <w:right w:w="0" w:type="dxa"/>
      </w:tblCellMar>
      <w:tblLook w:val="04A0" w:firstRow="1" w:lastRow="0" w:firstColumn="1" w:lastColumn="0" w:noHBand="0" w:noVBand="1"/>
    </w:tblPr>
    <w:tblGrid>
      <w:gridCol w:w="2897"/>
    </w:tblGrid>
    <w:tr w:rsidR="00FD4925" w:rsidRPr="009339F3" w:rsidTr="000F1527">
      <w:trPr>
        <w:trHeight w:val="1842"/>
      </w:trPr>
      <w:tc>
        <w:tcPr>
          <w:tcW w:w="2642" w:type="dxa"/>
          <w:tcBorders>
            <w:top w:val="nil"/>
            <w:left w:val="nil"/>
            <w:bottom w:val="nil"/>
            <w:right w:val="nil"/>
          </w:tcBorders>
          <w:vAlign w:val="bottom"/>
        </w:tcPr>
        <w:p w:rsidR="00FD4925" w:rsidRDefault="00FD4925" w:rsidP="00CA2A55">
          <w:pPr>
            <w:pStyle w:val="SidfotFrvaltning"/>
            <w:framePr w:wrap="auto" w:vAnchor="margin" w:hAnchor="text" w:xAlign="left" w:yAlign="inline"/>
            <w:suppressOverlap w:val="0"/>
          </w:pPr>
          <w:r>
            <w:t xml:space="preserve">Stadsledningskontoret </w:t>
          </w:r>
        </w:p>
        <w:p w:rsidR="00FD4925" w:rsidRDefault="00FD4925" w:rsidP="00CA2A55">
          <w:pPr>
            <w:pStyle w:val="Sidfot"/>
          </w:pPr>
          <w:r>
            <w:t xml:space="preserve">Finansavdelningen </w:t>
          </w:r>
        </w:p>
        <w:p w:rsidR="00FD4925" w:rsidRDefault="00FD4925" w:rsidP="00CA2A55">
          <w:pPr>
            <w:pStyle w:val="Sidfot"/>
          </w:pPr>
        </w:p>
        <w:p w:rsidR="00FD4925" w:rsidRDefault="00FD4925" w:rsidP="00CA2A55">
          <w:pPr>
            <w:pStyle w:val="Sidfot"/>
          </w:pPr>
          <w:r>
            <w:t>kommunstyrelsen@stockholm.se</w:t>
          </w:r>
        </w:p>
        <w:p w:rsidR="00FD4925" w:rsidRPr="00CA2A55" w:rsidRDefault="00FD4925" w:rsidP="00CA2A55">
          <w:pPr>
            <w:pStyle w:val="Sidfot"/>
          </w:pPr>
          <w:r>
            <w:t>stockholm.se</w:t>
          </w:r>
        </w:p>
      </w:tc>
    </w:tr>
    <w:tr w:rsidR="00FD4925" w:rsidRPr="009339F3" w:rsidTr="000F1527">
      <w:trPr>
        <w:trHeight w:val="1003"/>
      </w:trPr>
      <w:tc>
        <w:tcPr>
          <w:tcW w:w="2642" w:type="dxa"/>
          <w:tcBorders>
            <w:top w:val="nil"/>
            <w:left w:val="nil"/>
            <w:bottom w:val="nil"/>
            <w:right w:val="nil"/>
          </w:tcBorders>
          <w:vAlign w:val="bottom"/>
        </w:tcPr>
        <w:p w:rsidR="00FD4925" w:rsidRPr="009339F3" w:rsidRDefault="00FD4925" w:rsidP="000F1527">
          <w:pPr>
            <w:pStyle w:val="Sidfot"/>
            <w:rPr>
              <w:szCs w:val="16"/>
            </w:rPr>
          </w:pPr>
        </w:p>
      </w:tc>
    </w:tr>
  </w:tbl>
  <w:p w:rsidR="00FD4925" w:rsidRPr="009339F3" w:rsidRDefault="00FD4925" w:rsidP="00F40A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25" w:rsidRDefault="00FD4925" w:rsidP="00AA7530">
      <w:pPr>
        <w:spacing w:line="240" w:lineRule="auto"/>
      </w:pPr>
      <w:r>
        <w:separator/>
      </w:r>
    </w:p>
  </w:footnote>
  <w:footnote w:type="continuationSeparator" w:id="0">
    <w:p w:rsidR="00FD4925" w:rsidRDefault="00FD4925" w:rsidP="00AA7530">
      <w:pPr>
        <w:spacing w:line="240" w:lineRule="auto"/>
      </w:pPr>
      <w:r>
        <w:continuationSeparator/>
      </w:r>
    </w:p>
  </w:footnote>
  <w:footnote w:id="1">
    <w:p w:rsidR="00FD4925" w:rsidRPr="004551FD" w:rsidRDefault="00FD4925" w:rsidP="00155FC3">
      <w:pPr>
        <w:pStyle w:val="Fotnotstext"/>
      </w:pPr>
      <w:r>
        <w:rPr>
          <w:rStyle w:val="Fotnotsreferens"/>
        </w:rPr>
        <w:footnoteRef/>
      </w:r>
      <w:r>
        <w:t xml:space="preserve"> </w:t>
      </w:r>
      <w:r w:rsidRPr="004551FD">
        <w:t>Ungefär tre fjärdedelar av det kommunala skatteunderlaget utgörs av lönesu</w:t>
      </w:r>
      <w:r w:rsidRPr="004551FD">
        <w:t>m</w:t>
      </w:r>
      <w:r w:rsidRPr="004551FD">
        <w:t>man i samhället.</w:t>
      </w:r>
    </w:p>
  </w:footnote>
  <w:footnote w:id="2">
    <w:p w:rsidR="00FD4925" w:rsidRDefault="00FD4925" w:rsidP="007845BA">
      <w:pPr>
        <w:pStyle w:val="Fotnotstext"/>
      </w:pPr>
      <w:r>
        <w:rPr>
          <w:rStyle w:val="Fotnotsreferens"/>
        </w:rPr>
        <w:footnoteRef/>
      </w:r>
      <w:r>
        <w:t xml:space="preserve"> Utbildningsdepartementet 2 april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page" w:horzAnchor="page" w:tblpX="908" w:tblpY="681"/>
      <w:tblOverlap w:val="never"/>
      <w:tblW w:w="0" w:type="auto"/>
      <w:tblCellMar>
        <w:left w:w="0" w:type="dxa"/>
        <w:right w:w="0" w:type="dxa"/>
      </w:tblCellMar>
      <w:tblLook w:val="04A0" w:firstRow="1" w:lastRow="0" w:firstColumn="1" w:lastColumn="0" w:noHBand="0" w:noVBand="1"/>
    </w:tblPr>
    <w:tblGrid>
      <w:gridCol w:w="2660"/>
    </w:tblGrid>
    <w:tr w:rsidR="00FD4925" w:rsidTr="009916D1">
      <w:trPr>
        <w:trHeight w:val="989"/>
      </w:trPr>
      <w:tc>
        <w:tcPr>
          <w:tcW w:w="2660" w:type="dxa"/>
          <w:tcBorders>
            <w:top w:val="nil"/>
            <w:left w:val="nil"/>
            <w:bottom w:val="nil"/>
            <w:right w:val="nil"/>
          </w:tcBorders>
        </w:tcPr>
        <w:p w:rsidR="00FD4925" w:rsidRDefault="00FD4925" w:rsidP="009916D1">
          <w:pPr>
            <w:pStyle w:val="Sidhuvud"/>
          </w:pPr>
          <w:r>
            <w:rPr>
              <w:noProof/>
              <w:lang w:eastAsia="sv-SE"/>
            </w:rPr>
            <w:drawing>
              <wp:inline distT="0" distB="0" distL="0" distR="0" wp14:anchorId="6EC21141" wp14:editId="261CD337">
                <wp:extent cx="1440183" cy="489205"/>
                <wp:effectExtent l="19050" t="0" r="7617" b="0"/>
                <wp:docPr id="3" name="Bildobjekt 2" descr="Stockholm stad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holm stad_svart.png"/>
                        <pic:cNvPicPr/>
                      </pic:nvPicPr>
                      <pic:blipFill>
                        <a:blip r:embed="rId1"/>
                        <a:stretch>
                          <a:fillRect/>
                        </a:stretch>
                      </pic:blipFill>
                      <pic:spPr>
                        <a:xfrm>
                          <a:off x="0" y="0"/>
                          <a:ext cx="1440183" cy="489205"/>
                        </a:xfrm>
                        <a:prstGeom prst="rect">
                          <a:avLst/>
                        </a:prstGeom>
                      </pic:spPr>
                    </pic:pic>
                  </a:graphicData>
                </a:graphic>
              </wp:inline>
            </w:drawing>
          </w:r>
        </w:p>
      </w:tc>
    </w:tr>
  </w:tbl>
  <w:tbl>
    <w:tblPr>
      <w:tblStyle w:val="Tabellrutnt"/>
      <w:tblW w:w="0" w:type="auto"/>
      <w:jc w:val="righ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305"/>
    </w:tblGrid>
    <w:tr w:rsidR="00FD4925" w:rsidRPr="00AE3BC1" w:rsidTr="000F1527">
      <w:trPr>
        <w:jc w:val="right"/>
      </w:trPr>
      <w:tc>
        <w:tcPr>
          <w:tcW w:w="3272" w:type="dxa"/>
        </w:tcPr>
        <w:p w:rsidR="00FD4925" w:rsidRPr="00AE3BC1" w:rsidRDefault="00FD4925" w:rsidP="00155FC3">
          <w:pPr>
            <w:pStyle w:val="Sidhuvud"/>
            <w:rPr>
              <w:rFonts w:cstheme="majorHAnsi"/>
              <w:b/>
              <w:spacing w:val="2"/>
              <w:szCs w:val="20"/>
            </w:rPr>
          </w:pPr>
        </w:p>
      </w:tc>
      <w:tc>
        <w:tcPr>
          <w:tcW w:w="3305" w:type="dxa"/>
          <w:vMerge w:val="restart"/>
        </w:tcPr>
        <w:p w:rsidR="00FD4925" w:rsidRDefault="00FD4925" w:rsidP="00155FC3">
          <w:pPr>
            <w:pStyle w:val="Sidhuvud"/>
            <w:jc w:val="right"/>
            <w:rPr>
              <w:rFonts w:cstheme="majorHAnsi"/>
              <w:spacing w:val="2"/>
              <w:szCs w:val="20"/>
            </w:rPr>
          </w:pPr>
          <w:r>
            <w:rPr>
              <w:rFonts w:cstheme="majorHAnsi"/>
              <w:spacing w:val="2"/>
              <w:szCs w:val="20"/>
            </w:rPr>
            <w:t>Tjänsteutlåtande</w:t>
          </w:r>
        </w:p>
        <w:p w:rsidR="00FD4925" w:rsidRDefault="00FD4925" w:rsidP="00155FC3">
          <w:pPr>
            <w:pStyle w:val="Sidhuvud"/>
            <w:jc w:val="right"/>
            <w:rPr>
              <w:rFonts w:cstheme="majorHAnsi"/>
              <w:spacing w:val="2"/>
              <w:szCs w:val="20"/>
            </w:rPr>
          </w:pPr>
          <w:r>
            <w:rPr>
              <w:rFonts w:cstheme="majorHAnsi"/>
              <w:spacing w:val="2"/>
              <w:szCs w:val="20"/>
            </w:rPr>
            <w:t>Dnr 119-539/2014</w:t>
          </w:r>
        </w:p>
        <w:p w:rsidR="00FD4925" w:rsidRPr="00AE3BC1" w:rsidRDefault="00FD4925" w:rsidP="00155FC3">
          <w:pPr>
            <w:pStyle w:val="Sidhuvud"/>
            <w:jc w:val="right"/>
            <w:rPr>
              <w:rFonts w:cstheme="majorHAnsi"/>
              <w:spacing w:val="2"/>
              <w:szCs w:val="20"/>
            </w:rPr>
          </w:pPr>
          <w:r w:rsidRPr="00AE3BC1">
            <w:rPr>
              <w:rFonts w:cstheme="majorHAnsi"/>
              <w:spacing w:val="2"/>
              <w:szCs w:val="20"/>
            </w:rPr>
            <w:t xml:space="preserve">Sida </w:t>
          </w:r>
          <w:r w:rsidRPr="00AE3BC1">
            <w:rPr>
              <w:rFonts w:cstheme="majorHAnsi"/>
              <w:spacing w:val="2"/>
              <w:szCs w:val="20"/>
            </w:rPr>
            <w:fldChar w:fldCharType="begin"/>
          </w:r>
          <w:r w:rsidRPr="00AE3BC1">
            <w:rPr>
              <w:rFonts w:cstheme="majorHAnsi"/>
              <w:spacing w:val="2"/>
              <w:szCs w:val="20"/>
            </w:rPr>
            <w:instrText xml:space="preserve"> PAGE   \* MERGEFORMAT </w:instrText>
          </w:r>
          <w:r w:rsidRPr="00AE3BC1">
            <w:rPr>
              <w:rFonts w:cstheme="majorHAnsi"/>
              <w:spacing w:val="2"/>
              <w:szCs w:val="20"/>
            </w:rPr>
            <w:fldChar w:fldCharType="separate"/>
          </w:r>
          <w:r w:rsidR="00A34816">
            <w:rPr>
              <w:rFonts w:cstheme="majorHAnsi"/>
              <w:noProof/>
              <w:spacing w:val="2"/>
              <w:szCs w:val="20"/>
            </w:rPr>
            <w:t>2</w:t>
          </w:r>
          <w:r w:rsidRPr="00AE3BC1">
            <w:rPr>
              <w:rFonts w:cstheme="majorHAnsi"/>
              <w:spacing w:val="2"/>
              <w:szCs w:val="20"/>
            </w:rPr>
            <w:fldChar w:fldCharType="end"/>
          </w:r>
          <w:r w:rsidRPr="00AE3BC1">
            <w:rPr>
              <w:rFonts w:cstheme="majorHAnsi"/>
              <w:spacing w:val="2"/>
              <w:szCs w:val="20"/>
            </w:rPr>
            <w:t xml:space="preserve"> (</w:t>
          </w:r>
          <w:r w:rsidR="00A34816">
            <w:fldChar w:fldCharType="begin"/>
          </w:r>
          <w:r w:rsidR="00A34816">
            <w:instrText xml:space="preserve"> NUMPAGES   \* MERGEFORMAT </w:instrText>
          </w:r>
          <w:r w:rsidR="00A34816">
            <w:fldChar w:fldCharType="separate"/>
          </w:r>
          <w:r w:rsidR="00A34816" w:rsidRPr="00A34816">
            <w:rPr>
              <w:rFonts w:cstheme="majorHAnsi"/>
              <w:noProof/>
              <w:spacing w:val="2"/>
              <w:szCs w:val="20"/>
            </w:rPr>
            <w:t>32</w:t>
          </w:r>
          <w:r w:rsidR="00A34816">
            <w:rPr>
              <w:rFonts w:cstheme="majorHAnsi"/>
              <w:noProof/>
              <w:spacing w:val="2"/>
              <w:szCs w:val="20"/>
            </w:rPr>
            <w:fldChar w:fldCharType="end"/>
          </w:r>
          <w:r w:rsidRPr="00AE3BC1">
            <w:rPr>
              <w:rFonts w:cstheme="majorHAnsi"/>
              <w:spacing w:val="2"/>
              <w:szCs w:val="20"/>
            </w:rPr>
            <w:t>)</w:t>
          </w:r>
        </w:p>
      </w:tc>
    </w:tr>
    <w:tr w:rsidR="00FD4925" w:rsidRPr="00AE3BC1" w:rsidTr="000F1527">
      <w:trPr>
        <w:trHeight w:val="793"/>
        <w:jc w:val="right"/>
      </w:trPr>
      <w:tc>
        <w:tcPr>
          <w:tcW w:w="3272" w:type="dxa"/>
        </w:tcPr>
        <w:p w:rsidR="00FD4925" w:rsidRPr="00AE3BC1" w:rsidRDefault="00FD4925" w:rsidP="00155FC3">
          <w:pPr>
            <w:pStyle w:val="Sidhuvud"/>
            <w:rPr>
              <w:rFonts w:cstheme="majorHAnsi"/>
              <w:b/>
              <w:spacing w:val="2"/>
              <w:szCs w:val="20"/>
            </w:rPr>
          </w:pPr>
        </w:p>
      </w:tc>
      <w:tc>
        <w:tcPr>
          <w:tcW w:w="3305" w:type="dxa"/>
          <w:vMerge/>
        </w:tcPr>
        <w:p w:rsidR="00FD4925" w:rsidRPr="00AE3BC1" w:rsidRDefault="00FD4925" w:rsidP="00155FC3">
          <w:pPr>
            <w:pStyle w:val="Sidhuvud"/>
            <w:jc w:val="right"/>
            <w:rPr>
              <w:rFonts w:cstheme="majorHAnsi"/>
              <w:b/>
              <w:spacing w:val="2"/>
              <w:szCs w:val="20"/>
            </w:rPr>
          </w:pPr>
        </w:p>
      </w:tc>
    </w:tr>
  </w:tbl>
  <w:p w:rsidR="00FD4925" w:rsidRPr="00AE3BC1" w:rsidRDefault="00FD4925" w:rsidP="004B3A27">
    <w:pPr>
      <w:pStyle w:val="Sidhuvud"/>
      <w:spacing w:after="244"/>
      <w:rPr>
        <w:spacing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pPr w:vertAnchor="page" w:horzAnchor="page" w:tblpX="908" w:tblpY="681"/>
      <w:tblOverlap w:val="never"/>
      <w:tblW w:w="0" w:type="auto"/>
      <w:tblCellMar>
        <w:left w:w="0" w:type="dxa"/>
        <w:right w:w="0" w:type="dxa"/>
      </w:tblCellMar>
      <w:tblLook w:val="04A0" w:firstRow="1" w:lastRow="0" w:firstColumn="1" w:lastColumn="0" w:noHBand="0" w:noVBand="1"/>
    </w:tblPr>
    <w:tblGrid>
      <w:gridCol w:w="2660"/>
    </w:tblGrid>
    <w:tr w:rsidR="00FD4925" w:rsidRPr="003524D5" w:rsidTr="000F1527">
      <w:trPr>
        <w:trHeight w:val="1131"/>
      </w:trPr>
      <w:tc>
        <w:tcPr>
          <w:tcW w:w="2660" w:type="dxa"/>
          <w:tcBorders>
            <w:top w:val="nil"/>
            <w:left w:val="nil"/>
            <w:bottom w:val="nil"/>
            <w:right w:val="nil"/>
          </w:tcBorders>
        </w:tcPr>
        <w:p w:rsidR="00FD4925" w:rsidRPr="003524D5" w:rsidRDefault="00FD4925" w:rsidP="000F1527">
          <w:pPr>
            <w:pStyle w:val="Sidhuvud"/>
            <w:rPr>
              <w:szCs w:val="20"/>
            </w:rPr>
          </w:pPr>
          <w:r>
            <w:rPr>
              <w:noProof/>
              <w:szCs w:val="20"/>
              <w:lang w:eastAsia="sv-SE"/>
            </w:rPr>
            <w:drawing>
              <wp:inline distT="0" distB="0" distL="0" distR="0" wp14:anchorId="0BD052DE" wp14:editId="5207D5AE">
                <wp:extent cx="1440183" cy="489205"/>
                <wp:effectExtent l="19050" t="0" r="7617" b="0"/>
                <wp:docPr id="2" name="Bildobjekt 1" descr="Stockholm stad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holm stad_svart.png"/>
                        <pic:cNvPicPr/>
                      </pic:nvPicPr>
                      <pic:blipFill>
                        <a:blip r:embed="rId1"/>
                        <a:stretch>
                          <a:fillRect/>
                        </a:stretch>
                      </pic:blipFill>
                      <pic:spPr>
                        <a:xfrm>
                          <a:off x="0" y="0"/>
                          <a:ext cx="1440183" cy="489205"/>
                        </a:xfrm>
                        <a:prstGeom prst="rect">
                          <a:avLst/>
                        </a:prstGeom>
                      </pic:spPr>
                    </pic:pic>
                  </a:graphicData>
                </a:graphic>
              </wp:inline>
            </w:drawing>
          </w:r>
        </w:p>
      </w:tc>
    </w:tr>
  </w:tbl>
  <w:tbl>
    <w:tblPr>
      <w:tblStyle w:val="Tabellrutnt"/>
      <w:tblW w:w="0" w:type="auto"/>
      <w:jc w:val="right"/>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305"/>
    </w:tblGrid>
    <w:tr w:rsidR="00FD4925" w:rsidRPr="003524D5" w:rsidTr="000F1527">
      <w:trPr>
        <w:jc w:val="right"/>
      </w:trPr>
      <w:tc>
        <w:tcPr>
          <w:tcW w:w="3272" w:type="dxa"/>
        </w:tcPr>
        <w:p w:rsidR="00FD4925" w:rsidRPr="003524D5" w:rsidRDefault="00FD4925" w:rsidP="00155FC3">
          <w:pPr>
            <w:pStyle w:val="Sidhuvud"/>
            <w:rPr>
              <w:rFonts w:cstheme="majorHAnsi"/>
              <w:b/>
              <w:spacing w:val="2"/>
              <w:szCs w:val="20"/>
            </w:rPr>
          </w:pPr>
          <w:r>
            <w:rPr>
              <w:rFonts w:cstheme="majorHAnsi"/>
              <w:b/>
              <w:spacing w:val="2"/>
              <w:szCs w:val="20"/>
            </w:rPr>
            <w:t xml:space="preserve">Stadsledningskontoret </w:t>
          </w:r>
        </w:p>
      </w:tc>
      <w:tc>
        <w:tcPr>
          <w:tcW w:w="3305" w:type="dxa"/>
          <w:vMerge w:val="restart"/>
        </w:tcPr>
        <w:p w:rsidR="00FD4925" w:rsidRDefault="00FD4925" w:rsidP="00B75C59">
          <w:pPr>
            <w:pStyle w:val="Sidhuvud"/>
            <w:jc w:val="right"/>
            <w:rPr>
              <w:rFonts w:cstheme="majorHAnsi"/>
              <w:spacing w:val="2"/>
              <w:szCs w:val="20"/>
            </w:rPr>
          </w:pPr>
          <w:r>
            <w:rPr>
              <w:rFonts w:cstheme="majorHAnsi"/>
              <w:spacing w:val="2"/>
              <w:szCs w:val="20"/>
            </w:rPr>
            <w:t>Tjänsteutlåtande</w:t>
          </w:r>
        </w:p>
        <w:p w:rsidR="00FD4925" w:rsidRDefault="00FD4925" w:rsidP="00B75C59">
          <w:pPr>
            <w:pStyle w:val="Sidhuvud"/>
            <w:jc w:val="right"/>
            <w:rPr>
              <w:rFonts w:cstheme="majorHAnsi"/>
              <w:spacing w:val="2"/>
              <w:szCs w:val="20"/>
            </w:rPr>
          </w:pPr>
          <w:r>
            <w:rPr>
              <w:rFonts w:cstheme="majorHAnsi"/>
              <w:spacing w:val="2"/>
              <w:szCs w:val="20"/>
            </w:rPr>
            <w:t>Dnr 119-539/2014</w:t>
          </w:r>
        </w:p>
        <w:p w:rsidR="00FD4925" w:rsidRDefault="00FD4925" w:rsidP="00B75C59">
          <w:pPr>
            <w:pStyle w:val="Sidhuvud"/>
            <w:jc w:val="right"/>
            <w:rPr>
              <w:rFonts w:cstheme="majorHAnsi"/>
              <w:spacing w:val="2"/>
              <w:szCs w:val="20"/>
            </w:rPr>
          </w:pPr>
          <w:r w:rsidRPr="003524D5">
            <w:rPr>
              <w:rFonts w:cstheme="majorHAnsi"/>
              <w:spacing w:val="2"/>
              <w:szCs w:val="20"/>
            </w:rPr>
            <w:t xml:space="preserve">Sida </w:t>
          </w:r>
          <w:r w:rsidRPr="003524D5">
            <w:rPr>
              <w:rFonts w:cstheme="majorHAnsi"/>
              <w:spacing w:val="2"/>
              <w:szCs w:val="20"/>
            </w:rPr>
            <w:fldChar w:fldCharType="begin"/>
          </w:r>
          <w:r w:rsidRPr="003524D5">
            <w:rPr>
              <w:rFonts w:cstheme="majorHAnsi"/>
              <w:spacing w:val="2"/>
              <w:szCs w:val="20"/>
            </w:rPr>
            <w:instrText xml:space="preserve"> PAGE   \* MERGEFORMAT </w:instrText>
          </w:r>
          <w:r w:rsidRPr="003524D5">
            <w:rPr>
              <w:rFonts w:cstheme="majorHAnsi"/>
              <w:spacing w:val="2"/>
              <w:szCs w:val="20"/>
            </w:rPr>
            <w:fldChar w:fldCharType="separate"/>
          </w:r>
          <w:r w:rsidR="00A34816">
            <w:rPr>
              <w:rFonts w:cstheme="majorHAnsi"/>
              <w:noProof/>
              <w:spacing w:val="2"/>
              <w:szCs w:val="20"/>
            </w:rPr>
            <w:t>1</w:t>
          </w:r>
          <w:r w:rsidRPr="003524D5">
            <w:rPr>
              <w:rFonts w:cstheme="majorHAnsi"/>
              <w:spacing w:val="2"/>
              <w:szCs w:val="20"/>
            </w:rPr>
            <w:fldChar w:fldCharType="end"/>
          </w:r>
          <w:r w:rsidRPr="003524D5">
            <w:rPr>
              <w:rFonts w:cstheme="majorHAnsi"/>
              <w:spacing w:val="2"/>
              <w:szCs w:val="20"/>
            </w:rPr>
            <w:t xml:space="preserve"> (</w:t>
          </w:r>
          <w:r w:rsidR="00A34816">
            <w:fldChar w:fldCharType="begin"/>
          </w:r>
          <w:r w:rsidR="00A34816">
            <w:instrText xml:space="preserve"> NUMPAGES   \* MERGEFORMAT </w:instrText>
          </w:r>
          <w:r w:rsidR="00A34816">
            <w:fldChar w:fldCharType="separate"/>
          </w:r>
          <w:r w:rsidR="00A34816" w:rsidRPr="00A34816">
            <w:rPr>
              <w:rFonts w:cstheme="majorHAnsi"/>
              <w:noProof/>
              <w:spacing w:val="2"/>
              <w:szCs w:val="20"/>
            </w:rPr>
            <w:t>3</w:t>
          </w:r>
          <w:r w:rsidR="00A34816">
            <w:rPr>
              <w:rFonts w:cstheme="majorHAnsi"/>
              <w:noProof/>
              <w:spacing w:val="2"/>
              <w:szCs w:val="20"/>
            </w:rPr>
            <w:fldChar w:fldCharType="end"/>
          </w:r>
          <w:r w:rsidRPr="003524D5">
            <w:rPr>
              <w:rFonts w:cstheme="majorHAnsi"/>
              <w:spacing w:val="2"/>
              <w:szCs w:val="20"/>
            </w:rPr>
            <w:t>)</w:t>
          </w:r>
        </w:p>
        <w:p w:rsidR="00FD4925" w:rsidRPr="00AE3BC1" w:rsidRDefault="00FD4925" w:rsidP="00710125">
          <w:pPr>
            <w:pStyle w:val="Sidhuvud"/>
            <w:jc w:val="right"/>
          </w:pPr>
          <w:r>
            <w:t>2014-04-30</w:t>
          </w:r>
        </w:p>
      </w:tc>
    </w:tr>
    <w:tr w:rsidR="00FD4925" w:rsidRPr="003524D5" w:rsidTr="000F1527">
      <w:trPr>
        <w:trHeight w:val="651"/>
        <w:jc w:val="right"/>
      </w:trPr>
      <w:tc>
        <w:tcPr>
          <w:tcW w:w="3272" w:type="dxa"/>
        </w:tcPr>
        <w:p w:rsidR="00FD4925" w:rsidRPr="003524D5" w:rsidRDefault="00FD4925" w:rsidP="00155FC3">
          <w:pPr>
            <w:pStyle w:val="Sidhuvud"/>
            <w:rPr>
              <w:rFonts w:cstheme="majorHAnsi"/>
              <w:spacing w:val="2"/>
              <w:szCs w:val="20"/>
            </w:rPr>
          </w:pPr>
          <w:r>
            <w:rPr>
              <w:rFonts w:cstheme="majorHAnsi"/>
              <w:spacing w:val="2"/>
              <w:szCs w:val="20"/>
            </w:rPr>
            <w:t xml:space="preserve">Finansavdelningen </w:t>
          </w:r>
        </w:p>
      </w:tc>
      <w:tc>
        <w:tcPr>
          <w:tcW w:w="3305" w:type="dxa"/>
          <w:vMerge/>
        </w:tcPr>
        <w:p w:rsidR="00FD4925" w:rsidRPr="003524D5" w:rsidRDefault="00FD4925" w:rsidP="00155FC3">
          <w:pPr>
            <w:pStyle w:val="Sidhuvud"/>
            <w:jc w:val="right"/>
            <w:rPr>
              <w:rFonts w:cstheme="majorHAnsi"/>
              <w:b/>
              <w:spacing w:val="2"/>
              <w:szCs w:val="20"/>
            </w:rPr>
          </w:pPr>
        </w:p>
      </w:tc>
    </w:tr>
  </w:tbl>
  <w:p w:rsidR="00FD4925" w:rsidRPr="003524D5" w:rsidRDefault="00FD4925" w:rsidP="00EB6543">
    <w:pPr>
      <w:pStyle w:val="Sidhuvud"/>
      <w:rPr>
        <w:spacing w:val="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4640CC"/>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27186A98"/>
    <w:multiLevelType w:val="hybridMultilevel"/>
    <w:tmpl w:val="735A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4D16B78"/>
    <w:multiLevelType w:val="hybridMultilevel"/>
    <w:tmpl w:val="FE4409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6D22395"/>
    <w:multiLevelType w:val="hybridMultilevel"/>
    <w:tmpl w:val="F0F2082A"/>
    <w:lvl w:ilvl="0" w:tplc="AB2C4008">
      <w:start w:val="1"/>
      <w:numFmt w:val="decimal"/>
      <w:pStyle w:val="Liststyck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2582F38"/>
    <w:multiLevelType w:val="hybridMultilevel"/>
    <w:tmpl w:val="53B840FE"/>
    <w:lvl w:ilvl="0" w:tplc="2994874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67353A3"/>
    <w:multiLevelType w:val="hybridMultilevel"/>
    <w:tmpl w:val="AE160D08"/>
    <w:lvl w:ilvl="0" w:tplc="2994874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50B2DC0"/>
    <w:multiLevelType w:val="hybridMultilevel"/>
    <w:tmpl w:val="A5A65DAC"/>
    <w:lvl w:ilvl="0" w:tplc="2994874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57F03BC"/>
    <w:multiLevelType w:val="hybridMultilevel"/>
    <w:tmpl w:val="3BCC51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71923A2F"/>
    <w:multiLevelType w:val="hybridMultilevel"/>
    <w:tmpl w:val="D1DA1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D0744FD"/>
    <w:multiLevelType w:val="hybridMultilevel"/>
    <w:tmpl w:val="CCAA3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3"/>
  </w:num>
  <w:num w:numId="6">
    <w:abstractNumId w:val="0"/>
  </w:num>
  <w:num w:numId="7">
    <w:abstractNumId w:val="0"/>
  </w:num>
  <w:num w:numId="8">
    <w:abstractNumId w:val="5"/>
  </w:num>
  <w:num w:numId="9">
    <w:abstractNumId w:val="4"/>
  </w:num>
  <w:num w:numId="10">
    <w:abstractNumId w:val="6"/>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ocumentProtection w:edit="readOnly" w:enforcement="0"/>
  <w:defaultTabStop w:val="357"/>
  <w:autoHyphenation/>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31"/>
    <w:rsid w:val="00002C6E"/>
    <w:rsid w:val="000062C4"/>
    <w:rsid w:val="00013B6A"/>
    <w:rsid w:val="000213AB"/>
    <w:rsid w:val="000252F9"/>
    <w:rsid w:val="00025CA7"/>
    <w:rsid w:val="00033F28"/>
    <w:rsid w:val="000370DF"/>
    <w:rsid w:val="000376C0"/>
    <w:rsid w:val="00042E18"/>
    <w:rsid w:val="0004309B"/>
    <w:rsid w:val="0004545E"/>
    <w:rsid w:val="0004599E"/>
    <w:rsid w:val="00047D75"/>
    <w:rsid w:val="00060461"/>
    <w:rsid w:val="00070385"/>
    <w:rsid w:val="00073CE4"/>
    <w:rsid w:val="00092D8D"/>
    <w:rsid w:val="00092FDE"/>
    <w:rsid w:val="00093ECD"/>
    <w:rsid w:val="0009424A"/>
    <w:rsid w:val="00095B5E"/>
    <w:rsid w:val="000A0DDE"/>
    <w:rsid w:val="000A1512"/>
    <w:rsid w:val="000A6BC9"/>
    <w:rsid w:val="000B7A0C"/>
    <w:rsid w:val="000C48F5"/>
    <w:rsid w:val="000D4408"/>
    <w:rsid w:val="000E1C00"/>
    <w:rsid w:val="000E4A52"/>
    <w:rsid w:val="000F1527"/>
    <w:rsid w:val="000F1663"/>
    <w:rsid w:val="000F1F04"/>
    <w:rsid w:val="000F2AB7"/>
    <w:rsid w:val="000F5B55"/>
    <w:rsid w:val="00100A30"/>
    <w:rsid w:val="00101D31"/>
    <w:rsid w:val="001033D4"/>
    <w:rsid w:val="00114F48"/>
    <w:rsid w:val="00114FD8"/>
    <w:rsid w:val="00120D4F"/>
    <w:rsid w:val="00133260"/>
    <w:rsid w:val="00133318"/>
    <w:rsid w:val="001409AE"/>
    <w:rsid w:val="0015162D"/>
    <w:rsid w:val="00155FC3"/>
    <w:rsid w:val="00156A86"/>
    <w:rsid w:val="00164044"/>
    <w:rsid w:val="00164287"/>
    <w:rsid w:val="0016522D"/>
    <w:rsid w:val="00176111"/>
    <w:rsid w:val="00181DEC"/>
    <w:rsid w:val="00183AD2"/>
    <w:rsid w:val="00183EB7"/>
    <w:rsid w:val="001876F4"/>
    <w:rsid w:val="001A1205"/>
    <w:rsid w:val="001B2618"/>
    <w:rsid w:val="001B4AB8"/>
    <w:rsid w:val="001B6163"/>
    <w:rsid w:val="001C66EA"/>
    <w:rsid w:val="001D74AA"/>
    <w:rsid w:val="001E2D29"/>
    <w:rsid w:val="001E3865"/>
    <w:rsid w:val="001E3F49"/>
    <w:rsid w:val="001F0007"/>
    <w:rsid w:val="001F1536"/>
    <w:rsid w:val="001F2BEB"/>
    <w:rsid w:val="001F3A17"/>
    <w:rsid w:val="0020245C"/>
    <w:rsid w:val="00204F9A"/>
    <w:rsid w:val="00207FEA"/>
    <w:rsid w:val="00213EF8"/>
    <w:rsid w:val="00215899"/>
    <w:rsid w:val="00217A67"/>
    <w:rsid w:val="002205D4"/>
    <w:rsid w:val="002208DA"/>
    <w:rsid w:val="00220AD6"/>
    <w:rsid w:val="002221C0"/>
    <w:rsid w:val="0023159D"/>
    <w:rsid w:val="002321F4"/>
    <w:rsid w:val="00233724"/>
    <w:rsid w:val="00233DD7"/>
    <w:rsid w:val="00237A59"/>
    <w:rsid w:val="00240878"/>
    <w:rsid w:val="00244B1C"/>
    <w:rsid w:val="00252775"/>
    <w:rsid w:val="00252E23"/>
    <w:rsid w:val="0025415B"/>
    <w:rsid w:val="00257732"/>
    <w:rsid w:val="00263F4D"/>
    <w:rsid w:val="00264CCA"/>
    <w:rsid w:val="002703C9"/>
    <w:rsid w:val="00270847"/>
    <w:rsid w:val="00270D2A"/>
    <w:rsid w:val="00276DD3"/>
    <w:rsid w:val="002869AE"/>
    <w:rsid w:val="00291DA0"/>
    <w:rsid w:val="00292991"/>
    <w:rsid w:val="00294217"/>
    <w:rsid w:val="002964A2"/>
    <w:rsid w:val="002A2D9B"/>
    <w:rsid w:val="002A67F6"/>
    <w:rsid w:val="002B112E"/>
    <w:rsid w:val="002B2B7E"/>
    <w:rsid w:val="002C3C07"/>
    <w:rsid w:val="002C5955"/>
    <w:rsid w:val="002D0015"/>
    <w:rsid w:val="002D357A"/>
    <w:rsid w:val="002E4A69"/>
    <w:rsid w:val="002E66D6"/>
    <w:rsid w:val="002E7B84"/>
    <w:rsid w:val="002F5B93"/>
    <w:rsid w:val="002F74F0"/>
    <w:rsid w:val="0030445D"/>
    <w:rsid w:val="003064E8"/>
    <w:rsid w:val="00306D93"/>
    <w:rsid w:val="00311229"/>
    <w:rsid w:val="00313B84"/>
    <w:rsid w:val="00316898"/>
    <w:rsid w:val="0032075B"/>
    <w:rsid w:val="003209AC"/>
    <w:rsid w:val="00323DAD"/>
    <w:rsid w:val="003250E3"/>
    <w:rsid w:val="00331D42"/>
    <w:rsid w:val="003329D3"/>
    <w:rsid w:val="0033439B"/>
    <w:rsid w:val="00340302"/>
    <w:rsid w:val="00340FDC"/>
    <w:rsid w:val="00341CE4"/>
    <w:rsid w:val="003430DC"/>
    <w:rsid w:val="00350467"/>
    <w:rsid w:val="00350750"/>
    <w:rsid w:val="003524D5"/>
    <w:rsid w:val="00354947"/>
    <w:rsid w:val="00366DCF"/>
    <w:rsid w:val="00367DB7"/>
    <w:rsid w:val="00372E8E"/>
    <w:rsid w:val="0038606A"/>
    <w:rsid w:val="0038791A"/>
    <w:rsid w:val="003A00A9"/>
    <w:rsid w:val="003A33FD"/>
    <w:rsid w:val="003A5DFD"/>
    <w:rsid w:val="003B18E6"/>
    <w:rsid w:val="003B3581"/>
    <w:rsid w:val="003B476E"/>
    <w:rsid w:val="003C4A46"/>
    <w:rsid w:val="003D549B"/>
    <w:rsid w:val="003E0647"/>
    <w:rsid w:val="003E164C"/>
    <w:rsid w:val="003E5676"/>
    <w:rsid w:val="003F0F80"/>
    <w:rsid w:val="003F1AAD"/>
    <w:rsid w:val="004069BD"/>
    <w:rsid w:val="004078B7"/>
    <w:rsid w:val="00407C71"/>
    <w:rsid w:val="004178EF"/>
    <w:rsid w:val="00421CC7"/>
    <w:rsid w:val="00425865"/>
    <w:rsid w:val="004340BC"/>
    <w:rsid w:val="00435817"/>
    <w:rsid w:val="004375A4"/>
    <w:rsid w:val="00440F2A"/>
    <w:rsid w:val="0044298C"/>
    <w:rsid w:val="00444C88"/>
    <w:rsid w:val="00465CE9"/>
    <w:rsid w:val="004732A1"/>
    <w:rsid w:val="0047471D"/>
    <w:rsid w:val="004775FE"/>
    <w:rsid w:val="00484B57"/>
    <w:rsid w:val="004861DE"/>
    <w:rsid w:val="00486CCC"/>
    <w:rsid w:val="00487074"/>
    <w:rsid w:val="00487A40"/>
    <w:rsid w:val="00491E55"/>
    <w:rsid w:val="00493544"/>
    <w:rsid w:val="00493CFD"/>
    <w:rsid w:val="00494C81"/>
    <w:rsid w:val="004A06B1"/>
    <w:rsid w:val="004A58B6"/>
    <w:rsid w:val="004B3A27"/>
    <w:rsid w:val="004D01D4"/>
    <w:rsid w:val="004D0A5A"/>
    <w:rsid w:val="004D555A"/>
    <w:rsid w:val="004D67D0"/>
    <w:rsid w:val="004E1323"/>
    <w:rsid w:val="004E5501"/>
    <w:rsid w:val="0050751A"/>
    <w:rsid w:val="00516254"/>
    <w:rsid w:val="00516B35"/>
    <w:rsid w:val="00524F24"/>
    <w:rsid w:val="005375B6"/>
    <w:rsid w:val="005462EA"/>
    <w:rsid w:val="00553739"/>
    <w:rsid w:val="00554419"/>
    <w:rsid w:val="005564D2"/>
    <w:rsid w:val="00560B4A"/>
    <w:rsid w:val="00560C42"/>
    <w:rsid w:val="0056146B"/>
    <w:rsid w:val="00567DA4"/>
    <w:rsid w:val="00571C32"/>
    <w:rsid w:val="005833BC"/>
    <w:rsid w:val="005A0679"/>
    <w:rsid w:val="005A174B"/>
    <w:rsid w:val="005A1DB7"/>
    <w:rsid w:val="005A78BF"/>
    <w:rsid w:val="005B18D9"/>
    <w:rsid w:val="005B1E93"/>
    <w:rsid w:val="005B2F7B"/>
    <w:rsid w:val="005C1092"/>
    <w:rsid w:val="005D01C5"/>
    <w:rsid w:val="005D6C9E"/>
    <w:rsid w:val="005E4192"/>
    <w:rsid w:val="006053E6"/>
    <w:rsid w:val="0060727A"/>
    <w:rsid w:val="00611031"/>
    <w:rsid w:val="0061247A"/>
    <w:rsid w:val="00637A26"/>
    <w:rsid w:val="00647543"/>
    <w:rsid w:val="00650EAA"/>
    <w:rsid w:val="00654FB9"/>
    <w:rsid w:val="00655739"/>
    <w:rsid w:val="00655CDD"/>
    <w:rsid w:val="006578BB"/>
    <w:rsid w:val="00665AC1"/>
    <w:rsid w:val="00666CEC"/>
    <w:rsid w:val="0067170E"/>
    <w:rsid w:val="00671825"/>
    <w:rsid w:val="00674F4D"/>
    <w:rsid w:val="0068062E"/>
    <w:rsid w:val="006837C1"/>
    <w:rsid w:val="006838CA"/>
    <w:rsid w:val="00685D32"/>
    <w:rsid w:val="006861A5"/>
    <w:rsid w:val="00686C81"/>
    <w:rsid w:val="006939D5"/>
    <w:rsid w:val="006951DE"/>
    <w:rsid w:val="006964CB"/>
    <w:rsid w:val="00697598"/>
    <w:rsid w:val="00697A91"/>
    <w:rsid w:val="00697AEA"/>
    <w:rsid w:val="006A1D5C"/>
    <w:rsid w:val="006A6D3B"/>
    <w:rsid w:val="006B1633"/>
    <w:rsid w:val="006C517D"/>
    <w:rsid w:val="006C646A"/>
    <w:rsid w:val="006D3C37"/>
    <w:rsid w:val="006D4ACF"/>
    <w:rsid w:val="006E0C71"/>
    <w:rsid w:val="006E366B"/>
    <w:rsid w:val="006E3C96"/>
    <w:rsid w:val="006E66D3"/>
    <w:rsid w:val="006F199E"/>
    <w:rsid w:val="006F57F0"/>
    <w:rsid w:val="006F63CD"/>
    <w:rsid w:val="006F6A26"/>
    <w:rsid w:val="006F7C43"/>
    <w:rsid w:val="00702841"/>
    <w:rsid w:val="00702926"/>
    <w:rsid w:val="007044DA"/>
    <w:rsid w:val="00710125"/>
    <w:rsid w:val="007103B9"/>
    <w:rsid w:val="00712681"/>
    <w:rsid w:val="007230E9"/>
    <w:rsid w:val="00741EA2"/>
    <w:rsid w:val="0074673D"/>
    <w:rsid w:val="00750F8F"/>
    <w:rsid w:val="007577A9"/>
    <w:rsid w:val="0076297D"/>
    <w:rsid w:val="007802D8"/>
    <w:rsid w:val="00782E51"/>
    <w:rsid w:val="007845BA"/>
    <w:rsid w:val="00794092"/>
    <w:rsid w:val="007A165B"/>
    <w:rsid w:val="007C0493"/>
    <w:rsid w:val="007C3441"/>
    <w:rsid w:val="007C5EDF"/>
    <w:rsid w:val="007C5F72"/>
    <w:rsid w:val="007D65C5"/>
    <w:rsid w:val="007E4DE2"/>
    <w:rsid w:val="007F15E7"/>
    <w:rsid w:val="007F167B"/>
    <w:rsid w:val="007F39EA"/>
    <w:rsid w:val="00803107"/>
    <w:rsid w:val="00807619"/>
    <w:rsid w:val="00811554"/>
    <w:rsid w:val="008123B7"/>
    <w:rsid w:val="008149A4"/>
    <w:rsid w:val="00815BDB"/>
    <w:rsid w:val="008210AD"/>
    <w:rsid w:val="0082203A"/>
    <w:rsid w:val="00827113"/>
    <w:rsid w:val="008315CB"/>
    <w:rsid w:val="00832D12"/>
    <w:rsid w:val="00836E36"/>
    <w:rsid w:val="00854884"/>
    <w:rsid w:val="008610BD"/>
    <w:rsid w:val="00861855"/>
    <w:rsid w:val="008623DD"/>
    <w:rsid w:val="00880086"/>
    <w:rsid w:val="00880894"/>
    <w:rsid w:val="008954A7"/>
    <w:rsid w:val="00895FD8"/>
    <w:rsid w:val="008A06F8"/>
    <w:rsid w:val="008A2A27"/>
    <w:rsid w:val="008B19BA"/>
    <w:rsid w:val="008B279C"/>
    <w:rsid w:val="008B2834"/>
    <w:rsid w:val="008C4FAD"/>
    <w:rsid w:val="008C6A0F"/>
    <w:rsid w:val="008C7205"/>
    <w:rsid w:val="008C75A1"/>
    <w:rsid w:val="008F49BC"/>
    <w:rsid w:val="00900CB7"/>
    <w:rsid w:val="00920DC9"/>
    <w:rsid w:val="009217DB"/>
    <w:rsid w:val="009240EE"/>
    <w:rsid w:val="00925183"/>
    <w:rsid w:val="009339F3"/>
    <w:rsid w:val="00933D14"/>
    <w:rsid w:val="0094373E"/>
    <w:rsid w:val="009475D4"/>
    <w:rsid w:val="009507FF"/>
    <w:rsid w:val="00957BA5"/>
    <w:rsid w:val="00957D12"/>
    <w:rsid w:val="0096343B"/>
    <w:rsid w:val="00967227"/>
    <w:rsid w:val="00973050"/>
    <w:rsid w:val="009734E3"/>
    <w:rsid w:val="0098135A"/>
    <w:rsid w:val="009916D1"/>
    <w:rsid w:val="00992136"/>
    <w:rsid w:val="00994A6B"/>
    <w:rsid w:val="009B4716"/>
    <w:rsid w:val="009C0AEE"/>
    <w:rsid w:val="009C3E38"/>
    <w:rsid w:val="009C41CB"/>
    <w:rsid w:val="009D0FD4"/>
    <w:rsid w:val="009D6016"/>
    <w:rsid w:val="009E07C9"/>
    <w:rsid w:val="009E257C"/>
    <w:rsid w:val="009E2BE4"/>
    <w:rsid w:val="009E7944"/>
    <w:rsid w:val="009F34AD"/>
    <w:rsid w:val="009F585C"/>
    <w:rsid w:val="00A2580E"/>
    <w:rsid w:val="00A32BA6"/>
    <w:rsid w:val="00A34816"/>
    <w:rsid w:val="00A3570A"/>
    <w:rsid w:val="00A402BB"/>
    <w:rsid w:val="00A530A2"/>
    <w:rsid w:val="00A54811"/>
    <w:rsid w:val="00A553DA"/>
    <w:rsid w:val="00A62AC8"/>
    <w:rsid w:val="00A6459D"/>
    <w:rsid w:val="00A65622"/>
    <w:rsid w:val="00A802D7"/>
    <w:rsid w:val="00A82D52"/>
    <w:rsid w:val="00A8645C"/>
    <w:rsid w:val="00A917E0"/>
    <w:rsid w:val="00A9453F"/>
    <w:rsid w:val="00AA1150"/>
    <w:rsid w:val="00AA1C9F"/>
    <w:rsid w:val="00AA5256"/>
    <w:rsid w:val="00AA7530"/>
    <w:rsid w:val="00AC42D8"/>
    <w:rsid w:val="00AD2AA2"/>
    <w:rsid w:val="00AD56AE"/>
    <w:rsid w:val="00AE228B"/>
    <w:rsid w:val="00AE3BC1"/>
    <w:rsid w:val="00AE4C26"/>
    <w:rsid w:val="00AE5E13"/>
    <w:rsid w:val="00AE64B5"/>
    <w:rsid w:val="00AE6CD8"/>
    <w:rsid w:val="00AF15B0"/>
    <w:rsid w:val="00B035EC"/>
    <w:rsid w:val="00B05634"/>
    <w:rsid w:val="00B11664"/>
    <w:rsid w:val="00B13204"/>
    <w:rsid w:val="00B17ED9"/>
    <w:rsid w:val="00B213B5"/>
    <w:rsid w:val="00B22049"/>
    <w:rsid w:val="00B24AD0"/>
    <w:rsid w:val="00B262A6"/>
    <w:rsid w:val="00B342DF"/>
    <w:rsid w:val="00B34773"/>
    <w:rsid w:val="00B36B9A"/>
    <w:rsid w:val="00B4227A"/>
    <w:rsid w:val="00B56014"/>
    <w:rsid w:val="00B60F1B"/>
    <w:rsid w:val="00B70F4B"/>
    <w:rsid w:val="00B72B09"/>
    <w:rsid w:val="00B72CC1"/>
    <w:rsid w:val="00B7400C"/>
    <w:rsid w:val="00B75C59"/>
    <w:rsid w:val="00B816DD"/>
    <w:rsid w:val="00B85C35"/>
    <w:rsid w:val="00B90737"/>
    <w:rsid w:val="00B92D7D"/>
    <w:rsid w:val="00B930D8"/>
    <w:rsid w:val="00B96345"/>
    <w:rsid w:val="00BA082D"/>
    <w:rsid w:val="00BA5ABD"/>
    <w:rsid w:val="00BA5BA4"/>
    <w:rsid w:val="00BA64C1"/>
    <w:rsid w:val="00BA7661"/>
    <w:rsid w:val="00BC1678"/>
    <w:rsid w:val="00BC1957"/>
    <w:rsid w:val="00BD4998"/>
    <w:rsid w:val="00BD4EED"/>
    <w:rsid w:val="00BD55CE"/>
    <w:rsid w:val="00BD6E09"/>
    <w:rsid w:val="00BE0FFF"/>
    <w:rsid w:val="00BE45B2"/>
    <w:rsid w:val="00BE6B6B"/>
    <w:rsid w:val="00BF127E"/>
    <w:rsid w:val="00BF3DB9"/>
    <w:rsid w:val="00C0034A"/>
    <w:rsid w:val="00C03EA2"/>
    <w:rsid w:val="00C05A38"/>
    <w:rsid w:val="00C10819"/>
    <w:rsid w:val="00C116BE"/>
    <w:rsid w:val="00C1334E"/>
    <w:rsid w:val="00C21673"/>
    <w:rsid w:val="00C27382"/>
    <w:rsid w:val="00C341E7"/>
    <w:rsid w:val="00C505DF"/>
    <w:rsid w:val="00C53CBC"/>
    <w:rsid w:val="00C548AE"/>
    <w:rsid w:val="00C56298"/>
    <w:rsid w:val="00C6492F"/>
    <w:rsid w:val="00C67D8F"/>
    <w:rsid w:val="00C67DC8"/>
    <w:rsid w:val="00C70EC4"/>
    <w:rsid w:val="00C75236"/>
    <w:rsid w:val="00C83367"/>
    <w:rsid w:val="00C90AB0"/>
    <w:rsid w:val="00C90BEC"/>
    <w:rsid w:val="00C958EC"/>
    <w:rsid w:val="00CA2A55"/>
    <w:rsid w:val="00CA4E29"/>
    <w:rsid w:val="00CA6214"/>
    <w:rsid w:val="00CB5D59"/>
    <w:rsid w:val="00CC43E8"/>
    <w:rsid w:val="00CD7269"/>
    <w:rsid w:val="00CE0626"/>
    <w:rsid w:val="00CE0CDD"/>
    <w:rsid w:val="00CE2464"/>
    <w:rsid w:val="00CF0128"/>
    <w:rsid w:val="00CF2E45"/>
    <w:rsid w:val="00CF3902"/>
    <w:rsid w:val="00CF4C4A"/>
    <w:rsid w:val="00D00AFD"/>
    <w:rsid w:val="00D01B0B"/>
    <w:rsid w:val="00D0661C"/>
    <w:rsid w:val="00D12557"/>
    <w:rsid w:val="00D174E8"/>
    <w:rsid w:val="00D2108E"/>
    <w:rsid w:val="00D212DC"/>
    <w:rsid w:val="00D2277F"/>
    <w:rsid w:val="00D23BC6"/>
    <w:rsid w:val="00D26920"/>
    <w:rsid w:val="00D26B91"/>
    <w:rsid w:val="00D330C9"/>
    <w:rsid w:val="00D339DD"/>
    <w:rsid w:val="00D35760"/>
    <w:rsid w:val="00D37228"/>
    <w:rsid w:val="00D41826"/>
    <w:rsid w:val="00D45CD6"/>
    <w:rsid w:val="00D4646A"/>
    <w:rsid w:val="00D5799A"/>
    <w:rsid w:val="00D701D3"/>
    <w:rsid w:val="00D86253"/>
    <w:rsid w:val="00D93408"/>
    <w:rsid w:val="00D935BD"/>
    <w:rsid w:val="00DA54B4"/>
    <w:rsid w:val="00DA7802"/>
    <w:rsid w:val="00DB10FB"/>
    <w:rsid w:val="00DC1A6E"/>
    <w:rsid w:val="00DC2175"/>
    <w:rsid w:val="00DC2D11"/>
    <w:rsid w:val="00DC6E22"/>
    <w:rsid w:val="00DE48A4"/>
    <w:rsid w:val="00DE7657"/>
    <w:rsid w:val="00DF18AA"/>
    <w:rsid w:val="00DF1F79"/>
    <w:rsid w:val="00DF3AEA"/>
    <w:rsid w:val="00E12DCE"/>
    <w:rsid w:val="00E1308C"/>
    <w:rsid w:val="00E13811"/>
    <w:rsid w:val="00E13958"/>
    <w:rsid w:val="00E16F35"/>
    <w:rsid w:val="00E21769"/>
    <w:rsid w:val="00E25901"/>
    <w:rsid w:val="00E3107D"/>
    <w:rsid w:val="00E31A3E"/>
    <w:rsid w:val="00E3797C"/>
    <w:rsid w:val="00E41403"/>
    <w:rsid w:val="00E42F98"/>
    <w:rsid w:val="00E46DEC"/>
    <w:rsid w:val="00E5788F"/>
    <w:rsid w:val="00E60A99"/>
    <w:rsid w:val="00E61BA0"/>
    <w:rsid w:val="00E6436E"/>
    <w:rsid w:val="00E7020F"/>
    <w:rsid w:val="00E71D37"/>
    <w:rsid w:val="00E86572"/>
    <w:rsid w:val="00E9285F"/>
    <w:rsid w:val="00E94D2F"/>
    <w:rsid w:val="00E97427"/>
    <w:rsid w:val="00EA08C7"/>
    <w:rsid w:val="00EA48B1"/>
    <w:rsid w:val="00EA7084"/>
    <w:rsid w:val="00EB6543"/>
    <w:rsid w:val="00EC0C49"/>
    <w:rsid w:val="00EC1430"/>
    <w:rsid w:val="00EC2582"/>
    <w:rsid w:val="00ED0D1A"/>
    <w:rsid w:val="00ED135D"/>
    <w:rsid w:val="00ED6BAD"/>
    <w:rsid w:val="00EF09CD"/>
    <w:rsid w:val="00F00449"/>
    <w:rsid w:val="00F0165C"/>
    <w:rsid w:val="00F0492F"/>
    <w:rsid w:val="00F058BC"/>
    <w:rsid w:val="00F135AA"/>
    <w:rsid w:val="00F15784"/>
    <w:rsid w:val="00F17D07"/>
    <w:rsid w:val="00F254B5"/>
    <w:rsid w:val="00F31A87"/>
    <w:rsid w:val="00F3389B"/>
    <w:rsid w:val="00F365CA"/>
    <w:rsid w:val="00F40AD9"/>
    <w:rsid w:val="00F42560"/>
    <w:rsid w:val="00F431D7"/>
    <w:rsid w:val="00F4376A"/>
    <w:rsid w:val="00F444BA"/>
    <w:rsid w:val="00F471E5"/>
    <w:rsid w:val="00F47726"/>
    <w:rsid w:val="00F50B9C"/>
    <w:rsid w:val="00F50C3E"/>
    <w:rsid w:val="00F52DDE"/>
    <w:rsid w:val="00F5774D"/>
    <w:rsid w:val="00F6189F"/>
    <w:rsid w:val="00F64E3B"/>
    <w:rsid w:val="00F65861"/>
    <w:rsid w:val="00F725ED"/>
    <w:rsid w:val="00F826F7"/>
    <w:rsid w:val="00F9418E"/>
    <w:rsid w:val="00F95087"/>
    <w:rsid w:val="00FA2AE4"/>
    <w:rsid w:val="00FA2DAF"/>
    <w:rsid w:val="00FA72B5"/>
    <w:rsid w:val="00FA78BC"/>
    <w:rsid w:val="00FB6245"/>
    <w:rsid w:val="00FC0AD7"/>
    <w:rsid w:val="00FC1092"/>
    <w:rsid w:val="00FC586F"/>
    <w:rsid w:val="00FD0772"/>
    <w:rsid w:val="00FD4925"/>
    <w:rsid w:val="00FD717E"/>
    <w:rsid w:val="00FE3F81"/>
    <w:rsid w:val="00FE53B4"/>
    <w:rsid w:val="00FE57B0"/>
    <w:rsid w:val="00FE7357"/>
    <w:rsid w:val="00FF0490"/>
    <w:rsid w:val="00FF2DDD"/>
    <w:rsid w:val="00FF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semiHidden="0" w:uiPriority="0"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9"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Normal (Web)"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339DD"/>
    <w:pPr>
      <w:spacing w:line="300" w:lineRule="atLeast"/>
    </w:pPr>
    <w:rPr>
      <w:lang w:val="sv-SE"/>
    </w:rPr>
  </w:style>
  <w:style w:type="paragraph" w:styleId="Rubrik1">
    <w:name w:val="heading 1"/>
    <w:basedOn w:val="Normal"/>
    <w:next w:val="Normal"/>
    <w:link w:val="Rubrik1Char"/>
    <w:uiPriority w:val="9"/>
    <w:qFormat/>
    <w:rsid w:val="00B262A6"/>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aliases w:val="H2"/>
    <w:basedOn w:val="Normal"/>
    <w:next w:val="Normal"/>
    <w:link w:val="Rubrik2Char"/>
    <w:uiPriority w:val="9"/>
    <w:unhideWhenUsed/>
    <w:qFormat/>
    <w:rsid w:val="00B262A6"/>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aliases w:val="H3"/>
    <w:basedOn w:val="Normal"/>
    <w:next w:val="Normal"/>
    <w:link w:val="Rubrik3Char"/>
    <w:qFormat/>
    <w:rsid w:val="00B262A6"/>
    <w:pPr>
      <w:keepNext/>
      <w:keepLines/>
      <w:spacing w:before="240" w:line="240" w:lineRule="atLeast"/>
      <w:outlineLvl w:val="2"/>
    </w:pPr>
    <w:rPr>
      <w:rFonts w:asciiTheme="majorHAnsi" w:eastAsiaTheme="majorEastAsia" w:hAnsiTheme="majorHAnsi" w:cstheme="majorBidi"/>
      <w:bCs/>
    </w:rPr>
  </w:style>
  <w:style w:type="paragraph" w:styleId="Rubrik4">
    <w:name w:val="heading 4"/>
    <w:aliases w:val="H4"/>
    <w:basedOn w:val="Normal"/>
    <w:next w:val="Normal"/>
    <w:link w:val="Rubrik4Char"/>
    <w:qFormat/>
    <w:rsid w:val="00B262A6"/>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B262A6"/>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CF4C4A"/>
    <w:pPr>
      <w:spacing w:line="240" w:lineRule="auto"/>
    </w:pPr>
    <w:rPr>
      <w:rFonts w:asciiTheme="majorHAnsi" w:hAnsiTheme="maj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B262A6"/>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CF4C4A"/>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3524D5"/>
    <w:rPr>
      <w:rFonts w:asciiTheme="majorHAnsi" w:hAnsiTheme="majorHAnsi"/>
      <w:sz w:val="20"/>
      <w:lang w:val="sv-SE"/>
    </w:rPr>
  </w:style>
  <w:style w:type="paragraph" w:styleId="Sidfot">
    <w:name w:val="footer"/>
    <w:basedOn w:val="Normal"/>
    <w:link w:val="SidfotChar"/>
    <w:uiPriority w:val="99"/>
    <w:unhideWhenUsed/>
    <w:rsid w:val="00CF4C4A"/>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AE3BC1"/>
    <w:rPr>
      <w:rFonts w:asciiTheme="majorHAnsi" w:hAnsiTheme="majorHAnsi"/>
      <w:sz w:val="15"/>
      <w:lang w:val="sv-SE"/>
    </w:rPr>
  </w:style>
  <w:style w:type="paragraph" w:styleId="Ballongtext">
    <w:name w:val="Balloon Text"/>
    <w:basedOn w:val="Normal"/>
    <w:link w:val="BallongtextChar"/>
    <w:uiPriority w:val="99"/>
    <w:semiHidden/>
    <w:unhideWhenUsed/>
    <w:rsid w:val="00CF4C4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727A"/>
    <w:rPr>
      <w:rFonts w:ascii="Tahoma" w:hAnsi="Tahoma" w:cs="Tahoma"/>
      <w:sz w:val="16"/>
      <w:szCs w:val="16"/>
      <w:lang w:val="sv-SE"/>
    </w:rPr>
  </w:style>
  <w:style w:type="paragraph" w:customStyle="1" w:styleId="plats">
    <w:name w:val="plats"/>
    <w:basedOn w:val="Sidhuvud"/>
    <w:semiHidden/>
    <w:rsid w:val="00CF4C4A"/>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CF4C4A"/>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aliases w:val="H2 Char"/>
    <w:basedOn w:val="Standardstycketeckensnitt"/>
    <w:link w:val="Rubrik2"/>
    <w:uiPriority w:val="9"/>
    <w:rsid w:val="00B262A6"/>
    <w:rPr>
      <w:rFonts w:asciiTheme="majorHAnsi" w:eastAsiaTheme="majorEastAsia" w:hAnsiTheme="majorHAnsi" w:cstheme="majorBidi"/>
      <w:b/>
      <w:bCs/>
      <w:szCs w:val="26"/>
      <w:lang w:val="sv-SE"/>
    </w:rPr>
  </w:style>
  <w:style w:type="paragraph" w:styleId="Liststycke">
    <w:name w:val="List Paragraph"/>
    <w:basedOn w:val="Normal"/>
    <w:uiPriority w:val="34"/>
    <w:qFormat/>
    <w:rsid w:val="00316898"/>
    <w:pPr>
      <w:numPr>
        <w:numId w:val="5"/>
      </w:numPr>
      <w:ind w:left="714" w:hanging="357"/>
      <w:contextualSpacing/>
    </w:pPr>
  </w:style>
  <w:style w:type="character" w:customStyle="1" w:styleId="Rubrik3Char">
    <w:name w:val="Rubrik 3 Char"/>
    <w:aliases w:val="H3 Char"/>
    <w:basedOn w:val="Standardstycketeckensnitt"/>
    <w:link w:val="Rubrik3"/>
    <w:rsid w:val="00B262A6"/>
    <w:rPr>
      <w:rFonts w:asciiTheme="majorHAnsi" w:eastAsiaTheme="majorEastAsia" w:hAnsiTheme="majorHAnsi" w:cstheme="majorBidi"/>
      <w:bCs/>
      <w:lang w:val="sv-SE"/>
    </w:rPr>
  </w:style>
  <w:style w:type="character" w:customStyle="1" w:styleId="Rubrik4Char">
    <w:name w:val="Rubrik 4 Char"/>
    <w:aliases w:val="H4 Char"/>
    <w:basedOn w:val="Standardstycketeckensnitt"/>
    <w:link w:val="Rubrik4"/>
    <w:rsid w:val="00B262A6"/>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B262A6"/>
    <w:rPr>
      <w:rFonts w:asciiTheme="majorHAnsi" w:eastAsiaTheme="majorEastAsia" w:hAnsiTheme="majorHAnsi" w:cstheme="majorBidi"/>
      <w:sz w:val="22"/>
      <w:lang w:val="sv-SE"/>
    </w:rPr>
  </w:style>
  <w:style w:type="paragraph" w:styleId="Punktlista">
    <w:name w:val="List Bullet"/>
    <w:basedOn w:val="Normal"/>
    <w:uiPriority w:val="9"/>
    <w:qFormat/>
    <w:rsid w:val="00EF09CD"/>
    <w:pPr>
      <w:numPr>
        <w:numId w:val="7"/>
      </w:numPr>
      <w:ind w:left="714" w:hanging="357"/>
      <w:contextualSpacing/>
    </w:pPr>
  </w:style>
  <w:style w:type="paragraph" w:customStyle="1" w:styleId="SidfotFrvaltning">
    <w:name w:val="SidfotFörvaltning"/>
    <w:basedOn w:val="Sidfot"/>
    <w:next w:val="Sidfot"/>
    <w:link w:val="SidfotFrvaltningChar"/>
    <w:semiHidden/>
    <w:qFormat/>
    <w:rsid w:val="00CF4C4A"/>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073CE4"/>
    <w:rPr>
      <w:rFonts w:asciiTheme="majorHAnsi" w:hAnsiTheme="majorHAnsi"/>
      <w:b/>
      <w:sz w:val="15"/>
      <w:szCs w:val="16"/>
      <w:lang w:val="sv-SE"/>
    </w:rPr>
  </w:style>
  <w:style w:type="paragraph" w:customStyle="1" w:styleId="Bilagor">
    <w:name w:val="Bilagor"/>
    <w:basedOn w:val="Rubrik2"/>
    <w:next w:val="Liststycke"/>
    <w:rsid w:val="00CF4C4A"/>
    <w:pPr>
      <w:keepLines w:val="0"/>
    </w:pPr>
    <w:rPr>
      <w:rFonts w:eastAsia="Times New Roman" w:cs="Times New Roman"/>
      <w:bCs w:val="0"/>
      <w:szCs w:val="24"/>
      <w:lang w:eastAsia="sv-SE"/>
    </w:rPr>
  </w:style>
  <w:style w:type="paragraph" w:customStyle="1" w:styleId="Underskrift">
    <w:name w:val="Underskrift"/>
    <w:basedOn w:val="Normal"/>
    <w:rsid w:val="00CF4C4A"/>
    <w:pPr>
      <w:tabs>
        <w:tab w:val="left" w:pos="3119"/>
      </w:tabs>
      <w:spacing w:before="240" w:line="360" w:lineRule="atLeast"/>
    </w:pPr>
    <w:rPr>
      <w:rFonts w:ascii="Times New Roman" w:eastAsia="Times New Roman" w:hAnsi="Times New Roman" w:cs="Times New Roman"/>
      <w:kern w:val="24"/>
      <w:lang w:eastAsia="sv-SE"/>
    </w:rPr>
  </w:style>
  <w:style w:type="paragraph" w:styleId="Beskrivning">
    <w:name w:val="caption"/>
    <w:basedOn w:val="Normal"/>
    <w:next w:val="Normal"/>
    <w:uiPriority w:val="35"/>
    <w:unhideWhenUsed/>
    <w:qFormat/>
    <w:rsid w:val="00D93408"/>
    <w:pPr>
      <w:spacing w:before="60" w:after="60" w:line="240" w:lineRule="auto"/>
    </w:pPr>
    <w:rPr>
      <w:rFonts w:ascii="Arial" w:hAnsi="Arial"/>
      <w:bCs/>
      <w:sz w:val="20"/>
      <w:szCs w:val="18"/>
    </w:rPr>
  </w:style>
  <w:style w:type="paragraph" w:customStyle="1" w:styleId="Huvudrubrik">
    <w:name w:val="Huvudrubrik"/>
    <w:basedOn w:val="Rubrik1"/>
    <w:next w:val="Normal"/>
    <w:rsid w:val="00101D31"/>
    <w:pPr>
      <w:keepLines w:val="0"/>
      <w:spacing w:before="20" w:after="240" w:line="300" w:lineRule="atLeast"/>
    </w:pPr>
    <w:rPr>
      <w:rFonts w:ascii="Gill Sans MT" w:eastAsia="Times New Roman" w:hAnsi="Gill Sans MT" w:cs="Times New Roman"/>
      <w:bCs w:val="0"/>
      <w:spacing w:val="20"/>
      <w:kern w:val="0"/>
      <w:sz w:val="30"/>
      <w:szCs w:val="30"/>
      <w:lang w:eastAsia="sv-SE"/>
    </w:rPr>
  </w:style>
  <w:style w:type="character" w:customStyle="1" w:styleId="selected">
    <w:name w:val="selected"/>
    <w:basedOn w:val="Standardstycketeckensnitt"/>
    <w:rsid w:val="00101D31"/>
  </w:style>
  <w:style w:type="paragraph" w:customStyle="1" w:styleId="mottagare">
    <w:name w:val="mottagare"/>
    <w:basedOn w:val="Normal"/>
    <w:semiHidden/>
    <w:rsid w:val="00101D31"/>
    <w:rPr>
      <w:rFonts w:ascii="Times New Roman" w:eastAsia="Times New Roman" w:hAnsi="Times New Roman" w:cs="Times New Roman"/>
      <w:kern w:val="24"/>
      <w:lang w:eastAsia="sv-SE"/>
    </w:rPr>
  </w:style>
  <w:style w:type="paragraph" w:customStyle="1" w:styleId="Default">
    <w:name w:val="Default"/>
    <w:rsid w:val="00101D31"/>
    <w:pPr>
      <w:autoSpaceDE w:val="0"/>
      <w:autoSpaceDN w:val="0"/>
      <w:adjustRightInd w:val="0"/>
      <w:spacing w:line="240" w:lineRule="auto"/>
    </w:pPr>
    <w:rPr>
      <w:rFonts w:ascii="Gill Sans MT" w:eastAsia="Times New Roman" w:hAnsi="Gill Sans MT" w:cs="Gill Sans MT"/>
      <w:color w:val="000000"/>
      <w:lang w:val="sv-SE" w:eastAsia="sv-SE"/>
    </w:rPr>
  </w:style>
  <w:style w:type="character" w:styleId="Hyperlnk">
    <w:name w:val="Hyperlink"/>
    <w:basedOn w:val="Standardstycketeckensnitt"/>
    <w:uiPriority w:val="99"/>
    <w:unhideWhenUsed/>
    <w:rsid w:val="00E61BA0"/>
    <w:rPr>
      <w:color w:val="007EC4" w:themeColor="hyperlink"/>
      <w:u w:val="single"/>
    </w:rPr>
  </w:style>
  <w:style w:type="character" w:styleId="Kommentarsreferens">
    <w:name w:val="annotation reference"/>
    <w:basedOn w:val="Standardstycketeckensnitt"/>
    <w:uiPriority w:val="99"/>
    <w:semiHidden/>
    <w:unhideWhenUsed/>
    <w:rsid w:val="00DC1A6E"/>
    <w:rPr>
      <w:sz w:val="16"/>
      <w:szCs w:val="16"/>
    </w:rPr>
  </w:style>
  <w:style w:type="paragraph" w:styleId="Kommentarer">
    <w:name w:val="annotation text"/>
    <w:basedOn w:val="Normal"/>
    <w:link w:val="KommentarerChar"/>
    <w:uiPriority w:val="99"/>
    <w:semiHidden/>
    <w:unhideWhenUsed/>
    <w:rsid w:val="00DC1A6E"/>
    <w:pPr>
      <w:spacing w:line="240" w:lineRule="auto"/>
    </w:pPr>
    <w:rPr>
      <w:rFonts w:ascii="Times New Roman" w:eastAsia="Times New Roman" w:hAnsi="Times New Roman" w:cs="Times New Roman"/>
      <w:kern w:val="24"/>
      <w:sz w:val="20"/>
      <w:szCs w:val="20"/>
      <w:lang w:eastAsia="sv-SE"/>
    </w:rPr>
  </w:style>
  <w:style w:type="character" w:customStyle="1" w:styleId="KommentarerChar">
    <w:name w:val="Kommentarer Char"/>
    <w:basedOn w:val="Standardstycketeckensnitt"/>
    <w:link w:val="Kommentarer"/>
    <w:uiPriority w:val="99"/>
    <w:semiHidden/>
    <w:rsid w:val="00DC1A6E"/>
    <w:rPr>
      <w:rFonts w:ascii="Times New Roman" w:eastAsia="Times New Roman" w:hAnsi="Times New Roman" w:cs="Times New Roman"/>
      <w:kern w:val="24"/>
      <w:sz w:val="20"/>
      <w:szCs w:val="20"/>
      <w:lang w:val="sv-SE" w:eastAsia="sv-SE"/>
    </w:rPr>
  </w:style>
  <w:style w:type="paragraph" w:styleId="Fotnotstext">
    <w:name w:val="footnote text"/>
    <w:basedOn w:val="Normal"/>
    <w:link w:val="FotnotstextChar"/>
    <w:uiPriority w:val="99"/>
    <w:unhideWhenUsed/>
    <w:rsid w:val="007845BA"/>
    <w:pPr>
      <w:spacing w:line="240" w:lineRule="auto"/>
    </w:pPr>
    <w:rPr>
      <w:rFonts w:ascii="Times New Roman" w:eastAsia="Times New Roman" w:hAnsi="Times New Roman" w:cs="Times New Roman"/>
      <w:kern w:val="24"/>
      <w:sz w:val="20"/>
      <w:szCs w:val="20"/>
      <w:lang w:eastAsia="sv-SE"/>
    </w:rPr>
  </w:style>
  <w:style w:type="character" w:customStyle="1" w:styleId="FotnotstextChar">
    <w:name w:val="Fotnotstext Char"/>
    <w:basedOn w:val="Standardstycketeckensnitt"/>
    <w:link w:val="Fotnotstext"/>
    <w:uiPriority w:val="99"/>
    <w:rsid w:val="007845BA"/>
    <w:rPr>
      <w:rFonts w:ascii="Times New Roman" w:eastAsia="Times New Roman" w:hAnsi="Times New Roman" w:cs="Times New Roman"/>
      <w:kern w:val="24"/>
      <w:sz w:val="20"/>
      <w:szCs w:val="20"/>
      <w:lang w:val="sv-SE" w:eastAsia="sv-SE"/>
    </w:rPr>
  </w:style>
  <w:style w:type="character" w:styleId="Fotnotsreferens">
    <w:name w:val="footnote reference"/>
    <w:basedOn w:val="Standardstycketeckensnitt"/>
    <w:unhideWhenUsed/>
    <w:rsid w:val="007845BA"/>
    <w:rPr>
      <w:vertAlign w:val="superscript"/>
    </w:rPr>
  </w:style>
  <w:style w:type="paragraph" w:customStyle="1" w:styleId="Anmrknklla">
    <w:name w:val="Anmärkn. källa"/>
    <w:basedOn w:val="Normal"/>
    <w:rsid w:val="007845BA"/>
    <w:pPr>
      <w:spacing w:after="80" w:line="200" w:lineRule="atLeast"/>
      <w:ind w:left="567" w:hanging="567"/>
    </w:pPr>
    <w:rPr>
      <w:rFonts w:ascii="Arial" w:eastAsia="Times New Roman" w:hAnsi="Arial" w:cs="Times New Roman"/>
      <w:sz w:val="18"/>
      <w:szCs w:val="20"/>
      <w:lang w:eastAsia="sv-SE"/>
    </w:rPr>
  </w:style>
  <w:style w:type="paragraph" w:styleId="Normalwebb">
    <w:name w:val="Normal (Web)"/>
    <w:basedOn w:val="Normal"/>
    <w:uiPriority w:val="99"/>
    <w:qFormat/>
    <w:rsid w:val="00294217"/>
    <w:pPr>
      <w:spacing w:before="165" w:line="240" w:lineRule="auto"/>
    </w:pPr>
    <w:rPr>
      <w:rFonts w:ascii="Times New Roman" w:eastAsia="Times New Roman" w:hAnsi="Times New Roman" w:cs="Times New Roman"/>
      <w:lang w:eastAsia="sv-SE"/>
    </w:rPr>
  </w:style>
  <w:style w:type="paragraph" w:styleId="Kommentarsmne">
    <w:name w:val="annotation subject"/>
    <w:basedOn w:val="Kommentarer"/>
    <w:next w:val="Kommentarer"/>
    <w:link w:val="KommentarsmneChar"/>
    <w:uiPriority w:val="99"/>
    <w:semiHidden/>
    <w:unhideWhenUsed/>
    <w:rsid w:val="00340FDC"/>
    <w:rPr>
      <w:rFonts w:asciiTheme="minorHAnsi" w:eastAsiaTheme="minorHAnsi" w:hAnsiTheme="minorHAnsi" w:cstheme="minorBidi"/>
      <w:b/>
      <w:bCs/>
      <w:kern w:val="0"/>
      <w:lang w:eastAsia="en-US"/>
    </w:rPr>
  </w:style>
  <w:style w:type="character" w:customStyle="1" w:styleId="KommentarsmneChar">
    <w:name w:val="Kommentarsämne Char"/>
    <w:basedOn w:val="KommentarerChar"/>
    <w:link w:val="Kommentarsmne"/>
    <w:uiPriority w:val="99"/>
    <w:semiHidden/>
    <w:rsid w:val="00340FDC"/>
    <w:rPr>
      <w:rFonts w:ascii="Times New Roman" w:eastAsia="Times New Roman" w:hAnsi="Times New Roman" w:cs="Times New Roman"/>
      <w:b/>
      <w:bCs/>
      <w:kern w:val="24"/>
      <w:sz w:val="20"/>
      <w:szCs w:val="20"/>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semiHidden="0" w:uiPriority="0"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9"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Normal (Web)"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339DD"/>
    <w:pPr>
      <w:spacing w:line="300" w:lineRule="atLeast"/>
    </w:pPr>
    <w:rPr>
      <w:lang w:val="sv-SE"/>
    </w:rPr>
  </w:style>
  <w:style w:type="paragraph" w:styleId="Rubrik1">
    <w:name w:val="heading 1"/>
    <w:basedOn w:val="Normal"/>
    <w:next w:val="Normal"/>
    <w:link w:val="Rubrik1Char"/>
    <w:uiPriority w:val="9"/>
    <w:qFormat/>
    <w:rsid w:val="00B262A6"/>
    <w:pPr>
      <w:keepNext/>
      <w:keepLines/>
      <w:spacing w:before="280" w:after="280" w:line="280" w:lineRule="atLeast"/>
      <w:outlineLvl w:val="0"/>
    </w:pPr>
    <w:rPr>
      <w:rFonts w:asciiTheme="majorHAnsi" w:eastAsiaTheme="majorEastAsia" w:hAnsiTheme="majorHAnsi" w:cstheme="majorBidi"/>
      <w:b/>
      <w:bCs/>
      <w:kern w:val="18"/>
      <w:sz w:val="28"/>
      <w:szCs w:val="28"/>
    </w:rPr>
  </w:style>
  <w:style w:type="paragraph" w:styleId="Rubrik2">
    <w:name w:val="heading 2"/>
    <w:aliases w:val="H2"/>
    <w:basedOn w:val="Normal"/>
    <w:next w:val="Normal"/>
    <w:link w:val="Rubrik2Char"/>
    <w:uiPriority w:val="9"/>
    <w:unhideWhenUsed/>
    <w:qFormat/>
    <w:rsid w:val="00B262A6"/>
    <w:pPr>
      <w:keepNext/>
      <w:keepLines/>
      <w:spacing w:before="240" w:line="240" w:lineRule="atLeast"/>
      <w:outlineLvl w:val="1"/>
    </w:pPr>
    <w:rPr>
      <w:rFonts w:asciiTheme="majorHAnsi" w:eastAsiaTheme="majorEastAsia" w:hAnsiTheme="majorHAnsi" w:cstheme="majorBidi"/>
      <w:b/>
      <w:bCs/>
      <w:szCs w:val="26"/>
    </w:rPr>
  </w:style>
  <w:style w:type="paragraph" w:styleId="Rubrik3">
    <w:name w:val="heading 3"/>
    <w:aliases w:val="H3"/>
    <w:basedOn w:val="Normal"/>
    <w:next w:val="Normal"/>
    <w:link w:val="Rubrik3Char"/>
    <w:qFormat/>
    <w:rsid w:val="00B262A6"/>
    <w:pPr>
      <w:keepNext/>
      <w:keepLines/>
      <w:spacing w:before="240" w:line="240" w:lineRule="atLeast"/>
      <w:outlineLvl w:val="2"/>
    </w:pPr>
    <w:rPr>
      <w:rFonts w:asciiTheme="majorHAnsi" w:eastAsiaTheme="majorEastAsia" w:hAnsiTheme="majorHAnsi" w:cstheme="majorBidi"/>
      <w:bCs/>
    </w:rPr>
  </w:style>
  <w:style w:type="paragraph" w:styleId="Rubrik4">
    <w:name w:val="heading 4"/>
    <w:aliases w:val="H4"/>
    <w:basedOn w:val="Normal"/>
    <w:next w:val="Normal"/>
    <w:link w:val="Rubrik4Char"/>
    <w:qFormat/>
    <w:rsid w:val="00B262A6"/>
    <w:pPr>
      <w:keepNext/>
      <w:keepLines/>
      <w:spacing w:before="220" w:line="220" w:lineRule="atLeast"/>
      <w:outlineLvl w:val="3"/>
    </w:pPr>
    <w:rPr>
      <w:rFonts w:asciiTheme="majorHAnsi" w:eastAsiaTheme="majorEastAsia" w:hAnsiTheme="majorHAnsi" w:cstheme="majorBidi"/>
      <w:b/>
      <w:bCs/>
      <w:iCs/>
      <w:sz w:val="22"/>
    </w:rPr>
  </w:style>
  <w:style w:type="paragraph" w:styleId="Rubrik5">
    <w:name w:val="heading 5"/>
    <w:basedOn w:val="Normal"/>
    <w:next w:val="Normal"/>
    <w:link w:val="Rubrik5Char"/>
    <w:uiPriority w:val="9"/>
    <w:qFormat/>
    <w:rsid w:val="00B262A6"/>
    <w:pPr>
      <w:keepNext/>
      <w:keepLines/>
      <w:spacing w:before="220" w:line="220" w:lineRule="atLeast"/>
      <w:outlineLvl w:val="4"/>
    </w:pPr>
    <w:rPr>
      <w:rFonts w:asciiTheme="majorHAnsi" w:eastAsiaTheme="majorEastAsia" w:hAnsiTheme="majorHAnsi" w:cstheme="majorBid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CF4C4A"/>
    <w:pPr>
      <w:spacing w:line="240" w:lineRule="auto"/>
    </w:pPr>
    <w:rPr>
      <w:rFonts w:asciiTheme="majorHAnsi" w:hAnsiTheme="maj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B262A6"/>
    <w:rPr>
      <w:rFonts w:asciiTheme="majorHAnsi" w:eastAsiaTheme="majorEastAsia" w:hAnsiTheme="majorHAnsi" w:cstheme="majorBidi"/>
      <w:b/>
      <w:bCs/>
      <w:kern w:val="18"/>
      <w:sz w:val="28"/>
      <w:szCs w:val="28"/>
      <w:lang w:val="sv-SE"/>
    </w:rPr>
  </w:style>
  <w:style w:type="paragraph" w:styleId="Sidhuvud">
    <w:name w:val="header"/>
    <w:basedOn w:val="Normal"/>
    <w:link w:val="SidhuvudChar"/>
    <w:uiPriority w:val="99"/>
    <w:unhideWhenUsed/>
    <w:rsid w:val="00CF4C4A"/>
    <w:pPr>
      <w:tabs>
        <w:tab w:val="center" w:pos="4703"/>
        <w:tab w:val="right" w:pos="9406"/>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3524D5"/>
    <w:rPr>
      <w:rFonts w:asciiTheme="majorHAnsi" w:hAnsiTheme="majorHAnsi"/>
      <w:sz w:val="20"/>
      <w:lang w:val="sv-SE"/>
    </w:rPr>
  </w:style>
  <w:style w:type="paragraph" w:styleId="Sidfot">
    <w:name w:val="footer"/>
    <w:basedOn w:val="Normal"/>
    <w:link w:val="SidfotChar"/>
    <w:uiPriority w:val="99"/>
    <w:unhideWhenUsed/>
    <w:rsid w:val="00CF4C4A"/>
    <w:pPr>
      <w:tabs>
        <w:tab w:val="center" w:pos="4703"/>
        <w:tab w:val="right" w:pos="9406"/>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AE3BC1"/>
    <w:rPr>
      <w:rFonts w:asciiTheme="majorHAnsi" w:hAnsiTheme="majorHAnsi"/>
      <w:sz w:val="15"/>
      <w:lang w:val="sv-SE"/>
    </w:rPr>
  </w:style>
  <w:style w:type="paragraph" w:styleId="Ballongtext">
    <w:name w:val="Balloon Text"/>
    <w:basedOn w:val="Normal"/>
    <w:link w:val="BallongtextChar"/>
    <w:uiPriority w:val="99"/>
    <w:semiHidden/>
    <w:unhideWhenUsed/>
    <w:rsid w:val="00CF4C4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0727A"/>
    <w:rPr>
      <w:rFonts w:ascii="Tahoma" w:hAnsi="Tahoma" w:cs="Tahoma"/>
      <w:sz w:val="16"/>
      <w:szCs w:val="16"/>
      <w:lang w:val="sv-SE"/>
    </w:rPr>
  </w:style>
  <w:style w:type="paragraph" w:customStyle="1" w:styleId="plats">
    <w:name w:val="plats"/>
    <w:basedOn w:val="Sidhuvud"/>
    <w:semiHidden/>
    <w:rsid w:val="00CF4C4A"/>
    <w:pPr>
      <w:tabs>
        <w:tab w:val="clear" w:pos="4703"/>
        <w:tab w:val="clear" w:pos="9406"/>
        <w:tab w:val="center" w:pos="4536"/>
        <w:tab w:val="right" w:pos="9072"/>
      </w:tabs>
      <w:spacing w:line="240" w:lineRule="exact"/>
    </w:pPr>
    <w:rPr>
      <w:rFonts w:ascii="Gill Sans MT" w:eastAsia="Times New Roman" w:hAnsi="Gill Sans MT" w:cs="Times New Roman"/>
      <w:caps/>
      <w:spacing w:val="20"/>
      <w:kern w:val="20"/>
      <w:sz w:val="18"/>
      <w:lang w:eastAsia="sv-SE"/>
    </w:rPr>
  </w:style>
  <w:style w:type="paragraph" w:customStyle="1" w:styleId="Sidfot3">
    <w:name w:val="Sidfot3"/>
    <w:basedOn w:val="Sidfot"/>
    <w:semiHidden/>
    <w:rsid w:val="00CF4C4A"/>
    <w:pPr>
      <w:tabs>
        <w:tab w:val="clear" w:pos="4703"/>
        <w:tab w:val="clear" w:pos="9406"/>
        <w:tab w:val="right" w:pos="7910"/>
      </w:tabs>
      <w:spacing w:line="220" w:lineRule="atLeast"/>
    </w:pPr>
    <w:rPr>
      <w:rFonts w:ascii="Gill Sans MT" w:eastAsia="Times New Roman" w:hAnsi="Gill Sans MT" w:cs="Times New Roman"/>
      <w:noProof/>
      <w:spacing w:val="8"/>
      <w:kern w:val="16"/>
      <w:sz w:val="18"/>
      <w:szCs w:val="18"/>
      <w:lang w:eastAsia="sv-SE"/>
    </w:rPr>
  </w:style>
  <w:style w:type="character" w:customStyle="1" w:styleId="Rubrik2Char">
    <w:name w:val="Rubrik 2 Char"/>
    <w:aliases w:val="H2 Char"/>
    <w:basedOn w:val="Standardstycketeckensnitt"/>
    <w:link w:val="Rubrik2"/>
    <w:uiPriority w:val="9"/>
    <w:rsid w:val="00B262A6"/>
    <w:rPr>
      <w:rFonts w:asciiTheme="majorHAnsi" w:eastAsiaTheme="majorEastAsia" w:hAnsiTheme="majorHAnsi" w:cstheme="majorBidi"/>
      <w:b/>
      <w:bCs/>
      <w:szCs w:val="26"/>
      <w:lang w:val="sv-SE"/>
    </w:rPr>
  </w:style>
  <w:style w:type="paragraph" w:styleId="Liststycke">
    <w:name w:val="List Paragraph"/>
    <w:basedOn w:val="Normal"/>
    <w:uiPriority w:val="34"/>
    <w:qFormat/>
    <w:rsid w:val="00316898"/>
    <w:pPr>
      <w:numPr>
        <w:numId w:val="5"/>
      </w:numPr>
      <w:ind w:left="714" w:hanging="357"/>
      <w:contextualSpacing/>
    </w:pPr>
  </w:style>
  <w:style w:type="character" w:customStyle="1" w:styleId="Rubrik3Char">
    <w:name w:val="Rubrik 3 Char"/>
    <w:aliases w:val="H3 Char"/>
    <w:basedOn w:val="Standardstycketeckensnitt"/>
    <w:link w:val="Rubrik3"/>
    <w:rsid w:val="00B262A6"/>
    <w:rPr>
      <w:rFonts w:asciiTheme="majorHAnsi" w:eastAsiaTheme="majorEastAsia" w:hAnsiTheme="majorHAnsi" w:cstheme="majorBidi"/>
      <w:bCs/>
      <w:lang w:val="sv-SE"/>
    </w:rPr>
  </w:style>
  <w:style w:type="character" w:customStyle="1" w:styleId="Rubrik4Char">
    <w:name w:val="Rubrik 4 Char"/>
    <w:aliases w:val="H4 Char"/>
    <w:basedOn w:val="Standardstycketeckensnitt"/>
    <w:link w:val="Rubrik4"/>
    <w:rsid w:val="00B262A6"/>
    <w:rPr>
      <w:rFonts w:asciiTheme="majorHAnsi" w:eastAsiaTheme="majorEastAsia" w:hAnsiTheme="majorHAnsi" w:cstheme="majorBidi"/>
      <w:b/>
      <w:bCs/>
      <w:iCs/>
      <w:sz w:val="22"/>
      <w:lang w:val="sv-SE"/>
    </w:rPr>
  </w:style>
  <w:style w:type="character" w:customStyle="1" w:styleId="Rubrik5Char">
    <w:name w:val="Rubrik 5 Char"/>
    <w:basedOn w:val="Standardstycketeckensnitt"/>
    <w:link w:val="Rubrik5"/>
    <w:uiPriority w:val="9"/>
    <w:rsid w:val="00B262A6"/>
    <w:rPr>
      <w:rFonts w:asciiTheme="majorHAnsi" w:eastAsiaTheme="majorEastAsia" w:hAnsiTheme="majorHAnsi" w:cstheme="majorBidi"/>
      <w:sz w:val="22"/>
      <w:lang w:val="sv-SE"/>
    </w:rPr>
  </w:style>
  <w:style w:type="paragraph" w:styleId="Punktlista">
    <w:name w:val="List Bullet"/>
    <w:basedOn w:val="Normal"/>
    <w:uiPriority w:val="9"/>
    <w:qFormat/>
    <w:rsid w:val="00EF09CD"/>
    <w:pPr>
      <w:numPr>
        <w:numId w:val="7"/>
      </w:numPr>
      <w:ind w:left="714" w:hanging="357"/>
      <w:contextualSpacing/>
    </w:pPr>
  </w:style>
  <w:style w:type="paragraph" w:customStyle="1" w:styleId="SidfotFrvaltning">
    <w:name w:val="SidfotFörvaltning"/>
    <w:basedOn w:val="Sidfot"/>
    <w:next w:val="Sidfot"/>
    <w:link w:val="SidfotFrvaltningChar"/>
    <w:semiHidden/>
    <w:qFormat/>
    <w:rsid w:val="00CF4C4A"/>
    <w:pPr>
      <w:framePr w:wrap="around" w:vAnchor="text" w:hAnchor="page" w:x="1390" w:y="1"/>
      <w:suppressOverlap/>
    </w:pPr>
    <w:rPr>
      <w:b/>
      <w:szCs w:val="16"/>
    </w:rPr>
  </w:style>
  <w:style w:type="character" w:customStyle="1" w:styleId="SidfotFrvaltningChar">
    <w:name w:val="SidfotFörvaltning Char"/>
    <w:basedOn w:val="SidfotChar"/>
    <w:link w:val="SidfotFrvaltning"/>
    <w:semiHidden/>
    <w:rsid w:val="00073CE4"/>
    <w:rPr>
      <w:rFonts w:asciiTheme="majorHAnsi" w:hAnsiTheme="majorHAnsi"/>
      <w:b/>
      <w:sz w:val="15"/>
      <w:szCs w:val="16"/>
      <w:lang w:val="sv-SE"/>
    </w:rPr>
  </w:style>
  <w:style w:type="paragraph" w:customStyle="1" w:styleId="Bilagor">
    <w:name w:val="Bilagor"/>
    <w:basedOn w:val="Rubrik2"/>
    <w:next w:val="Liststycke"/>
    <w:rsid w:val="00CF4C4A"/>
    <w:pPr>
      <w:keepLines w:val="0"/>
    </w:pPr>
    <w:rPr>
      <w:rFonts w:eastAsia="Times New Roman" w:cs="Times New Roman"/>
      <w:bCs w:val="0"/>
      <w:szCs w:val="24"/>
      <w:lang w:eastAsia="sv-SE"/>
    </w:rPr>
  </w:style>
  <w:style w:type="paragraph" w:customStyle="1" w:styleId="Underskrift">
    <w:name w:val="Underskrift"/>
    <w:basedOn w:val="Normal"/>
    <w:rsid w:val="00CF4C4A"/>
    <w:pPr>
      <w:tabs>
        <w:tab w:val="left" w:pos="3119"/>
      </w:tabs>
      <w:spacing w:before="240" w:line="360" w:lineRule="atLeast"/>
    </w:pPr>
    <w:rPr>
      <w:rFonts w:ascii="Times New Roman" w:eastAsia="Times New Roman" w:hAnsi="Times New Roman" w:cs="Times New Roman"/>
      <w:kern w:val="24"/>
      <w:lang w:eastAsia="sv-SE"/>
    </w:rPr>
  </w:style>
  <w:style w:type="paragraph" w:styleId="Beskrivning">
    <w:name w:val="caption"/>
    <w:basedOn w:val="Normal"/>
    <w:next w:val="Normal"/>
    <w:uiPriority w:val="35"/>
    <w:unhideWhenUsed/>
    <w:qFormat/>
    <w:rsid w:val="00D93408"/>
    <w:pPr>
      <w:spacing w:before="60" w:after="60" w:line="240" w:lineRule="auto"/>
    </w:pPr>
    <w:rPr>
      <w:rFonts w:ascii="Arial" w:hAnsi="Arial"/>
      <w:bCs/>
      <w:sz w:val="20"/>
      <w:szCs w:val="18"/>
    </w:rPr>
  </w:style>
  <w:style w:type="paragraph" w:customStyle="1" w:styleId="Huvudrubrik">
    <w:name w:val="Huvudrubrik"/>
    <w:basedOn w:val="Rubrik1"/>
    <w:next w:val="Normal"/>
    <w:rsid w:val="00101D31"/>
    <w:pPr>
      <w:keepLines w:val="0"/>
      <w:spacing w:before="20" w:after="240" w:line="300" w:lineRule="atLeast"/>
    </w:pPr>
    <w:rPr>
      <w:rFonts w:ascii="Gill Sans MT" w:eastAsia="Times New Roman" w:hAnsi="Gill Sans MT" w:cs="Times New Roman"/>
      <w:bCs w:val="0"/>
      <w:spacing w:val="20"/>
      <w:kern w:val="0"/>
      <w:sz w:val="30"/>
      <w:szCs w:val="30"/>
      <w:lang w:eastAsia="sv-SE"/>
    </w:rPr>
  </w:style>
  <w:style w:type="character" w:customStyle="1" w:styleId="selected">
    <w:name w:val="selected"/>
    <w:basedOn w:val="Standardstycketeckensnitt"/>
    <w:rsid w:val="00101D31"/>
  </w:style>
  <w:style w:type="paragraph" w:customStyle="1" w:styleId="mottagare">
    <w:name w:val="mottagare"/>
    <w:basedOn w:val="Normal"/>
    <w:semiHidden/>
    <w:rsid w:val="00101D31"/>
    <w:rPr>
      <w:rFonts w:ascii="Times New Roman" w:eastAsia="Times New Roman" w:hAnsi="Times New Roman" w:cs="Times New Roman"/>
      <w:kern w:val="24"/>
      <w:lang w:eastAsia="sv-SE"/>
    </w:rPr>
  </w:style>
  <w:style w:type="paragraph" w:customStyle="1" w:styleId="Default">
    <w:name w:val="Default"/>
    <w:rsid w:val="00101D31"/>
    <w:pPr>
      <w:autoSpaceDE w:val="0"/>
      <w:autoSpaceDN w:val="0"/>
      <w:adjustRightInd w:val="0"/>
      <w:spacing w:line="240" w:lineRule="auto"/>
    </w:pPr>
    <w:rPr>
      <w:rFonts w:ascii="Gill Sans MT" w:eastAsia="Times New Roman" w:hAnsi="Gill Sans MT" w:cs="Gill Sans MT"/>
      <w:color w:val="000000"/>
      <w:lang w:val="sv-SE" w:eastAsia="sv-SE"/>
    </w:rPr>
  </w:style>
  <w:style w:type="character" w:styleId="Hyperlnk">
    <w:name w:val="Hyperlink"/>
    <w:basedOn w:val="Standardstycketeckensnitt"/>
    <w:uiPriority w:val="99"/>
    <w:unhideWhenUsed/>
    <w:rsid w:val="00E61BA0"/>
    <w:rPr>
      <w:color w:val="007EC4" w:themeColor="hyperlink"/>
      <w:u w:val="single"/>
    </w:rPr>
  </w:style>
  <w:style w:type="character" w:styleId="Kommentarsreferens">
    <w:name w:val="annotation reference"/>
    <w:basedOn w:val="Standardstycketeckensnitt"/>
    <w:uiPriority w:val="99"/>
    <w:semiHidden/>
    <w:unhideWhenUsed/>
    <w:rsid w:val="00DC1A6E"/>
    <w:rPr>
      <w:sz w:val="16"/>
      <w:szCs w:val="16"/>
    </w:rPr>
  </w:style>
  <w:style w:type="paragraph" w:styleId="Kommentarer">
    <w:name w:val="annotation text"/>
    <w:basedOn w:val="Normal"/>
    <w:link w:val="KommentarerChar"/>
    <w:uiPriority w:val="99"/>
    <w:semiHidden/>
    <w:unhideWhenUsed/>
    <w:rsid w:val="00DC1A6E"/>
    <w:pPr>
      <w:spacing w:line="240" w:lineRule="auto"/>
    </w:pPr>
    <w:rPr>
      <w:rFonts w:ascii="Times New Roman" w:eastAsia="Times New Roman" w:hAnsi="Times New Roman" w:cs="Times New Roman"/>
      <w:kern w:val="24"/>
      <w:sz w:val="20"/>
      <w:szCs w:val="20"/>
      <w:lang w:eastAsia="sv-SE"/>
    </w:rPr>
  </w:style>
  <w:style w:type="character" w:customStyle="1" w:styleId="KommentarerChar">
    <w:name w:val="Kommentarer Char"/>
    <w:basedOn w:val="Standardstycketeckensnitt"/>
    <w:link w:val="Kommentarer"/>
    <w:uiPriority w:val="99"/>
    <w:semiHidden/>
    <w:rsid w:val="00DC1A6E"/>
    <w:rPr>
      <w:rFonts w:ascii="Times New Roman" w:eastAsia="Times New Roman" w:hAnsi="Times New Roman" w:cs="Times New Roman"/>
      <w:kern w:val="24"/>
      <w:sz w:val="20"/>
      <w:szCs w:val="20"/>
      <w:lang w:val="sv-SE" w:eastAsia="sv-SE"/>
    </w:rPr>
  </w:style>
  <w:style w:type="paragraph" w:styleId="Fotnotstext">
    <w:name w:val="footnote text"/>
    <w:basedOn w:val="Normal"/>
    <w:link w:val="FotnotstextChar"/>
    <w:uiPriority w:val="99"/>
    <w:unhideWhenUsed/>
    <w:rsid w:val="007845BA"/>
    <w:pPr>
      <w:spacing w:line="240" w:lineRule="auto"/>
    </w:pPr>
    <w:rPr>
      <w:rFonts w:ascii="Times New Roman" w:eastAsia="Times New Roman" w:hAnsi="Times New Roman" w:cs="Times New Roman"/>
      <w:kern w:val="24"/>
      <w:sz w:val="20"/>
      <w:szCs w:val="20"/>
      <w:lang w:eastAsia="sv-SE"/>
    </w:rPr>
  </w:style>
  <w:style w:type="character" w:customStyle="1" w:styleId="FotnotstextChar">
    <w:name w:val="Fotnotstext Char"/>
    <w:basedOn w:val="Standardstycketeckensnitt"/>
    <w:link w:val="Fotnotstext"/>
    <w:uiPriority w:val="99"/>
    <w:rsid w:val="007845BA"/>
    <w:rPr>
      <w:rFonts w:ascii="Times New Roman" w:eastAsia="Times New Roman" w:hAnsi="Times New Roman" w:cs="Times New Roman"/>
      <w:kern w:val="24"/>
      <w:sz w:val="20"/>
      <w:szCs w:val="20"/>
      <w:lang w:val="sv-SE" w:eastAsia="sv-SE"/>
    </w:rPr>
  </w:style>
  <w:style w:type="character" w:styleId="Fotnotsreferens">
    <w:name w:val="footnote reference"/>
    <w:basedOn w:val="Standardstycketeckensnitt"/>
    <w:unhideWhenUsed/>
    <w:rsid w:val="007845BA"/>
    <w:rPr>
      <w:vertAlign w:val="superscript"/>
    </w:rPr>
  </w:style>
  <w:style w:type="paragraph" w:customStyle="1" w:styleId="Anmrknklla">
    <w:name w:val="Anmärkn. källa"/>
    <w:basedOn w:val="Normal"/>
    <w:rsid w:val="007845BA"/>
    <w:pPr>
      <w:spacing w:after="80" w:line="200" w:lineRule="atLeast"/>
      <w:ind w:left="567" w:hanging="567"/>
    </w:pPr>
    <w:rPr>
      <w:rFonts w:ascii="Arial" w:eastAsia="Times New Roman" w:hAnsi="Arial" w:cs="Times New Roman"/>
      <w:sz w:val="18"/>
      <w:szCs w:val="20"/>
      <w:lang w:eastAsia="sv-SE"/>
    </w:rPr>
  </w:style>
  <w:style w:type="paragraph" w:styleId="Normalwebb">
    <w:name w:val="Normal (Web)"/>
    <w:basedOn w:val="Normal"/>
    <w:uiPriority w:val="99"/>
    <w:qFormat/>
    <w:rsid w:val="00294217"/>
    <w:pPr>
      <w:spacing w:before="165" w:line="240" w:lineRule="auto"/>
    </w:pPr>
    <w:rPr>
      <w:rFonts w:ascii="Times New Roman" w:eastAsia="Times New Roman" w:hAnsi="Times New Roman" w:cs="Times New Roman"/>
      <w:lang w:eastAsia="sv-SE"/>
    </w:rPr>
  </w:style>
  <w:style w:type="paragraph" w:styleId="Kommentarsmne">
    <w:name w:val="annotation subject"/>
    <w:basedOn w:val="Kommentarer"/>
    <w:next w:val="Kommentarer"/>
    <w:link w:val="KommentarsmneChar"/>
    <w:uiPriority w:val="99"/>
    <w:semiHidden/>
    <w:unhideWhenUsed/>
    <w:rsid w:val="00340FDC"/>
    <w:rPr>
      <w:rFonts w:asciiTheme="minorHAnsi" w:eastAsiaTheme="minorHAnsi" w:hAnsiTheme="minorHAnsi" w:cstheme="minorBidi"/>
      <w:b/>
      <w:bCs/>
      <w:kern w:val="0"/>
      <w:lang w:eastAsia="en-US"/>
    </w:rPr>
  </w:style>
  <w:style w:type="character" w:customStyle="1" w:styleId="KommentarsmneChar">
    <w:name w:val="Kommentarsämne Char"/>
    <w:basedOn w:val="KommentarerChar"/>
    <w:link w:val="Kommentarsmne"/>
    <w:uiPriority w:val="99"/>
    <w:semiHidden/>
    <w:rsid w:val="00340FDC"/>
    <w:rPr>
      <w:rFonts w:ascii="Times New Roman" w:eastAsia="Times New Roman" w:hAnsi="Times New Roman" w:cs="Times New Roman"/>
      <w:b/>
      <w:bCs/>
      <w:kern w:val="24"/>
      <w:sz w:val="20"/>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144">
      <w:bodyDiv w:val="1"/>
      <w:marLeft w:val="0"/>
      <w:marRight w:val="0"/>
      <w:marTop w:val="0"/>
      <w:marBottom w:val="0"/>
      <w:divBdr>
        <w:top w:val="none" w:sz="0" w:space="0" w:color="auto"/>
        <w:left w:val="none" w:sz="0" w:space="0" w:color="auto"/>
        <w:bottom w:val="none" w:sz="0" w:space="0" w:color="auto"/>
        <w:right w:val="none" w:sz="0" w:space="0" w:color="auto"/>
      </w:divBdr>
    </w:div>
    <w:div w:id="661736566">
      <w:bodyDiv w:val="1"/>
      <w:marLeft w:val="0"/>
      <w:marRight w:val="0"/>
      <w:marTop w:val="0"/>
      <w:marBottom w:val="0"/>
      <w:divBdr>
        <w:top w:val="none" w:sz="0" w:space="0" w:color="auto"/>
        <w:left w:val="none" w:sz="0" w:space="0" w:color="auto"/>
        <w:bottom w:val="none" w:sz="0" w:space="0" w:color="auto"/>
        <w:right w:val="none" w:sz="0" w:space="0" w:color="auto"/>
      </w:divBdr>
    </w:div>
    <w:div w:id="1878083137">
      <w:bodyDiv w:val="1"/>
      <w:marLeft w:val="0"/>
      <w:marRight w:val="0"/>
      <w:marTop w:val="0"/>
      <w:marBottom w:val="0"/>
      <w:divBdr>
        <w:top w:val="none" w:sz="0" w:space="0" w:color="auto"/>
        <w:left w:val="none" w:sz="0" w:space="0" w:color="auto"/>
        <w:bottom w:val="none" w:sz="0" w:space="0" w:color="auto"/>
        <w:right w:val="none" w:sz="0" w:space="0" w:color="auto"/>
      </w:divBdr>
    </w:div>
    <w:div w:id="20577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cid:image002.png@01CF6454.6EBB68C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cid:image001.png@01CF559B.406C3980"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png"/><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0.xm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9.xm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Y:\Stockholms_stad\Tjut.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3.bin"/><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0"/>
          <c:tx>
            <c:strRef>
              <c:f>Sheet1!$A$6</c:f>
              <c:strCache>
                <c:ptCount val="1"/>
                <c:pt idx="0">
                  <c:v>Världen</c:v>
                </c:pt>
              </c:strCache>
            </c:strRef>
          </c:tx>
          <c:invertIfNegative val="0"/>
          <c:cat>
            <c:strRef>
              <c:f>Sheet1!$B$3:$T$3</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Sheet1!$B$6:$T$6</c:f>
              <c:numCache>
                <c:formatCode>General</c:formatCode>
                <c:ptCount val="19"/>
                <c:pt idx="0">
                  <c:v>4.7</c:v>
                </c:pt>
                <c:pt idx="1">
                  <c:v>2.2999999999999998</c:v>
                </c:pt>
                <c:pt idx="2">
                  <c:v>2.8</c:v>
                </c:pt>
                <c:pt idx="3">
                  <c:v>3.8</c:v>
                </c:pt>
                <c:pt idx="4">
                  <c:v>5.0999999999999996</c:v>
                </c:pt>
                <c:pt idx="5">
                  <c:v>4.7</c:v>
                </c:pt>
                <c:pt idx="6">
                  <c:v>5.2</c:v>
                </c:pt>
                <c:pt idx="7">
                  <c:v>5.3</c:v>
                </c:pt>
                <c:pt idx="8">
                  <c:v>2.7</c:v>
                </c:pt>
                <c:pt idx="9">
                  <c:v>-0.4</c:v>
                </c:pt>
                <c:pt idx="10">
                  <c:v>5.2</c:v>
                </c:pt>
                <c:pt idx="11">
                  <c:v>3.9</c:v>
                </c:pt>
                <c:pt idx="12">
                  <c:v>3.2</c:v>
                </c:pt>
                <c:pt idx="13">
                  <c:v>2.9</c:v>
                </c:pt>
                <c:pt idx="14">
                  <c:v>3.6</c:v>
                </c:pt>
                <c:pt idx="15">
                  <c:v>4</c:v>
                </c:pt>
                <c:pt idx="16">
                  <c:v>4.0999999999999996</c:v>
                </c:pt>
                <c:pt idx="17">
                  <c:v>4.0999999999999996</c:v>
                </c:pt>
                <c:pt idx="18">
                  <c:v>4.0999999999999996</c:v>
                </c:pt>
              </c:numCache>
            </c:numRef>
          </c:val>
        </c:ser>
        <c:dLbls>
          <c:showLegendKey val="0"/>
          <c:showVal val="0"/>
          <c:showCatName val="0"/>
          <c:showSerName val="0"/>
          <c:showPercent val="0"/>
          <c:showBubbleSize val="0"/>
        </c:dLbls>
        <c:gapWidth val="150"/>
        <c:axId val="89004672"/>
        <c:axId val="89003136"/>
      </c:barChart>
      <c:lineChart>
        <c:grouping val="standard"/>
        <c:varyColors val="0"/>
        <c:ser>
          <c:idx val="1"/>
          <c:order val="1"/>
          <c:tx>
            <c:strRef>
              <c:f>Sheet1!$A$5</c:f>
              <c:strCache>
                <c:ptCount val="1"/>
                <c:pt idx="0">
                  <c:v>Tillväxtekonomier</c:v>
                </c:pt>
              </c:strCache>
            </c:strRef>
          </c:tx>
          <c:marker>
            <c:symbol val="none"/>
          </c:marker>
          <c:cat>
            <c:strRef>
              <c:f>Sheet1!$B$3:$T$3</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Sheet1!$B$5:$T$5</c:f>
              <c:numCache>
                <c:formatCode>General</c:formatCode>
                <c:ptCount val="19"/>
                <c:pt idx="0">
                  <c:v>5.7</c:v>
                </c:pt>
                <c:pt idx="1">
                  <c:v>3.9</c:v>
                </c:pt>
                <c:pt idx="2">
                  <c:v>4.5999999999999996</c:v>
                </c:pt>
                <c:pt idx="3">
                  <c:v>6.4</c:v>
                </c:pt>
                <c:pt idx="4">
                  <c:v>7.7</c:v>
                </c:pt>
                <c:pt idx="5">
                  <c:v>7.3</c:v>
                </c:pt>
                <c:pt idx="6">
                  <c:v>8.3000000000000007</c:v>
                </c:pt>
                <c:pt idx="7">
                  <c:v>8.6999999999999993</c:v>
                </c:pt>
                <c:pt idx="8">
                  <c:v>5.8</c:v>
                </c:pt>
                <c:pt idx="9">
                  <c:v>3.1</c:v>
                </c:pt>
                <c:pt idx="10">
                  <c:v>7.5</c:v>
                </c:pt>
                <c:pt idx="11">
                  <c:v>6.2</c:v>
                </c:pt>
                <c:pt idx="12">
                  <c:v>4.9000000000000004</c:v>
                </c:pt>
                <c:pt idx="13">
                  <c:v>4.5</c:v>
                </c:pt>
                <c:pt idx="14">
                  <c:v>5.0999999999999996</c:v>
                </c:pt>
                <c:pt idx="15">
                  <c:v>5.3</c:v>
                </c:pt>
                <c:pt idx="16">
                  <c:v>5.4</c:v>
                </c:pt>
                <c:pt idx="17">
                  <c:v>5.5</c:v>
                </c:pt>
                <c:pt idx="18">
                  <c:v>5.5</c:v>
                </c:pt>
              </c:numCache>
            </c:numRef>
          </c:val>
          <c:smooth val="0"/>
        </c:ser>
        <c:ser>
          <c:idx val="0"/>
          <c:order val="2"/>
          <c:tx>
            <c:strRef>
              <c:f>Sheet1!$A$4</c:f>
              <c:strCache>
                <c:ptCount val="1"/>
                <c:pt idx="0">
                  <c:v>Utvecklade ekonomier (35 länder)</c:v>
                </c:pt>
              </c:strCache>
            </c:strRef>
          </c:tx>
          <c:spPr>
            <a:ln>
              <a:solidFill>
                <a:schemeClr val="tx1">
                  <a:lumMod val="75000"/>
                  <a:lumOff val="25000"/>
                </a:schemeClr>
              </a:solidFill>
            </a:ln>
          </c:spPr>
          <c:marker>
            <c:symbol val="none"/>
          </c:marker>
          <c:cat>
            <c:strRef>
              <c:f>Sheet1!$B$3:$T$3</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Sheet1!$B$4:$T$4</c:f>
              <c:numCache>
                <c:formatCode>General</c:formatCode>
                <c:ptCount val="19"/>
                <c:pt idx="0">
                  <c:v>4.0999999999999996</c:v>
                </c:pt>
                <c:pt idx="1">
                  <c:v>1.4</c:v>
                </c:pt>
                <c:pt idx="2">
                  <c:v>1.7</c:v>
                </c:pt>
                <c:pt idx="3">
                  <c:v>2.1</c:v>
                </c:pt>
                <c:pt idx="4">
                  <c:v>3.2</c:v>
                </c:pt>
                <c:pt idx="5">
                  <c:v>2.8</c:v>
                </c:pt>
                <c:pt idx="6">
                  <c:v>3</c:v>
                </c:pt>
                <c:pt idx="7">
                  <c:v>2.7</c:v>
                </c:pt>
                <c:pt idx="8">
                  <c:v>0.1</c:v>
                </c:pt>
                <c:pt idx="9">
                  <c:v>-3.4</c:v>
                </c:pt>
                <c:pt idx="10">
                  <c:v>3</c:v>
                </c:pt>
                <c:pt idx="11">
                  <c:v>1.7</c:v>
                </c:pt>
                <c:pt idx="12">
                  <c:v>1.5</c:v>
                </c:pt>
                <c:pt idx="13">
                  <c:v>1.2</c:v>
                </c:pt>
                <c:pt idx="14">
                  <c:v>2</c:v>
                </c:pt>
                <c:pt idx="15">
                  <c:v>2.5</c:v>
                </c:pt>
                <c:pt idx="16">
                  <c:v>2.6</c:v>
                </c:pt>
                <c:pt idx="17">
                  <c:v>2.6</c:v>
                </c:pt>
                <c:pt idx="18">
                  <c:v>2.5</c:v>
                </c:pt>
              </c:numCache>
            </c:numRef>
          </c:val>
          <c:smooth val="0"/>
        </c:ser>
        <c:dLbls>
          <c:showLegendKey val="0"/>
          <c:showVal val="0"/>
          <c:showCatName val="0"/>
          <c:showSerName val="0"/>
          <c:showPercent val="0"/>
          <c:showBubbleSize val="0"/>
        </c:dLbls>
        <c:marker val="1"/>
        <c:smooth val="0"/>
        <c:axId val="118871936"/>
        <c:axId val="118873472"/>
      </c:lineChart>
      <c:catAx>
        <c:axId val="118871936"/>
        <c:scaling>
          <c:orientation val="minMax"/>
        </c:scaling>
        <c:delete val="0"/>
        <c:axPos val="b"/>
        <c:majorTickMark val="out"/>
        <c:minorTickMark val="none"/>
        <c:tickLblPos val="nextTo"/>
        <c:crossAx val="118873472"/>
        <c:crossesAt val="-6"/>
        <c:auto val="1"/>
        <c:lblAlgn val="ctr"/>
        <c:lblOffset val="100"/>
        <c:noMultiLvlLbl val="0"/>
      </c:catAx>
      <c:valAx>
        <c:axId val="118873472"/>
        <c:scaling>
          <c:orientation val="minMax"/>
        </c:scaling>
        <c:delete val="0"/>
        <c:axPos val="l"/>
        <c:majorGridlines/>
        <c:numFmt formatCode="General" sourceLinked="1"/>
        <c:majorTickMark val="out"/>
        <c:minorTickMark val="none"/>
        <c:tickLblPos val="nextTo"/>
        <c:crossAx val="118871936"/>
        <c:crosses val="autoZero"/>
        <c:crossBetween val="between"/>
      </c:valAx>
      <c:valAx>
        <c:axId val="89003136"/>
        <c:scaling>
          <c:orientation val="minMax"/>
          <c:max val="10"/>
          <c:min val="-6"/>
        </c:scaling>
        <c:delete val="0"/>
        <c:axPos val="r"/>
        <c:numFmt formatCode="General" sourceLinked="1"/>
        <c:majorTickMark val="out"/>
        <c:minorTickMark val="none"/>
        <c:tickLblPos val="nextTo"/>
        <c:crossAx val="89004672"/>
        <c:crosses val="max"/>
        <c:crossBetween val="between"/>
      </c:valAx>
      <c:catAx>
        <c:axId val="89004672"/>
        <c:scaling>
          <c:orientation val="minMax"/>
        </c:scaling>
        <c:delete val="0"/>
        <c:axPos val="b"/>
        <c:majorTickMark val="out"/>
        <c:minorTickMark val="none"/>
        <c:tickLblPos val="none"/>
        <c:crossAx val="89003136"/>
        <c:crosses val="autoZero"/>
        <c:auto val="1"/>
        <c:lblAlgn val="ctr"/>
        <c:lblOffset val="100"/>
        <c:noMultiLvlLbl val="0"/>
      </c:catAx>
    </c:plotArea>
    <c:legend>
      <c:legendPos val="b"/>
      <c:overlay val="0"/>
    </c:legend>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93192422775752"/>
          <c:y val="8.8632221758300045E-2"/>
          <c:w val="0.62427710348361154"/>
          <c:h val="0.78992384017268413"/>
        </c:manualLayout>
      </c:layout>
      <c:lineChart>
        <c:grouping val="standard"/>
        <c:varyColors val="0"/>
        <c:ser>
          <c:idx val="3"/>
          <c:order val="0"/>
          <c:tx>
            <c:strRef>
              <c:f>[Rapportdiagram_2013.xlsx]Statistikunderlag!$A$64</c:f>
              <c:strCache>
                <c:ptCount val="1"/>
                <c:pt idx="0">
                  <c:v>Grundskola</c:v>
                </c:pt>
              </c:strCache>
            </c:strRef>
          </c:tx>
          <c:spPr>
            <a:ln>
              <a:solidFill>
                <a:schemeClr val="tx1">
                  <a:lumMod val="50000"/>
                  <a:lumOff val="50000"/>
                </a:schemeClr>
              </a:solidFill>
            </a:ln>
          </c:spPr>
          <c:marker>
            <c:symbol val="none"/>
          </c:marker>
          <c:cat>
            <c:numRef>
              <c:f>[Rapportdiagram_2013.xlsx]Statistikunderlag!$B$59:$J$59</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[Rapportdiagram_2013.xlsx]Statistikunderlag!$B$64:$J$64</c:f>
              <c:numCache>
                <c:formatCode>0</c:formatCode>
                <c:ptCount val="9"/>
                <c:pt idx="0">
                  <c:v>1383.5846677223258</c:v>
                </c:pt>
                <c:pt idx="1">
                  <c:v>1368.1301742649007</c:v>
                </c:pt>
                <c:pt idx="2">
                  <c:v>1370.992836734604</c:v>
                </c:pt>
                <c:pt idx="3">
                  <c:v>1379.9551944237492</c:v>
                </c:pt>
                <c:pt idx="4">
                  <c:v>1342.6110620293418</c:v>
                </c:pt>
                <c:pt idx="5">
                  <c:v>1334.8188133129322</c:v>
                </c:pt>
                <c:pt idx="6">
                  <c:v>1333.3022218992983</c:v>
                </c:pt>
                <c:pt idx="7">
                  <c:v>1326.5341376660353</c:v>
                </c:pt>
                <c:pt idx="8">
                  <c:v>1297.7735015982955</c:v>
                </c:pt>
              </c:numCache>
            </c:numRef>
          </c:val>
          <c:smooth val="0"/>
        </c:ser>
        <c:ser>
          <c:idx val="9"/>
          <c:order val="1"/>
          <c:tx>
            <c:strRef>
              <c:f>[Rapportdiagram_2013.xlsx]Statistikunderlag!$A$63</c:f>
              <c:strCache>
                <c:ptCount val="1"/>
                <c:pt idx="0">
                  <c:v>Förskoleverksamhet </c:v>
                </c:pt>
              </c:strCache>
            </c:strRef>
          </c:tx>
          <c:spPr>
            <a:ln>
              <a:solidFill>
                <a:srgbClr val="FF0000"/>
              </a:solidFill>
            </a:ln>
          </c:spPr>
          <c:marker>
            <c:symbol val="none"/>
          </c:marker>
          <c:cat>
            <c:numRef>
              <c:f>[Rapportdiagram_2013.xlsx]Statistikunderlag!$B$59:$J$59</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[Rapportdiagram_2013.xlsx]Statistikunderlag!$B$63:$J$63</c:f>
              <c:numCache>
                <c:formatCode>0</c:formatCode>
                <c:ptCount val="9"/>
                <c:pt idx="0">
                  <c:v>1233.0261227011172</c:v>
                </c:pt>
                <c:pt idx="1">
                  <c:v>1147.5085305037892</c:v>
                </c:pt>
                <c:pt idx="2">
                  <c:v>1105.3578381278378</c:v>
                </c:pt>
                <c:pt idx="3">
                  <c:v>1141.1603742691777</c:v>
                </c:pt>
                <c:pt idx="4">
                  <c:v>1128.8257911312612</c:v>
                </c:pt>
                <c:pt idx="5">
                  <c:v>1100.4603415722895</c:v>
                </c:pt>
                <c:pt idx="6">
                  <c:v>1110.2982141280379</c:v>
                </c:pt>
                <c:pt idx="7">
                  <c:v>1112.8779154594056</c:v>
                </c:pt>
                <c:pt idx="8">
                  <c:v>1117.8954253582137</c:v>
                </c:pt>
              </c:numCache>
            </c:numRef>
          </c:val>
          <c:smooth val="0"/>
        </c:ser>
        <c:dLbls>
          <c:showLegendKey val="0"/>
          <c:showVal val="0"/>
          <c:showCatName val="0"/>
          <c:showSerName val="0"/>
          <c:showPercent val="0"/>
          <c:showBubbleSize val="0"/>
        </c:dLbls>
        <c:marker val="1"/>
        <c:smooth val="0"/>
        <c:axId val="118702464"/>
        <c:axId val="118704000"/>
      </c:lineChart>
      <c:catAx>
        <c:axId val="118702464"/>
        <c:scaling>
          <c:orientation val="minMax"/>
        </c:scaling>
        <c:delete val="0"/>
        <c:axPos val="b"/>
        <c:numFmt formatCode="General" sourceLinked="1"/>
        <c:majorTickMark val="out"/>
        <c:minorTickMark val="none"/>
        <c:tickLblPos val="nextTo"/>
        <c:txPr>
          <a:bodyPr/>
          <a:lstStyle/>
          <a:p>
            <a:pPr>
              <a:defRPr sz="800" baseline="0"/>
            </a:pPr>
            <a:endParaRPr lang="sv-SE"/>
          </a:p>
        </c:txPr>
        <c:crossAx val="118704000"/>
        <c:crosses val="autoZero"/>
        <c:auto val="1"/>
        <c:lblAlgn val="ctr"/>
        <c:lblOffset val="100"/>
        <c:tickLblSkip val="2"/>
        <c:noMultiLvlLbl val="0"/>
      </c:catAx>
      <c:valAx>
        <c:axId val="118704000"/>
        <c:scaling>
          <c:orientation val="minMax"/>
          <c:max val="1600"/>
        </c:scaling>
        <c:delete val="0"/>
        <c:axPos val="l"/>
        <c:majorGridlines>
          <c:spPr>
            <a:ln>
              <a:prstDash val="dash"/>
            </a:ln>
          </c:spPr>
        </c:majorGridlines>
        <c:title>
          <c:tx>
            <c:rich>
              <a:bodyPr rot="-5400000" vert="horz"/>
              <a:lstStyle/>
              <a:p>
                <a:pPr>
                  <a:defRPr sz="800"/>
                </a:pPr>
                <a:r>
                  <a:rPr lang="sv-SE" sz="800" b="0"/>
                  <a:t>Individer</a:t>
                </a:r>
              </a:p>
            </c:rich>
          </c:tx>
          <c:layout>
            <c:manualLayout>
              <c:xMode val="edge"/>
              <c:yMode val="edge"/>
              <c:x val="1.5108358606407229E-2"/>
              <c:y val="0.38904892588752138"/>
            </c:manualLayout>
          </c:layout>
          <c:overlay val="0"/>
        </c:title>
        <c:numFmt formatCode="#,##0" sourceLinked="0"/>
        <c:majorTickMark val="out"/>
        <c:minorTickMark val="none"/>
        <c:tickLblPos val="nextTo"/>
        <c:txPr>
          <a:bodyPr/>
          <a:lstStyle/>
          <a:p>
            <a:pPr>
              <a:defRPr sz="800" baseline="0"/>
            </a:pPr>
            <a:endParaRPr lang="sv-SE"/>
          </a:p>
        </c:txPr>
        <c:crossAx val="118702464"/>
        <c:crosses val="autoZero"/>
        <c:crossBetween val="between"/>
        <c:majorUnit val="200"/>
      </c:valAx>
      <c:spPr>
        <a:ln>
          <a:solidFill>
            <a:schemeClr val="tx1">
              <a:lumMod val="50000"/>
              <a:lumOff val="50000"/>
            </a:schemeClr>
          </a:solidFill>
        </a:ln>
      </c:spPr>
    </c:plotArea>
    <c:legend>
      <c:legendPos val="r"/>
      <c:layout>
        <c:manualLayout>
          <c:xMode val="edge"/>
          <c:yMode val="edge"/>
          <c:x val="0.76118399977109719"/>
          <c:y val="0.49319258545450551"/>
          <c:w val="0.23580883881227555"/>
          <c:h val="0.14746266652867943"/>
        </c:manualLayout>
      </c:layout>
      <c:overlay val="0"/>
      <c:txPr>
        <a:bodyPr/>
        <a:lstStyle/>
        <a:p>
          <a:pPr>
            <a:defRPr sz="800" baseline="0"/>
          </a:pPr>
          <a:endParaRPr lang="sv-SE"/>
        </a:p>
      </c:txPr>
    </c:legend>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'[Sjukfrånvaro redovisat för olika variabler_2010-2013 LIS.xls]Stockholms stad total 2010-2013'!$C$2</c:f>
              <c:strCache>
                <c:ptCount val="1"/>
                <c:pt idx="0">
                  <c:v>2010</c:v>
                </c:pt>
              </c:strCache>
            </c:strRef>
          </c:tx>
          <c:spPr>
            <a:solidFill>
              <a:srgbClr val="FF9900"/>
            </a:solidFill>
          </c:spPr>
          <c:invertIfNegative val="0"/>
          <c:cat>
            <c:strRef>
              <c:f>'[Sjukfrånvaro redovisat för olika variabler_2010-2013 LIS.xls]Stockholms stad total 2010-2013'!$B$3:$B$19</c:f>
              <c:strCache>
                <c:ptCount val="17"/>
                <c:pt idx="0">
                  <c:v>Kvinnor</c:v>
                </c:pt>
                <c:pt idx="1">
                  <c:v>Män</c:v>
                </c:pt>
                <c:pt idx="2">
                  <c:v>-29</c:v>
                </c:pt>
                <c:pt idx="3">
                  <c:v>30-39</c:v>
                </c:pt>
                <c:pt idx="4">
                  <c:v>40-49</c:v>
                </c:pt>
                <c:pt idx="5">
                  <c:v>50-59</c:v>
                </c:pt>
                <c:pt idx="6">
                  <c:v>60-</c:v>
                </c:pt>
                <c:pt idx="7">
                  <c:v>Politisk verksamhet och gemensam administration</c:v>
                </c:pt>
                <c:pt idx="8">
                  <c:v>Individ och familjeomsorg</c:v>
                </c:pt>
                <c:pt idx="9">
                  <c:v>Infrastruktur stadsmiljö, skydd</c:v>
                </c:pt>
                <c:pt idx="10">
                  <c:v>Förskoleverksamhet och skolbarnomsorg</c:v>
                </c:pt>
                <c:pt idx="11">
                  <c:v>Utbildning</c:v>
                </c:pt>
                <c:pt idx="12">
                  <c:v>Äldreomsorg</c:v>
                </c:pt>
                <c:pt idx="13">
                  <c:v>Omsorg om funktionshindrade</c:v>
                </c:pt>
                <c:pt idx="14">
                  <c:v>Fritid, kultur/allmän fritidsverksamhet</c:v>
                </c:pt>
                <c:pt idx="15">
                  <c:v>Affärsverksamhet, näringsliv, bostäder</c:v>
                </c:pt>
                <c:pt idx="16">
                  <c:v>Stockholms stad totalt</c:v>
                </c:pt>
              </c:strCache>
            </c:strRef>
          </c:cat>
          <c:val>
            <c:numRef>
              <c:f>'[Sjukfrånvaro redovisat för olika variabler_2010-2013 LIS.xls]Stockholms stad total 2010-2013'!$C$3:$C$19</c:f>
              <c:numCache>
                <c:formatCode>0.0</c:formatCode>
                <c:ptCount val="17"/>
                <c:pt idx="0">
                  <c:v>6.4</c:v>
                </c:pt>
                <c:pt idx="1">
                  <c:v>3.8</c:v>
                </c:pt>
                <c:pt idx="2">
                  <c:v>4.3205777071245368</c:v>
                </c:pt>
                <c:pt idx="3">
                  <c:v>4.3826827645736568</c:v>
                </c:pt>
                <c:pt idx="4">
                  <c:v>5.7269780955488718</c:v>
                </c:pt>
                <c:pt idx="5">
                  <c:v>6.7515538157714881</c:v>
                </c:pt>
                <c:pt idx="6">
                  <c:v>6.4398779828041404</c:v>
                </c:pt>
                <c:pt idx="7">
                  <c:v>3.8858102092138234</c:v>
                </c:pt>
                <c:pt idx="8">
                  <c:v>4.7807423656275301</c:v>
                </c:pt>
                <c:pt idx="9">
                  <c:v>3.334734993316673</c:v>
                </c:pt>
                <c:pt idx="10">
                  <c:v>6.9170335777728571</c:v>
                </c:pt>
                <c:pt idx="11">
                  <c:v>4.3835127371444047</c:v>
                </c:pt>
                <c:pt idx="12">
                  <c:v>8.479088794100619</c:v>
                </c:pt>
                <c:pt idx="13">
                  <c:v>6.1520918774946693</c:v>
                </c:pt>
                <c:pt idx="14">
                  <c:v>4.7948227781714241</c:v>
                </c:pt>
                <c:pt idx="15">
                  <c:v>2.2670979657012813</c:v>
                </c:pt>
                <c:pt idx="16">
                  <c:v>5.79</c:v>
                </c:pt>
              </c:numCache>
            </c:numRef>
          </c:val>
        </c:ser>
        <c:ser>
          <c:idx val="2"/>
          <c:order val="1"/>
          <c:tx>
            <c:strRef>
              <c:f>'[Sjukfrånvaro redovisat för olika variabler_2010-2013 LIS.xls]Stockholms stad total 2010-2013'!$D$2</c:f>
              <c:strCache>
                <c:ptCount val="1"/>
                <c:pt idx="0">
                  <c:v>2011</c:v>
                </c:pt>
              </c:strCache>
            </c:strRef>
          </c:tx>
          <c:spPr>
            <a:solidFill>
              <a:srgbClr val="FF0000"/>
            </a:solidFill>
          </c:spPr>
          <c:invertIfNegative val="0"/>
          <c:cat>
            <c:strRef>
              <c:f>'[Sjukfrånvaro redovisat för olika variabler_2010-2013 LIS.xls]Stockholms stad total 2010-2013'!$B$3:$B$19</c:f>
              <c:strCache>
                <c:ptCount val="17"/>
                <c:pt idx="0">
                  <c:v>Kvinnor</c:v>
                </c:pt>
                <c:pt idx="1">
                  <c:v>Män</c:v>
                </c:pt>
                <c:pt idx="2">
                  <c:v>-29</c:v>
                </c:pt>
                <c:pt idx="3">
                  <c:v>30-39</c:v>
                </c:pt>
                <c:pt idx="4">
                  <c:v>40-49</c:v>
                </c:pt>
                <c:pt idx="5">
                  <c:v>50-59</c:v>
                </c:pt>
                <c:pt idx="6">
                  <c:v>60-</c:v>
                </c:pt>
                <c:pt idx="7">
                  <c:v>Politisk verksamhet och gemensam administration</c:v>
                </c:pt>
                <c:pt idx="8">
                  <c:v>Individ och familjeomsorg</c:v>
                </c:pt>
                <c:pt idx="9">
                  <c:v>Infrastruktur stadsmiljö, skydd</c:v>
                </c:pt>
                <c:pt idx="10">
                  <c:v>Förskoleverksamhet och skolbarnomsorg</c:v>
                </c:pt>
                <c:pt idx="11">
                  <c:v>Utbildning</c:v>
                </c:pt>
                <c:pt idx="12">
                  <c:v>Äldreomsorg</c:v>
                </c:pt>
                <c:pt idx="13">
                  <c:v>Omsorg om funktionshindrade</c:v>
                </c:pt>
                <c:pt idx="14">
                  <c:v>Fritid, kultur/allmän fritidsverksamhet</c:v>
                </c:pt>
                <c:pt idx="15">
                  <c:v>Affärsverksamhet, näringsliv, bostäder</c:v>
                </c:pt>
                <c:pt idx="16">
                  <c:v>Stockholms stad totalt</c:v>
                </c:pt>
              </c:strCache>
            </c:strRef>
          </c:cat>
          <c:val>
            <c:numRef>
              <c:f>'[Sjukfrånvaro redovisat för olika variabler_2010-2013 LIS.xls]Stockholms stad total 2010-2013'!$D$3:$D$19</c:f>
              <c:numCache>
                <c:formatCode>0.0</c:formatCode>
                <c:ptCount val="17"/>
                <c:pt idx="0">
                  <c:v>5.8416672552607105</c:v>
                </c:pt>
                <c:pt idx="1">
                  <c:v>3.5311369074744339</c:v>
                </c:pt>
                <c:pt idx="2">
                  <c:v>4.1801833661073902</c:v>
                </c:pt>
                <c:pt idx="3">
                  <c:v>4.08</c:v>
                </c:pt>
                <c:pt idx="4">
                  <c:v>4.99</c:v>
                </c:pt>
                <c:pt idx="5">
                  <c:v>6.2</c:v>
                </c:pt>
                <c:pt idx="6">
                  <c:v>6.0622068062685903</c:v>
                </c:pt>
                <c:pt idx="7">
                  <c:v>3.7066293503888494</c:v>
                </c:pt>
                <c:pt idx="8">
                  <c:v>4.5174569265546198</c:v>
                </c:pt>
                <c:pt idx="9">
                  <c:v>3.1330173209978529</c:v>
                </c:pt>
                <c:pt idx="10">
                  <c:v>6.4559714892007953</c:v>
                </c:pt>
                <c:pt idx="11">
                  <c:v>4.1440768761754816</c:v>
                </c:pt>
                <c:pt idx="12">
                  <c:v>7.3827970859320979</c:v>
                </c:pt>
                <c:pt idx="13">
                  <c:v>6.0915055716452704</c:v>
                </c:pt>
                <c:pt idx="14">
                  <c:v>3.7556507109357753</c:v>
                </c:pt>
                <c:pt idx="15">
                  <c:v>2.4088611720714956</c:v>
                </c:pt>
                <c:pt idx="16">
                  <c:v>5.3</c:v>
                </c:pt>
              </c:numCache>
            </c:numRef>
          </c:val>
        </c:ser>
        <c:ser>
          <c:idx val="3"/>
          <c:order val="2"/>
          <c:tx>
            <c:strRef>
              <c:f>'[Sjukfrånvaro redovisat för olika variabler_2010-2013 LIS.xls]Stockholms stad total 2010-2013'!$E$2</c:f>
              <c:strCache>
                <c:ptCount val="1"/>
                <c:pt idx="0">
                  <c:v>2012</c:v>
                </c:pt>
              </c:strCache>
            </c:strRef>
          </c:tx>
          <c:spPr>
            <a:solidFill>
              <a:srgbClr val="A50021"/>
            </a:solidFill>
          </c:spPr>
          <c:invertIfNegative val="0"/>
          <c:cat>
            <c:strRef>
              <c:f>'[Sjukfrånvaro redovisat för olika variabler_2010-2013 LIS.xls]Stockholms stad total 2010-2013'!$B$3:$B$19</c:f>
              <c:strCache>
                <c:ptCount val="17"/>
                <c:pt idx="0">
                  <c:v>Kvinnor</c:v>
                </c:pt>
                <c:pt idx="1">
                  <c:v>Män</c:v>
                </c:pt>
                <c:pt idx="2">
                  <c:v>-29</c:v>
                </c:pt>
                <c:pt idx="3">
                  <c:v>30-39</c:v>
                </c:pt>
                <c:pt idx="4">
                  <c:v>40-49</c:v>
                </c:pt>
                <c:pt idx="5">
                  <c:v>50-59</c:v>
                </c:pt>
                <c:pt idx="6">
                  <c:v>60-</c:v>
                </c:pt>
                <c:pt idx="7">
                  <c:v>Politisk verksamhet och gemensam administration</c:v>
                </c:pt>
                <c:pt idx="8">
                  <c:v>Individ och familjeomsorg</c:v>
                </c:pt>
                <c:pt idx="9">
                  <c:v>Infrastruktur stadsmiljö, skydd</c:v>
                </c:pt>
                <c:pt idx="10">
                  <c:v>Förskoleverksamhet och skolbarnomsorg</c:v>
                </c:pt>
                <c:pt idx="11">
                  <c:v>Utbildning</c:v>
                </c:pt>
                <c:pt idx="12">
                  <c:v>Äldreomsorg</c:v>
                </c:pt>
                <c:pt idx="13">
                  <c:v>Omsorg om funktionshindrade</c:v>
                </c:pt>
                <c:pt idx="14">
                  <c:v>Fritid, kultur/allmän fritidsverksamhet</c:v>
                </c:pt>
                <c:pt idx="15">
                  <c:v>Affärsverksamhet, näringsliv, bostäder</c:v>
                </c:pt>
                <c:pt idx="16">
                  <c:v>Stockholms stad totalt</c:v>
                </c:pt>
              </c:strCache>
            </c:strRef>
          </c:cat>
          <c:val>
            <c:numRef>
              <c:f>'[Sjukfrånvaro redovisat för olika variabler_2010-2013 LIS.xls]Stockholms stad total 2010-2013'!$E$3:$E$19</c:f>
              <c:numCache>
                <c:formatCode>0.0</c:formatCode>
                <c:ptCount val="17"/>
                <c:pt idx="0">
                  <c:v>5.8804621512899429</c:v>
                </c:pt>
                <c:pt idx="1">
                  <c:v>3.5800506361319364</c:v>
                </c:pt>
                <c:pt idx="2">
                  <c:v>4.6201652484683802</c:v>
                </c:pt>
                <c:pt idx="3">
                  <c:v>4.3219909775790439</c:v>
                </c:pt>
                <c:pt idx="4">
                  <c:v>4.9648535278437338</c:v>
                </c:pt>
                <c:pt idx="5">
                  <c:v>6.0119172883828735</c:v>
                </c:pt>
                <c:pt idx="6">
                  <c:v>6.2237427171496797</c:v>
                </c:pt>
                <c:pt idx="7">
                  <c:v>3.3215288292929896</c:v>
                </c:pt>
                <c:pt idx="8">
                  <c:v>4.5119070014864056</c:v>
                </c:pt>
                <c:pt idx="9">
                  <c:v>2.9642826883132805</c:v>
                </c:pt>
                <c:pt idx="10">
                  <c:v>6.6885828183462532</c:v>
                </c:pt>
                <c:pt idx="11">
                  <c:v>4.0614458853843267</c:v>
                </c:pt>
                <c:pt idx="12">
                  <c:v>7.2316471489990413</c:v>
                </c:pt>
                <c:pt idx="13">
                  <c:v>6.6607228410538522</c:v>
                </c:pt>
                <c:pt idx="14">
                  <c:v>3.9617808582581926</c:v>
                </c:pt>
                <c:pt idx="15">
                  <c:v>2.5010229187981241</c:v>
                </c:pt>
                <c:pt idx="16">
                  <c:v>5.3438204396878479</c:v>
                </c:pt>
              </c:numCache>
            </c:numRef>
          </c:val>
        </c:ser>
        <c:ser>
          <c:idx val="0"/>
          <c:order val="3"/>
          <c:tx>
            <c:strRef>
              <c:f>'[Sjukfrånvaro redovisat för olika variabler_2010-2013 LIS.xls]Stockholms stad total 2010-2013'!$F$2</c:f>
              <c:strCache>
                <c:ptCount val="1"/>
                <c:pt idx="0">
                  <c:v>2013</c:v>
                </c:pt>
              </c:strCache>
            </c:strRef>
          </c:tx>
          <c:spPr>
            <a:solidFill>
              <a:schemeClr val="bg1">
                <a:lumMod val="65000"/>
              </a:schemeClr>
            </a:solidFill>
          </c:spPr>
          <c:invertIfNegative val="0"/>
          <c:val>
            <c:numRef>
              <c:f>'[Sjukfrånvaro redovisat för olika variabler_2010-2013 LIS.xls]Stockholms stad total 2010-2013'!$F$3:$F$19</c:f>
              <c:numCache>
                <c:formatCode>0.0</c:formatCode>
                <c:ptCount val="17"/>
                <c:pt idx="0">
                  <c:v>6.0856551532868233</c:v>
                </c:pt>
                <c:pt idx="1">
                  <c:v>3.7306191985002539</c:v>
                </c:pt>
                <c:pt idx="2">
                  <c:v>4.7586924010506628</c:v>
                </c:pt>
                <c:pt idx="3">
                  <c:v>4.7149943085393691</c:v>
                </c:pt>
                <c:pt idx="4">
                  <c:v>5.0846698519858551</c:v>
                </c:pt>
                <c:pt idx="5">
                  <c:v>6.0933378012799739</c:v>
                </c:pt>
                <c:pt idx="6">
                  <c:v>6.4816860253882336</c:v>
                </c:pt>
                <c:pt idx="7">
                  <c:v>3.5058479839992218</c:v>
                </c:pt>
                <c:pt idx="8">
                  <c:v>4.7232655284028411</c:v>
                </c:pt>
                <c:pt idx="9">
                  <c:v>2.922043787736087</c:v>
                </c:pt>
                <c:pt idx="10">
                  <c:v>7.0411722852921663</c:v>
                </c:pt>
                <c:pt idx="11">
                  <c:v>4.2847139794877229</c:v>
                </c:pt>
                <c:pt idx="12">
                  <c:v>7.241649720554368</c:v>
                </c:pt>
                <c:pt idx="13">
                  <c:v>6.4546722908899845</c:v>
                </c:pt>
                <c:pt idx="14">
                  <c:v>3.9429165545681046</c:v>
                </c:pt>
                <c:pt idx="15">
                  <c:v>2.864677414231791</c:v>
                </c:pt>
                <c:pt idx="16">
                  <c:v>5.5300712776445309</c:v>
                </c:pt>
              </c:numCache>
            </c:numRef>
          </c:val>
        </c:ser>
        <c:dLbls>
          <c:showLegendKey val="0"/>
          <c:showVal val="0"/>
          <c:showCatName val="0"/>
          <c:showSerName val="0"/>
          <c:showPercent val="0"/>
          <c:showBubbleSize val="0"/>
        </c:dLbls>
        <c:gapWidth val="150"/>
        <c:axId val="118731520"/>
        <c:axId val="118733056"/>
      </c:barChart>
      <c:catAx>
        <c:axId val="118731520"/>
        <c:scaling>
          <c:orientation val="minMax"/>
        </c:scaling>
        <c:delete val="0"/>
        <c:axPos val="b"/>
        <c:numFmt formatCode="General" sourceLinked="1"/>
        <c:majorTickMark val="none"/>
        <c:minorTickMark val="none"/>
        <c:tickLblPos val="nextTo"/>
        <c:txPr>
          <a:bodyPr rot="-2700000" vert="horz"/>
          <a:lstStyle/>
          <a:p>
            <a:pPr>
              <a:defRPr sz="800" b="0" i="0" u="none" strike="noStrike" baseline="0">
                <a:solidFill>
                  <a:srgbClr val="000000"/>
                </a:solidFill>
                <a:latin typeface="+mn-lt"/>
                <a:ea typeface="Calibri"/>
                <a:cs typeface="Calibri"/>
              </a:defRPr>
            </a:pPr>
            <a:endParaRPr lang="sv-SE"/>
          </a:p>
        </c:txPr>
        <c:crossAx val="118733056"/>
        <c:crosses val="autoZero"/>
        <c:auto val="1"/>
        <c:lblAlgn val="ctr"/>
        <c:lblOffset val="100"/>
        <c:noMultiLvlLbl val="0"/>
      </c:catAx>
      <c:valAx>
        <c:axId val="118733056"/>
        <c:scaling>
          <c:orientation val="minMax"/>
          <c:max val="10"/>
          <c:min val="0"/>
        </c:scaling>
        <c:delete val="0"/>
        <c:axPos val="l"/>
        <c:majorGridlines/>
        <c:numFmt formatCode="0" sourceLinked="0"/>
        <c:majorTickMark val="none"/>
        <c:minorTickMark val="none"/>
        <c:tickLblPos val="nextTo"/>
        <c:txPr>
          <a:bodyPr rot="0" vert="horz"/>
          <a:lstStyle/>
          <a:p>
            <a:pPr>
              <a:defRPr sz="800" b="0" i="0" u="none" strike="noStrike" baseline="0">
                <a:solidFill>
                  <a:srgbClr val="000000"/>
                </a:solidFill>
                <a:latin typeface="+mn-lt"/>
                <a:ea typeface="Calibri"/>
                <a:cs typeface="Calibri"/>
              </a:defRPr>
            </a:pPr>
            <a:endParaRPr lang="sv-SE"/>
          </a:p>
        </c:txPr>
        <c:crossAx val="118731520"/>
        <c:crosses val="autoZero"/>
        <c:crossBetween val="between"/>
        <c:majorUnit val="2"/>
      </c:valAx>
    </c:plotArea>
    <c:legend>
      <c:legendPos val="t"/>
      <c:overlay val="0"/>
      <c:txPr>
        <a:bodyPr/>
        <a:lstStyle/>
        <a:p>
          <a:pPr>
            <a:defRPr sz="800" b="0" i="0" u="none" strike="noStrike" baseline="0">
              <a:solidFill>
                <a:srgbClr val="000000"/>
              </a:solidFill>
              <a:latin typeface="+mn-lt"/>
              <a:ea typeface="Calibri"/>
              <a:cs typeface="Calibri"/>
            </a:defRPr>
          </a:pPr>
          <a:endParaRPr lang="sv-SE"/>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sv-SE"/>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strRef>
              <c:f>Sheet1!$A$29</c:f>
              <c:strCache>
                <c:ptCount val="1"/>
                <c:pt idx="0">
                  <c:v>Stockholms län</c:v>
                </c:pt>
              </c:strCache>
            </c:strRef>
          </c:tx>
          <c:spPr>
            <a:ln>
              <a:solidFill>
                <a:schemeClr val="tx1">
                  <a:lumMod val="75000"/>
                  <a:lumOff val="25000"/>
                </a:schemeClr>
              </a:solidFill>
            </a:ln>
          </c:spPr>
          <c:marker>
            <c:symbol val="none"/>
          </c:marker>
          <c:cat>
            <c:strRef>
              <c:f>Sheet1!$B$28:$BE$28</c:f>
              <c:strCache>
                <c:ptCount val="53"/>
                <c:pt idx="0">
                  <c:v>Kv 1 -00</c:v>
                </c:pt>
                <c:pt idx="4">
                  <c:v>Kv 1 -01</c:v>
                </c:pt>
                <c:pt idx="8">
                  <c:v>Kv 1 -02</c:v>
                </c:pt>
                <c:pt idx="12">
                  <c:v>Kv 1 -03</c:v>
                </c:pt>
                <c:pt idx="16">
                  <c:v>Kv 1 -04</c:v>
                </c:pt>
                <c:pt idx="20">
                  <c:v>Kv 1 -05</c:v>
                </c:pt>
                <c:pt idx="24">
                  <c:v>Kv 1 -06</c:v>
                </c:pt>
                <c:pt idx="28">
                  <c:v>Kv 1 -07</c:v>
                </c:pt>
                <c:pt idx="32">
                  <c:v>Kv 1 -08</c:v>
                </c:pt>
                <c:pt idx="36">
                  <c:v>Kv 1 -09</c:v>
                </c:pt>
                <c:pt idx="40">
                  <c:v>Kv 1 -10</c:v>
                </c:pt>
                <c:pt idx="44">
                  <c:v>Kv 1 -11</c:v>
                </c:pt>
                <c:pt idx="48">
                  <c:v>Kv 1 -12</c:v>
                </c:pt>
                <c:pt idx="52">
                  <c:v>Kv 1 -13</c:v>
                </c:pt>
              </c:strCache>
            </c:strRef>
          </c:cat>
          <c:val>
            <c:numRef>
              <c:f>Sheet1!$B$29:$BE$29</c:f>
              <c:numCache>
                <c:formatCode>General</c:formatCode>
                <c:ptCount val="56"/>
                <c:pt idx="0">
                  <c:v>31</c:v>
                </c:pt>
                <c:pt idx="1">
                  <c:v>32</c:v>
                </c:pt>
                <c:pt idx="2">
                  <c:v>33</c:v>
                </c:pt>
                <c:pt idx="3">
                  <c:v>12</c:v>
                </c:pt>
                <c:pt idx="4">
                  <c:v>0</c:v>
                </c:pt>
                <c:pt idx="5">
                  <c:v>-6</c:v>
                </c:pt>
                <c:pt idx="6">
                  <c:v>-11</c:v>
                </c:pt>
                <c:pt idx="7">
                  <c:v>-13</c:v>
                </c:pt>
                <c:pt idx="8">
                  <c:v>-7</c:v>
                </c:pt>
                <c:pt idx="9">
                  <c:v>-9</c:v>
                </c:pt>
                <c:pt idx="10">
                  <c:v>-14</c:v>
                </c:pt>
                <c:pt idx="11">
                  <c:v>-13</c:v>
                </c:pt>
                <c:pt idx="12">
                  <c:v>-14</c:v>
                </c:pt>
                <c:pt idx="13">
                  <c:v>-14</c:v>
                </c:pt>
                <c:pt idx="14">
                  <c:v>-6</c:v>
                </c:pt>
                <c:pt idx="15">
                  <c:v>2</c:v>
                </c:pt>
                <c:pt idx="16">
                  <c:v>6</c:v>
                </c:pt>
                <c:pt idx="17">
                  <c:v>13</c:v>
                </c:pt>
                <c:pt idx="18">
                  <c:v>16</c:v>
                </c:pt>
                <c:pt idx="19">
                  <c:v>20</c:v>
                </c:pt>
                <c:pt idx="20">
                  <c:v>10</c:v>
                </c:pt>
                <c:pt idx="21">
                  <c:v>21</c:v>
                </c:pt>
                <c:pt idx="22">
                  <c:v>23</c:v>
                </c:pt>
                <c:pt idx="23">
                  <c:v>31</c:v>
                </c:pt>
                <c:pt idx="24">
                  <c:v>30</c:v>
                </c:pt>
                <c:pt idx="25">
                  <c:v>26</c:v>
                </c:pt>
                <c:pt idx="26">
                  <c:v>32</c:v>
                </c:pt>
                <c:pt idx="27">
                  <c:v>33</c:v>
                </c:pt>
                <c:pt idx="28">
                  <c:v>34</c:v>
                </c:pt>
                <c:pt idx="29">
                  <c:v>33</c:v>
                </c:pt>
                <c:pt idx="30">
                  <c:v>34</c:v>
                </c:pt>
                <c:pt idx="31">
                  <c:v>32</c:v>
                </c:pt>
                <c:pt idx="32">
                  <c:v>30</c:v>
                </c:pt>
                <c:pt idx="33">
                  <c:v>19</c:v>
                </c:pt>
                <c:pt idx="34">
                  <c:v>-1</c:v>
                </c:pt>
                <c:pt idx="35">
                  <c:v>-14</c:v>
                </c:pt>
                <c:pt idx="36">
                  <c:v>-22</c:v>
                </c:pt>
                <c:pt idx="37">
                  <c:v>-5</c:v>
                </c:pt>
                <c:pt idx="38">
                  <c:v>5</c:v>
                </c:pt>
                <c:pt idx="39">
                  <c:v>19</c:v>
                </c:pt>
                <c:pt idx="40">
                  <c:v>22</c:v>
                </c:pt>
                <c:pt idx="41">
                  <c:v>31</c:v>
                </c:pt>
                <c:pt idx="42">
                  <c:v>32</c:v>
                </c:pt>
                <c:pt idx="43">
                  <c:v>40</c:v>
                </c:pt>
                <c:pt idx="44">
                  <c:v>33</c:v>
                </c:pt>
                <c:pt idx="45">
                  <c:v>21</c:v>
                </c:pt>
                <c:pt idx="46">
                  <c:v>12</c:v>
                </c:pt>
                <c:pt idx="47">
                  <c:v>3</c:v>
                </c:pt>
                <c:pt idx="48">
                  <c:v>18</c:v>
                </c:pt>
                <c:pt idx="49">
                  <c:v>7</c:v>
                </c:pt>
                <c:pt idx="50">
                  <c:v>3</c:v>
                </c:pt>
                <c:pt idx="51">
                  <c:v>-1</c:v>
                </c:pt>
                <c:pt idx="52">
                  <c:v>4</c:v>
                </c:pt>
                <c:pt idx="53">
                  <c:v>11</c:v>
                </c:pt>
                <c:pt idx="54">
                  <c:v>16</c:v>
                </c:pt>
                <c:pt idx="55">
                  <c:v>23</c:v>
                </c:pt>
              </c:numCache>
            </c:numRef>
          </c:val>
          <c:smooth val="0"/>
        </c:ser>
        <c:ser>
          <c:idx val="0"/>
          <c:order val="1"/>
          <c:tx>
            <c:strRef>
              <c:f>Sheet1!$A$30</c:f>
              <c:strCache>
                <c:ptCount val="1"/>
                <c:pt idx="0">
                  <c:v>Riket</c:v>
                </c:pt>
              </c:strCache>
            </c:strRef>
          </c:tx>
          <c:spPr>
            <a:ln>
              <a:solidFill>
                <a:schemeClr val="bg1">
                  <a:lumMod val="65000"/>
                </a:schemeClr>
              </a:solidFill>
            </a:ln>
          </c:spPr>
          <c:marker>
            <c:symbol val="none"/>
          </c:marker>
          <c:cat>
            <c:strRef>
              <c:f>Sheet1!$B$28:$BE$28</c:f>
              <c:strCache>
                <c:ptCount val="53"/>
                <c:pt idx="0">
                  <c:v>Kv 1 -00</c:v>
                </c:pt>
                <c:pt idx="4">
                  <c:v>Kv 1 -01</c:v>
                </c:pt>
                <c:pt idx="8">
                  <c:v>Kv 1 -02</c:v>
                </c:pt>
                <c:pt idx="12">
                  <c:v>Kv 1 -03</c:v>
                </c:pt>
                <c:pt idx="16">
                  <c:v>Kv 1 -04</c:v>
                </c:pt>
                <c:pt idx="20">
                  <c:v>Kv 1 -05</c:v>
                </c:pt>
                <c:pt idx="24">
                  <c:v>Kv 1 -06</c:v>
                </c:pt>
                <c:pt idx="28">
                  <c:v>Kv 1 -07</c:v>
                </c:pt>
                <c:pt idx="32">
                  <c:v>Kv 1 -08</c:v>
                </c:pt>
                <c:pt idx="36">
                  <c:v>Kv 1 -09</c:v>
                </c:pt>
                <c:pt idx="40">
                  <c:v>Kv 1 -10</c:v>
                </c:pt>
                <c:pt idx="44">
                  <c:v>Kv 1 -11</c:v>
                </c:pt>
                <c:pt idx="48">
                  <c:v>Kv 1 -12</c:v>
                </c:pt>
                <c:pt idx="52">
                  <c:v>Kv 1 -13</c:v>
                </c:pt>
              </c:strCache>
            </c:strRef>
          </c:cat>
          <c:val>
            <c:numRef>
              <c:f>Sheet1!$B$30:$BE$30</c:f>
              <c:numCache>
                <c:formatCode>General</c:formatCode>
                <c:ptCount val="56"/>
                <c:pt idx="0">
                  <c:v>18</c:v>
                </c:pt>
                <c:pt idx="1">
                  <c:v>20</c:v>
                </c:pt>
                <c:pt idx="2">
                  <c:v>19</c:v>
                </c:pt>
                <c:pt idx="3">
                  <c:v>6</c:v>
                </c:pt>
                <c:pt idx="4">
                  <c:v>-7</c:v>
                </c:pt>
                <c:pt idx="5">
                  <c:v>-9</c:v>
                </c:pt>
                <c:pt idx="6">
                  <c:v>-14</c:v>
                </c:pt>
                <c:pt idx="7">
                  <c:v>-12</c:v>
                </c:pt>
                <c:pt idx="8">
                  <c:v>-6</c:v>
                </c:pt>
                <c:pt idx="9">
                  <c:v>-4</c:v>
                </c:pt>
                <c:pt idx="10">
                  <c:v>-8</c:v>
                </c:pt>
                <c:pt idx="11">
                  <c:v>-8</c:v>
                </c:pt>
                <c:pt idx="12">
                  <c:v>-7</c:v>
                </c:pt>
                <c:pt idx="13">
                  <c:v>-10</c:v>
                </c:pt>
                <c:pt idx="14">
                  <c:v>-5</c:v>
                </c:pt>
                <c:pt idx="15">
                  <c:v>-1</c:v>
                </c:pt>
                <c:pt idx="16">
                  <c:v>4</c:v>
                </c:pt>
                <c:pt idx="17">
                  <c:v>9</c:v>
                </c:pt>
                <c:pt idx="18">
                  <c:v>10</c:v>
                </c:pt>
                <c:pt idx="19">
                  <c:v>13</c:v>
                </c:pt>
                <c:pt idx="20">
                  <c:v>4</c:v>
                </c:pt>
                <c:pt idx="21">
                  <c:v>8</c:v>
                </c:pt>
                <c:pt idx="22">
                  <c:v>14</c:v>
                </c:pt>
                <c:pt idx="23">
                  <c:v>21</c:v>
                </c:pt>
                <c:pt idx="24">
                  <c:v>22</c:v>
                </c:pt>
                <c:pt idx="25">
                  <c:v>21</c:v>
                </c:pt>
                <c:pt idx="26">
                  <c:v>23</c:v>
                </c:pt>
                <c:pt idx="27">
                  <c:v>27</c:v>
                </c:pt>
                <c:pt idx="28">
                  <c:v>26</c:v>
                </c:pt>
                <c:pt idx="29">
                  <c:v>27</c:v>
                </c:pt>
                <c:pt idx="30">
                  <c:v>21</c:v>
                </c:pt>
                <c:pt idx="31">
                  <c:v>17</c:v>
                </c:pt>
                <c:pt idx="32">
                  <c:v>15</c:v>
                </c:pt>
                <c:pt idx="33">
                  <c:v>3</c:v>
                </c:pt>
                <c:pt idx="34">
                  <c:v>-9</c:v>
                </c:pt>
                <c:pt idx="35">
                  <c:v>-23</c:v>
                </c:pt>
                <c:pt idx="36">
                  <c:v>-25</c:v>
                </c:pt>
                <c:pt idx="37">
                  <c:v>-13</c:v>
                </c:pt>
                <c:pt idx="38">
                  <c:v>0</c:v>
                </c:pt>
                <c:pt idx="39">
                  <c:v>14</c:v>
                </c:pt>
                <c:pt idx="40">
                  <c:v>14</c:v>
                </c:pt>
                <c:pt idx="41">
                  <c:v>25</c:v>
                </c:pt>
                <c:pt idx="42">
                  <c:v>25</c:v>
                </c:pt>
                <c:pt idx="43">
                  <c:v>31</c:v>
                </c:pt>
                <c:pt idx="44">
                  <c:v>25</c:v>
                </c:pt>
                <c:pt idx="45">
                  <c:v>15</c:v>
                </c:pt>
                <c:pt idx="46">
                  <c:v>4</c:v>
                </c:pt>
                <c:pt idx="47">
                  <c:v>0</c:v>
                </c:pt>
                <c:pt idx="48">
                  <c:v>11</c:v>
                </c:pt>
                <c:pt idx="49">
                  <c:v>0</c:v>
                </c:pt>
                <c:pt idx="50">
                  <c:v>-2</c:v>
                </c:pt>
                <c:pt idx="51">
                  <c:v>-4</c:v>
                </c:pt>
                <c:pt idx="52">
                  <c:v>-1</c:v>
                </c:pt>
                <c:pt idx="53">
                  <c:v>6</c:v>
                </c:pt>
                <c:pt idx="54">
                  <c:v>11</c:v>
                </c:pt>
                <c:pt idx="55">
                  <c:v>19</c:v>
                </c:pt>
              </c:numCache>
            </c:numRef>
          </c:val>
          <c:smooth val="0"/>
        </c:ser>
        <c:dLbls>
          <c:showLegendKey val="0"/>
          <c:showVal val="0"/>
          <c:showCatName val="0"/>
          <c:showSerName val="0"/>
          <c:showPercent val="0"/>
          <c:showBubbleSize val="0"/>
        </c:dLbls>
        <c:marker val="1"/>
        <c:smooth val="0"/>
        <c:axId val="89121920"/>
        <c:axId val="89123456"/>
      </c:lineChart>
      <c:lineChart>
        <c:grouping val="standard"/>
        <c:varyColors val="0"/>
        <c:ser>
          <c:idx val="2"/>
          <c:order val="2"/>
          <c:tx>
            <c:strRef>
              <c:f>Sheet1!$A$31</c:f>
              <c:strCache>
                <c:ptCount val="1"/>
                <c:pt idx="0">
                  <c:v>Medelvärde Stockholms län</c:v>
                </c:pt>
              </c:strCache>
            </c:strRef>
          </c:tx>
          <c:spPr>
            <a:ln w="22225">
              <a:solidFill>
                <a:schemeClr val="tx1">
                  <a:lumMod val="75000"/>
                  <a:lumOff val="25000"/>
                </a:schemeClr>
              </a:solidFill>
              <a:prstDash val="dash"/>
            </a:ln>
          </c:spPr>
          <c:marker>
            <c:symbol val="none"/>
          </c:marker>
          <c:cat>
            <c:strRef>
              <c:f>Sheet1!$B$28:$BE$28</c:f>
              <c:strCache>
                <c:ptCount val="53"/>
                <c:pt idx="0">
                  <c:v>Kv 1 -00</c:v>
                </c:pt>
                <c:pt idx="4">
                  <c:v>Kv 1 -01</c:v>
                </c:pt>
                <c:pt idx="8">
                  <c:v>Kv 1 -02</c:v>
                </c:pt>
                <c:pt idx="12">
                  <c:v>Kv 1 -03</c:v>
                </c:pt>
                <c:pt idx="16">
                  <c:v>Kv 1 -04</c:v>
                </c:pt>
                <c:pt idx="20">
                  <c:v>Kv 1 -05</c:v>
                </c:pt>
                <c:pt idx="24">
                  <c:v>Kv 1 -06</c:v>
                </c:pt>
                <c:pt idx="28">
                  <c:v>Kv 1 -07</c:v>
                </c:pt>
                <c:pt idx="32">
                  <c:v>Kv 1 -08</c:v>
                </c:pt>
                <c:pt idx="36">
                  <c:v>Kv 1 -09</c:v>
                </c:pt>
                <c:pt idx="40">
                  <c:v>Kv 1 -10</c:v>
                </c:pt>
                <c:pt idx="44">
                  <c:v>Kv 1 -11</c:v>
                </c:pt>
                <c:pt idx="48">
                  <c:v>Kv 1 -12</c:v>
                </c:pt>
                <c:pt idx="52">
                  <c:v>Kv 1 -13</c:v>
                </c:pt>
              </c:strCache>
            </c:strRef>
          </c:cat>
          <c:val>
            <c:numRef>
              <c:f>Sheet1!$B$31:$BE$31</c:f>
              <c:numCache>
                <c:formatCode>General</c:formatCode>
                <c:ptCount val="56"/>
                <c:pt idx="0">
                  <c:v>12</c:v>
                </c:pt>
                <c:pt idx="1">
                  <c:v>12</c:v>
                </c:pt>
                <c:pt idx="2">
                  <c:v>12</c:v>
                </c:pt>
                <c:pt idx="3">
                  <c:v>12</c:v>
                </c:pt>
                <c:pt idx="4">
                  <c:v>12</c:v>
                </c:pt>
                <c:pt idx="5">
                  <c:v>12</c:v>
                </c:pt>
                <c:pt idx="6">
                  <c:v>12</c:v>
                </c:pt>
                <c:pt idx="7">
                  <c:v>12</c:v>
                </c:pt>
                <c:pt idx="8">
                  <c:v>12</c:v>
                </c:pt>
                <c:pt idx="9">
                  <c:v>12</c:v>
                </c:pt>
                <c:pt idx="10">
                  <c:v>12</c:v>
                </c:pt>
                <c:pt idx="11">
                  <c:v>12</c:v>
                </c:pt>
                <c:pt idx="12">
                  <c:v>12</c:v>
                </c:pt>
                <c:pt idx="13">
                  <c:v>12</c:v>
                </c:pt>
                <c:pt idx="14">
                  <c:v>12</c:v>
                </c:pt>
                <c:pt idx="15">
                  <c:v>12</c:v>
                </c:pt>
                <c:pt idx="16">
                  <c:v>12</c:v>
                </c:pt>
                <c:pt idx="17">
                  <c:v>12</c:v>
                </c:pt>
                <c:pt idx="18">
                  <c:v>12</c:v>
                </c:pt>
                <c:pt idx="19">
                  <c:v>12</c:v>
                </c:pt>
                <c:pt idx="20">
                  <c:v>12</c:v>
                </c:pt>
                <c:pt idx="21">
                  <c:v>12</c:v>
                </c:pt>
                <c:pt idx="22">
                  <c:v>12</c:v>
                </c:pt>
                <c:pt idx="23">
                  <c:v>12</c:v>
                </c:pt>
                <c:pt idx="24">
                  <c:v>12</c:v>
                </c:pt>
                <c:pt idx="25">
                  <c:v>12</c:v>
                </c:pt>
                <c:pt idx="26">
                  <c:v>12</c:v>
                </c:pt>
                <c:pt idx="27">
                  <c:v>12</c:v>
                </c:pt>
                <c:pt idx="28">
                  <c:v>12</c:v>
                </c:pt>
                <c:pt idx="29">
                  <c:v>12</c:v>
                </c:pt>
                <c:pt idx="30">
                  <c:v>12</c:v>
                </c:pt>
                <c:pt idx="31">
                  <c:v>12</c:v>
                </c:pt>
                <c:pt idx="32">
                  <c:v>12</c:v>
                </c:pt>
                <c:pt idx="33">
                  <c:v>12</c:v>
                </c:pt>
                <c:pt idx="34">
                  <c:v>12</c:v>
                </c:pt>
                <c:pt idx="35">
                  <c:v>12</c:v>
                </c:pt>
                <c:pt idx="36">
                  <c:v>12</c:v>
                </c:pt>
                <c:pt idx="37">
                  <c:v>12</c:v>
                </c:pt>
                <c:pt idx="38">
                  <c:v>12</c:v>
                </c:pt>
                <c:pt idx="39">
                  <c:v>12</c:v>
                </c:pt>
                <c:pt idx="40">
                  <c:v>12</c:v>
                </c:pt>
                <c:pt idx="41">
                  <c:v>12</c:v>
                </c:pt>
                <c:pt idx="42">
                  <c:v>12</c:v>
                </c:pt>
                <c:pt idx="43">
                  <c:v>12</c:v>
                </c:pt>
                <c:pt idx="44">
                  <c:v>12</c:v>
                </c:pt>
                <c:pt idx="45">
                  <c:v>12</c:v>
                </c:pt>
                <c:pt idx="46">
                  <c:v>12</c:v>
                </c:pt>
                <c:pt idx="47">
                  <c:v>12</c:v>
                </c:pt>
                <c:pt idx="48">
                  <c:v>12</c:v>
                </c:pt>
                <c:pt idx="49">
                  <c:v>12</c:v>
                </c:pt>
                <c:pt idx="50">
                  <c:v>12</c:v>
                </c:pt>
                <c:pt idx="51">
                  <c:v>12</c:v>
                </c:pt>
                <c:pt idx="52">
                  <c:v>12</c:v>
                </c:pt>
                <c:pt idx="53">
                  <c:v>12</c:v>
                </c:pt>
                <c:pt idx="54">
                  <c:v>12</c:v>
                </c:pt>
                <c:pt idx="55">
                  <c:v>12</c:v>
                </c:pt>
              </c:numCache>
            </c:numRef>
          </c:val>
          <c:smooth val="0"/>
        </c:ser>
        <c:dLbls>
          <c:showLegendKey val="0"/>
          <c:showVal val="0"/>
          <c:showCatName val="0"/>
          <c:showSerName val="0"/>
          <c:showPercent val="0"/>
          <c:showBubbleSize val="0"/>
        </c:dLbls>
        <c:marker val="1"/>
        <c:smooth val="0"/>
        <c:axId val="91359104"/>
        <c:axId val="91357568"/>
      </c:lineChart>
      <c:catAx>
        <c:axId val="89121920"/>
        <c:scaling>
          <c:orientation val="minMax"/>
        </c:scaling>
        <c:delete val="0"/>
        <c:axPos val="b"/>
        <c:majorTickMark val="out"/>
        <c:minorTickMark val="none"/>
        <c:tickLblPos val="nextTo"/>
        <c:txPr>
          <a:bodyPr rot="5400000" vert="horz"/>
          <a:lstStyle/>
          <a:p>
            <a:pPr>
              <a:defRPr/>
            </a:pPr>
            <a:endParaRPr lang="sv-SE"/>
          </a:p>
        </c:txPr>
        <c:crossAx val="89123456"/>
        <c:crossesAt val="-30"/>
        <c:auto val="1"/>
        <c:lblAlgn val="ctr"/>
        <c:lblOffset val="100"/>
        <c:noMultiLvlLbl val="0"/>
      </c:catAx>
      <c:valAx>
        <c:axId val="89123456"/>
        <c:scaling>
          <c:orientation val="minMax"/>
        </c:scaling>
        <c:delete val="0"/>
        <c:axPos val="l"/>
        <c:majorGridlines/>
        <c:numFmt formatCode="General" sourceLinked="1"/>
        <c:majorTickMark val="out"/>
        <c:minorTickMark val="none"/>
        <c:tickLblPos val="nextTo"/>
        <c:crossAx val="89121920"/>
        <c:crosses val="autoZero"/>
        <c:crossBetween val="between"/>
      </c:valAx>
      <c:valAx>
        <c:axId val="91357568"/>
        <c:scaling>
          <c:orientation val="minMax"/>
          <c:max val="50"/>
          <c:min val="-30"/>
        </c:scaling>
        <c:delete val="0"/>
        <c:axPos val="r"/>
        <c:numFmt formatCode="General" sourceLinked="1"/>
        <c:majorTickMark val="out"/>
        <c:minorTickMark val="none"/>
        <c:tickLblPos val="nextTo"/>
        <c:crossAx val="91359104"/>
        <c:crosses val="max"/>
        <c:crossBetween val="between"/>
      </c:valAx>
      <c:catAx>
        <c:axId val="91359104"/>
        <c:scaling>
          <c:orientation val="minMax"/>
        </c:scaling>
        <c:delete val="0"/>
        <c:axPos val="b"/>
        <c:majorTickMark val="out"/>
        <c:minorTickMark val="none"/>
        <c:tickLblPos val="none"/>
        <c:crossAx val="91357568"/>
        <c:crossesAt val="0"/>
        <c:auto val="1"/>
        <c:lblAlgn val="ctr"/>
        <c:lblOffset val="100"/>
        <c:noMultiLvlLbl val="0"/>
      </c:catAx>
    </c:plotArea>
    <c:legend>
      <c:legendPos val="b"/>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strRef>
              <c:f>Sheet1!$A$51</c:f>
              <c:strCache>
                <c:ptCount val="1"/>
                <c:pt idx="0">
                  <c:v>Stockholms stad</c:v>
                </c:pt>
              </c:strCache>
            </c:strRef>
          </c:tx>
          <c:spPr>
            <a:ln>
              <a:solidFill>
                <a:schemeClr val="tx1">
                  <a:lumMod val="75000"/>
                  <a:lumOff val="25000"/>
                </a:schemeClr>
              </a:solidFill>
            </a:ln>
          </c:spPr>
          <c:marker>
            <c:symbol val="none"/>
          </c:marker>
          <c:cat>
            <c:strRef>
              <c:f>Sheet1!$B$49:$AK$49</c:f>
              <c:strCache>
                <c:ptCount val="33"/>
                <c:pt idx="0">
                  <c:v>Kv 1 -05</c:v>
                </c:pt>
                <c:pt idx="4">
                  <c:v>Kv 1 -06</c:v>
                </c:pt>
                <c:pt idx="8">
                  <c:v>Kv 1 -07</c:v>
                </c:pt>
                <c:pt idx="12">
                  <c:v>Kv 1 -08</c:v>
                </c:pt>
                <c:pt idx="16">
                  <c:v>Kv 1 -09</c:v>
                </c:pt>
                <c:pt idx="20">
                  <c:v>Kv 1 -10</c:v>
                </c:pt>
                <c:pt idx="24">
                  <c:v>Kv 1 -11</c:v>
                </c:pt>
                <c:pt idx="28">
                  <c:v>Kv 1 -12</c:v>
                </c:pt>
                <c:pt idx="32">
                  <c:v>Kv 1 -13</c:v>
                </c:pt>
              </c:strCache>
            </c:strRef>
          </c:cat>
          <c:val>
            <c:numRef>
              <c:f>Sheet1!$B$51:$AK$51</c:f>
              <c:numCache>
                <c:formatCode>General</c:formatCode>
                <c:ptCount val="36"/>
                <c:pt idx="0">
                  <c:v>3.9</c:v>
                </c:pt>
                <c:pt idx="1">
                  <c:v>4.5</c:v>
                </c:pt>
                <c:pt idx="2">
                  <c:v>4.4000000000000004</c:v>
                </c:pt>
                <c:pt idx="3">
                  <c:v>6.3</c:v>
                </c:pt>
                <c:pt idx="4">
                  <c:v>7.3</c:v>
                </c:pt>
                <c:pt idx="5">
                  <c:v>7.5</c:v>
                </c:pt>
                <c:pt idx="6">
                  <c:v>7.8</c:v>
                </c:pt>
                <c:pt idx="7">
                  <c:v>6.8</c:v>
                </c:pt>
                <c:pt idx="8">
                  <c:v>8.3000000000000007</c:v>
                </c:pt>
                <c:pt idx="9">
                  <c:v>5.0999999999999996</c:v>
                </c:pt>
                <c:pt idx="10">
                  <c:v>7</c:v>
                </c:pt>
                <c:pt idx="11">
                  <c:v>7.7</c:v>
                </c:pt>
                <c:pt idx="12">
                  <c:v>7.7</c:v>
                </c:pt>
                <c:pt idx="13">
                  <c:v>8.5</c:v>
                </c:pt>
                <c:pt idx="14">
                  <c:v>6.8</c:v>
                </c:pt>
                <c:pt idx="15">
                  <c:v>4.7</c:v>
                </c:pt>
                <c:pt idx="16">
                  <c:v>2.5</c:v>
                </c:pt>
                <c:pt idx="17">
                  <c:v>1.2</c:v>
                </c:pt>
                <c:pt idx="18">
                  <c:v>2</c:v>
                </c:pt>
                <c:pt idx="19">
                  <c:v>2</c:v>
                </c:pt>
                <c:pt idx="20">
                  <c:v>1.5</c:v>
                </c:pt>
                <c:pt idx="21">
                  <c:v>4.9000000000000004</c:v>
                </c:pt>
                <c:pt idx="22">
                  <c:v>4.5</c:v>
                </c:pt>
                <c:pt idx="23">
                  <c:v>6.2268134251890075</c:v>
                </c:pt>
                <c:pt idx="24">
                  <c:v>7</c:v>
                </c:pt>
                <c:pt idx="25">
                  <c:v>6.8</c:v>
                </c:pt>
                <c:pt idx="26">
                  <c:v>7.3</c:v>
                </c:pt>
                <c:pt idx="27">
                  <c:v>5.5</c:v>
                </c:pt>
                <c:pt idx="28">
                  <c:v>4.7</c:v>
                </c:pt>
                <c:pt idx="29">
                  <c:v>4.2</c:v>
                </c:pt>
                <c:pt idx="30">
                  <c:v>4.7</c:v>
                </c:pt>
                <c:pt idx="31">
                  <c:v>4.2</c:v>
                </c:pt>
                <c:pt idx="32" formatCode="0.0">
                  <c:v>3.0449999999999999</c:v>
                </c:pt>
                <c:pt idx="33" formatCode="0.0">
                  <c:v>2.8879999999999999</c:v>
                </c:pt>
                <c:pt idx="34" formatCode="0.0">
                  <c:v>1.339</c:v>
                </c:pt>
                <c:pt idx="35" formatCode="0.0">
                  <c:v>2.64</c:v>
                </c:pt>
              </c:numCache>
            </c:numRef>
          </c:val>
          <c:smooth val="0"/>
        </c:ser>
        <c:dLbls>
          <c:showLegendKey val="0"/>
          <c:showVal val="0"/>
          <c:showCatName val="0"/>
          <c:showSerName val="0"/>
          <c:showPercent val="0"/>
          <c:showBubbleSize val="0"/>
        </c:dLbls>
        <c:marker val="1"/>
        <c:smooth val="0"/>
        <c:axId val="91420544"/>
        <c:axId val="91422080"/>
      </c:lineChart>
      <c:lineChart>
        <c:grouping val="standard"/>
        <c:varyColors val="0"/>
        <c:ser>
          <c:idx val="0"/>
          <c:order val="1"/>
          <c:tx>
            <c:strRef>
              <c:f>Sheet1!$A$52</c:f>
              <c:strCache>
                <c:ptCount val="1"/>
                <c:pt idx="0">
                  <c:v>Riket</c:v>
                </c:pt>
              </c:strCache>
            </c:strRef>
          </c:tx>
          <c:spPr>
            <a:ln>
              <a:solidFill>
                <a:schemeClr val="bg1">
                  <a:lumMod val="65000"/>
                </a:schemeClr>
              </a:solidFill>
            </a:ln>
          </c:spPr>
          <c:marker>
            <c:symbol val="none"/>
          </c:marker>
          <c:cat>
            <c:strRef>
              <c:f>Sheet1!$B$49:$AK$49</c:f>
              <c:strCache>
                <c:ptCount val="33"/>
                <c:pt idx="0">
                  <c:v>Kv 1 -05</c:v>
                </c:pt>
                <c:pt idx="4">
                  <c:v>Kv 1 -06</c:v>
                </c:pt>
                <c:pt idx="8">
                  <c:v>Kv 1 -07</c:v>
                </c:pt>
                <c:pt idx="12">
                  <c:v>Kv 1 -08</c:v>
                </c:pt>
                <c:pt idx="16">
                  <c:v>Kv 1 -09</c:v>
                </c:pt>
                <c:pt idx="20">
                  <c:v>Kv 1 -10</c:v>
                </c:pt>
                <c:pt idx="24">
                  <c:v>Kv 1 -11</c:v>
                </c:pt>
                <c:pt idx="28">
                  <c:v>Kv 1 -12</c:v>
                </c:pt>
                <c:pt idx="32">
                  <c:v>Kv 1 -13</c:v>
                </c:pt>
              </c:strCache>
            </c:strRef>
          </c:cat>
          <c:val>
            <c:numRef>
              <c:f>Sheet1!$B$52:$AK$52</c:f>
              <c:numCache>
                <c:formatCode>General</c:formatCode>
                <c:ptCount val="36"/>
                <c:pt idx="0">
                  <c:v>2.7</c:v>
                </c:pt>
                <c:pt idx="1">
                  <c:v>3.8</c:v>
                </c:pt>
                <c:pt idx="2">
                  <c:v>3.9</c:v>
                </c:pt>
                <c:pt idx="3">
                  <c:v>5.4</c:v>
                </c:pt>
                <c:pt idx="4">
                  <c:v>5.2</c:v>
                </c:pt>
                <c:pt idx="5">
                  <c:v>5.3</c:v>
                </c:pt>
                <c:pt idx="6">
                  <c:v>5.7</c:v>
                </c:pt>
                <c:pt idx="7">
                  <c:v>5.5</c:v>
                </c:pt>
                <c:pt idx="8">
                  <c:v>7.3</c:v>
                </c:pt>
                <c:pt idx="9">
                  <c:v>6.4</c:v>
                </c:pt>
                <c:pt idx="10">
                  <c:v>6.4</c:v>
                </c:pt>
                <c:pt idx="11">
                  <c:v>7.7</c:v>
                </c:pt>
                <c:pt idx="12">
                  <c:v>7.1</c:v>
                </c:pt>
                <c:pt idx="13">
                  <c:v>7.2</c:v>
                </c:pt>
                <c:pt idx="14">
                  <c:v>6</c:v>
                </c:pt>
                <c:pt idx="15">
                  <c:v>3.1</c:v>
                </c:pt>
                <c:pt idx="16">
                  <c:v>1.7</c:v>
                </c:pt>
                <c:pt idx="17">
                  <c:v>0.1</c:v>
                </c:pt>
                <c:pt idx="18">
                  <c:v>0.1</c:v>
                </c:pt>
                <c:pt idx="19">
                  <c:v>-0.4</c:v>
                </c:pt>
                <c:pt idx="20">
                  <c:v>0.7</c:v>
                </c:pt>
                <c:pt idx="21">
                  <c:v>2.1</c:v>
                </c:pt>
                <c:pt idx="22">
                  <c:v>3.3</c:v>
                </c:pt>
                <c:pt idx="23">
                  <c:v>6.0129796001514961</c:v>
                </c:pt>
                <c:pt idx="24">
                  <c:v>5.8</c:v>
                </c:pt>
                <c:pt idx="25">
                  <c:v>6.4</c:v>
                </c:pt>
                <c:pt idx="26">
                  <c:v>6.4</c:v>
                </c:pt>
                <c:pt idx="27">
                  <c:v>4.4000000000000004</c:v>
                </c:pt>
                <c:pt idx="28">
                  <c:v>4.2</c:v>
                </c:pt>
                <c:pt idx="29">
                  <c:v>3.9</c:v>
                </c:pt>
                <c:pt idx="30">
                  <c:v>3.2</c:v>
                </c:pt>
                <c:pt idx="31">
                  <c:v>4.2</c:v>
                </c:pt>
                <c:pt idx="32" formatCode="0.0">
                  <c:v>3.036</c:v>
                </c:pt>
                <c:pt idx="33" formatCode="0.0">
                  <c:v>2.383</c:v>
                </c:pt>
                <c:pt idx="34" formatCode="0.0">
                  <c:v>3.0619999999999998</c:v>
                </c:pt>
                <c:pt idx="35" formatCode="0.0">
                  <c:v>2.7440000000000002</c:v>
                </c:pt>
              </c:numCache>
            </c:numRef>
          </c:val>
          <c:smooth val="0"/>
        </c:ser>
        <c:dLbls>
          <c:showLegendKey val="0"/>
          <c:showVal val="0"/>
          <c:showCatName val="0"/>
          <c:showSerName val="0"/>
          <c:showPercent val="0"/>
          <c:showBubbleSize val="0"/>
        </c:dLbls>
        <c:marker val="1"/>
        <c:smooth val="0"/>
        <c:axId val="91429504"/>
        <c:axId val="91427968"/>
      </c:lineChart>
      <c:catAx>
        <c:axId val="91420544"/>
        <c:scaling>
          <c:orientation val="minMax"/>
        </c:scaling>
        <c:delete val="0"/>
        <c:axPos val="b"/>
        <c:majorTickMark val="out"/>
        <c:minorTickMark val="none"/>
        <c:tickLblPos val="nextTo"/>
        <c:txPr>
          <a:bodyPr rot="5400000" vert="horz"/>
          <a:lstStyle/>
          <a:p>
            <a:pPr>
              <a:defRPr/>
            </a:pPr>
            <a:endParaRPr lang="sv-SE"/>
          </a:p>
        </c:txPr>
        <c:crossAx val="91422080"/>
        <c:crossesAt val="-6"/>
        <c:auto val="1"/>
        <c:lblAlgn val="ctr"/>
        <c:lblOffset val="100"/>
        <c:noMultiLvlLbl val="0"/>
      </c:catAx>
      <c:valAx>
        <c:axId val="91422080"/>
        <c:scaling>
          <c:orientation val="minMax"/>
          <c:max val="9"/>
          <c:min val="-1"/>
        </c:scaling>
        <c:delete val="0"/>
        <c:axPos val="l"/>
        <c:majorGridlines/>
        <c:numFmt formatCode="General" sourceLinked="1"/>
        <c:majorTickMark val="out"/>
        <c:minorTickMark val="none"/>
        <c:tickLblPos val="nextTo"/>
        <c:crossAx val="91420544"/>
        <c:crosses val="autoZero"/>
        <c:crossBetween val="between"/>
      </c:valAx>
      <c:valAx>
        <c:axId val="91427968"/>
        <c:scaling>
          <c:orientation val="minMax"/>
        </c:scaling>
        <c:delete val="0"/>
        <c:axPos val="r"/>
        <c:numFmt formatCode="General" sourceLinked="1"/>
        <c:majorTickMark val="out"/>
        <c:minorTickMark val="none"/>
        <c:tickLblPos val="nextTo"/>
        <c:crossAx val="91429504"/>
        <c:crosses val="max"/>
        <c:crossBetween val="between"/>
      </c:valAx>
      <c:catAx>
        <c:axId val="91429504"/>
        <c:scaling>
          <c:orientation val="minMax"/>
        </c:scaling>
        <c:delete val="1"/>
        <c:axPos val="b"/>
        <c:majorTickMark val="none"/>
        <c:minorTickMark val="out"/>
        <c:tickLblPos val="none"/>
        <c:crossAx val="91427968"/>
        <c:crossesAt val="0"/>
        <c:auto val="1"/>
        <c:lblAlgn val="ctr"/>
        <c:lblOffset val="100"/>
        <c:noMultiLvlLbl val="0"/>
      </c:catAx>
    </c:plotArea>
    <c:legend>
      <c:legendPos val="b"/>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002405949256337E-2"/>
          <c:y val="5.1400554097404488E-2"/>
          <c:w val="0.68113582677165352"/>
          <c:h val="0.8326195683872849"/>
        </c:manualLayout>
      </c:layout>
      <c:lineChart>
        <c:grouping val="standard"/>
        <c:varyColors val="0"/>
        <c:ser>
          <c:idx val="0"/>
          <c:order val="0"/>
          <c:tx>
            <c:strRef>
              <c:f>[Årsboksunderlag.xlsx]Sysselsatta!$A$13</c:f>
              <c:strCache>
                <c:ptCount val="1"/>
                <c:pt idx="0">
                  <c:v>Stockholm</c:v>
                </c:pt>
              </c:strCache>
            </c:strRef>
          </c:tx>
          <c:marker>
            <c:symbol val="square"/>
            <c:size val="5"/>
          </c:marker>
          <c:cat>
            <c:numRef>
              <c:f>[Årsboksunderlag.xlsx]Sysselsatta!$B$12:$J$12</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[Årsboksunderlag.xlsx]Sysselsatta!$B$13:$J$13</c:f>
              <c:numCache>
                <c:formatCode>#,##0.0</c:formatCode>
                <c:ptCount val="9"/>
                <c:pt idx="0">
                  <c:v>70.7</c:v>
                </c:pt>
                <c:pt idx="1">
                  <c:v>71.5</c:v>
                </c:pt>
                <c:pt idx="2">
                  <c:v>71.599999999999994</c:v>
                </c:pt>
                <c:pt idx="3" formatCode="General">
                  <c:v>72.3</c:v>
                </c:pt>
                <c:pt idx="4">
                  <c:v>72.099999999999994</c:v>
                </c:pt>
                <c:pt idx="5">
                  <c:v>71.5</c:v>
                </c:pt>
                <c:pt idx="6" formatCode="General">
                  <c:v>71.7</c:v>
                </c:pt>
                <c:pt idx="7">
                  <c:v>72</c:v>
                </c:pt>
                <c:pt idx="8">
                  <c:v>73.599999999999994</c:v>
                </c:pt>
              </c:numCache>
            </c:numRef>
          </c:val>
          <c:smooth val="0"/>
        </c:ser>
        <c:ser>
          <c:idx val="1"/>
          <c:order val="1"/>
          <c:tx>
            <c:strRef>
              <c:f>[Årsboksunderlag.xlsx]Sysselsatta!$A$14</c:f>
              <c:strCache>
                <c:ptCount val="1"/>
                <c:pt idx="0">
                  <c:v>Göteborg</c:v>
                </c:pt>
              </c:strCache>
            </c:strRef>
          </c:tx>
          <c:spPr>
            <a:ln>
              <a:solidFill>
                <a:schemeClr val="tx1"/>
              </a:solidFill>
              <a:prstDash val="dash"/>
            </a:ln>
          </c:spPr>
          <c:marker>
            <c:symbol val="none"/>
          </c:marker>
          <c:cat>
            <c:numRef>
              <c:f>[Årsboksunderlag.xlsx]Sysselsatta!$B$12:$J$12</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[Årsboksunderlag.xlsx]Sysselsatta!$B$14:$J$14</c:f>
              <c:numCache>
                <c:formatCode>#,##0.0</c:formatCode>
                <c:ptCount val="9"/>
                <c:pt idx="0">
                  <c:v>65.3</c:v>
                </c:pt>
                <c:pt idx="1">
                  <c:v>66</c:v>
                </c:pt>
                <c:pt idx="2">
                  <c:v>67.5</c:v>
                </c:pt>
                <c:pt idx="3" formatCode="General">
                  <c:v>67.8</c:v>
                </c:pt>
                <c:pt idx="4">
                  <c:v>64.599999999999994</c:v>
                </c:pt>
                <c:pt idx="5">
                  <c:v>64.599999999999994</c:v>
                </c:pt>
                <c:pt idx="6" formatCode="General">
                  <c:v>65.5</c:v>
                </c:pt>
                <c:pt idx="7">
                  <c:v>65.7</c:v>
                </c:pt>
                <c:pt idx="8">
                  <c:v>65.7</c:v>
                </c:pt>
              </c:numCache>
            </c:numRef>
          </c:val>
          <c:smooth val="0"/>
        </c:ser>
        <c:ser>
          <c:idx val="2"/>
          <c:order val="2"/>
          <c:tx>
            <c:strRef>
              <c:f>[Årsboksunderlag.xlsx]Sysselsatta!$A$15</c:f>
              <c:strCache>
                <c:ptCount val="1"/>
                <c:pt idx="0">
                  <c:v>Malmö</c:v>
                </c:pt>
              </c:strCache>
            </c:strRef>
          </c:tx>
          <c:spPr>
            <a:ln>
              <a:solidFill>
                <a:schemeClr val="tx1"/>
              </a:solidFill>
            </a:ln>
          </c:spPr>
          <c:marker>
            <c:symbol val="none"/>
          </c:marker>
          <c:cat>
            <c:numRef>
              <c:f>[Årsboksunderlag.xlsx]Sysselsatta!$B$12:$J$12</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[Årsboksunderlag.xlsx]Sysselsatta!$B$15:$J$15</c:f>
              <c:numCache>
                <c:formatCode>#,##0.0</c:formatCode>
                <c:ptCount val="9"/>
                <c:pt idx="0">
                  <c:v>61.4</c:v>
                </c:pt>
                <c:pt idx="1">
                  <c:v>63.2</c:v>
                </c:pt>
                <c:pt idx="2">
                  <c:v>64.3</c:v>
                </c:pt>
                <c:pt idx="3" formatCode="General">
                  <c:v>64.099999999999994</c:v>
                </c:pt>
                <c:pt idx="4">
                  <c:v>62.6</c:v>
                </c:pt>
                <c:pt idx="5">
                  <c:v>63.1</c:v>
                </c:pt>
                <c:pt idx="6" formatCode="General">
                  <c:v>62.3</c:v>
                </c:pt>
                <c:pt idx="7">
                  <c:v>61.7</c:v>
                </c:pt>
                <c:pt idx="8">
                  <c:v>63.1</c:v>
                </c:pt>
              </c:numCache>
            </c:numRef>
          </c:val>
          <c:smooth val="0"/>
        </c:ser>
        <c:ser>
          <c:idx val="4"/>
          <c:order val="3"/>
          <c:tx>
            <c:strRef>
              <c:f>[Årsboksunderlag.xlsx]Sysselsatta!$A$16</c:f>
              <c:strCache>
                <c:ptCount val="1"/>
                <c:pt idx="0">
                  <c:v>Riket</c:v>
                </c:pt>
              </c:strCache>
            </c:strRef>
          </c:tx>
          <c:spPr>
            <a:ln>
              <a:solidFill>
                <a:schemeClr val="bg1">
                  <a:lumMod val="50000"/>
                </a:schemeClr>
              </a:solidFill>
              <a:prstDash val="solid"/>
            </a:ln>
          </c:spPr>
          <c:marker>
            <c:symbol val="none"/>
          </c:marker>
          <c:cat>
            <c:numRef>
              <c:f>[Årsboksunderlag.xlsx]Sysselsatta!$B$12:$J$12</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[Årsboksunderlag.xlsx]Sysselsatta!$B$16:$J$16</c:f>
              <c:numCache>
                <c:formatCode>#,##0.0</c:formatCode>
                <c:ptCount val="9"/>
                <c:pt idx="0">
                  <c:v>65.2</c:v>
                </c:pt>
                <c:pt idx="1">
                  <c:v>65.8</c:v>
                </c:pt>
                <c:pt idx="2">
                  <c:v>66.7</c:v>
                </c:pt>
                <c:pt idx="3" formatCode="General">
                  <c:v>66.8</c:v>
                </c:pt>
                <c:pt idx="4">
                  <c:v>64.7</c:v>
                </c:pt>
                <c:pt idx="5">
                  <c:v>64.400000000000006</c:v>
                </c:pt>
                <c:pt idx="6" formatCode="General">
                  <c:v>65.400000000000006</c:v>
                </c:pt>
                <c:pt idx="7">
                  <c:v>65.5</c:v>
                </c:pt>
                <c:pt idx="8">
                  <c:v>65.7</c:v>
                </c:pt>
              </c:numCache>
            </c:numRef>
          </c:val>
          <c:smooth val="0"/>
        </c:ser>
        <c:dLbls>
          <c:showLegendKey val="0"/>
          <c:showVal val="0"/>
          <c:showCatName val="0"/>
          <c:showSerName val="0"/>
          <c:showPercent val="0"/>
          <c:showBubbleSize val="0"/>
        </c:dLbls>
        <c:marker val="1"/>
        <c:smooth val="0"/>
        <c:axId val="92394240"/>
        <c:axId val="92395776"/>
      </c:lineChart>
      <c:catAx>
        <c:axId val="92394240"/>
        <c:scaling>
          <c:orientation val="minMax"/>
        </c:scaling>
        <c:delete val="0"/>
        <c:axPos val="b"/>
        <c:numFmt formatCode="General" sourceLinked="1"/>
        <c:majorTickMark val="out"/>
        <c:minorTickMark val="none"/>
        <c:tickLblPos val="nextTo"/>
        <c:crossAx val="92395776"/>
        <c:crosses val="autoZero"/>
        <c:auto val="1"/>
        <c:lblAlgn val="ctr"/>
        <c:lblOffset val="100"/>
        <c:noMultiLvlLbl val="0"/>
      </c:catAx>
      <c:valAx>
        <c:axId val="92395776"/>
        <c:scaling>
          <c:orientation val="minMax"/>
        </c:scaling>
        <c:delete val="0"/>
        <c:axPos val="l"/>
        <c:majorGridlines/>
        <c:numFmt formatCode="#,##0.0" sourceLinked="1"/>
        <c:majorTickMark val="out"/>
        <c:minorTickMark val="none"/>
        <c:tickLblPos val="nextTo"/>
        <c:crossAx val="92394240"/>
        <c:crosses val="autoZero"/>
        <c:crossBetween val="between"/>
      </c:valAx>
    </c:plotArea>
    <c:legend>
      <c:legendPos val="r"/>
      <c:layout>
        <c:manualLayout>
          <c:xMode val="edge"/>
          <c:yMode val="edge"/>
          <c:x val="0.77691601049868753"/>
          <c:y val="0.33256561679790025"/>
          <c:w val="0.22308398950131234"/>
          <c:h val="0.33486876640419949"/>
        </c:manualLayout>
      </c:layout>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strRef>
              <c:f>Sheet1!$A$114</c:f>
              <c:strCache>
                <c:ptCount val="1"/>
                <c:pt idx="0">
                  <c:v>Stockholms stad</c:v>
                </c:pt>
              </c:strCache>
            </c:strRef>
          </c:tx>
          <c:spPr>
            <a:ln>
              <a:solidFill>
                <a:schemeClr val="tx1">
                  <a:lumMod val="75000"/>
                  <a:lumOff val="25000"/>
                </a:schemeClr>
              </a:solidFill>
            </a:ln>
          </c:spPr>
          <c:marker>
            <c:symbol val="none"/>
          </c:marker>
          <c:cat>
            <c:strRef>
              <c:f>Sheet1!$C$113:$AL$113</c:f>
              <c:strCache>
                <c:ptCount val="33"/>
                <c:pt idx="0">
                  <c:v>Kv 1 -05</c:v>
                </c:pt>
                <c:pt idx="4">
                  <c:v>Kv 1 -06</c:v>
                </c:pt>
                <c:pt idx="8">
                  <c:v>Kv 1 -07</c:v>
                </c:pt>
                <c:pt idx="12">
                  <c:v>Kv 1 -08</c:v>
                </c:pt>
                <c:pt idx="16">
                  <c:v>Kv 1 -09</c:v>
                </c:pt>
                <c:pt idx="20">
                  <c:v>Kv 1 -10</c:v>
                </c:pt>
                <c:pt idx="24">
                  <c:v>Kv 1 -11</c:v>
                </c:pt>
                <c:pt idx="28">
                  <c:v>Kv 1 -12</c:v>
                </c:pt>
                <c:pt idx="32">
                  <c:v>Kv 1 -13</c:v>
                </c:pt>
              </c:strCache>
            </c:strRef>
          </c:cat>
          <c:val>
            <c:numRef>
              <c:f>Sheet1!$C$114:$AL$114</c:f>
              <c:numCache>
                <c:formatCode>General</c:formatCode>
                <c:ptCount val="36"/>
                <c:pt idx="0">
                  <c:v>0.4</c:v>
                </c:pt>
                <c:pt idx="1">
                  <c:v>0.5</c:v>
                </c:pt>
                <c:pt idx="2">
                  <c:v>0.7</c:v>
                </c:pt>
                <c:pt idx="3">
                  <c:v>0.8</c:v>
                </c:pt>
                <c:pt idx="4">
                  <c:v>1.1000000000000001</c:v>
                </c:pt>
                <c:pt idx="5">
                  <c:v>1.3</c:v>
                </c:pt>
                <c:pt idx="6">
                  <c:v>1.4</c:v>
                </c:pt>
                <c:pt idx="7">
                  <c:v>1.5</c:v>
                </c:pt>
                <c:pt idx="8">
                  <c:v>1.6</c:v>
                </c:pt>
                <c:pt idx="9">
                  <c:v>1.5</c:v>
                </c:pt>
                <c:pt idx="10">
                  <c:v>1.5</c:v>
                </c:pt>
                <c:pt idx="11">
                  <c:v>1.6</c:v>
                </c:pt>
                <c:pt idx="12">
                  <c:v>1.6</c:v>
                </c:pt>
                <c:pt idx="13">
                  <c:v>1.8</c:v>
                </c:pt>
                <c:pt idx="14">
                  <c:v>1.9</c:v>
                </c:pt>
                <c:pt idx="15">
                  <c:v>1.9</c:v>
                </c:pt>
                <c:pt idx="16">
                  <c:v>2</c:v>
                </c:pt>
                <c:pt idx="17">
                  <c:v>2</c:v>
                </c:pt>
                <c:pt idx="18">
                  <c:v>2.2000000000000002</c:v>
                </c:pt>
                <c:pt idx="19">
                  <c:v>2.4</c:v>
                </c:pt>
                <c:pt idx="20">
                  <c:v>2.2000000000000002</c:v>
                </c:pt>
                <c:pt idx="21">
                  <c:v>2.2999999999999998</c:v>
                </c:pt>
                <c:pt idx="22">
                  <c:v>2.2000000000000002</c:v>
                </c:pt>
                <c:pt idx="23">
                  <c:v>2.1</c:v>
                </c:pt>
                <c:pt idx="24">
                  <c:v>2.2000000000000002</c:v>
                </c:pt>
                <c:pt idx="25">
                  <c:v>2.2000000000000002</c:v>
                </c:pt>
                <c:pt idx="26">
                  <c:v>2.1</c:v>
                </c:pt>
                <c:pt idx="27">
                  <c:v>2</c:v>
                </c:pt>
                <c:pt idx="28">
                  <c:v>2</c:v>
                </c:pt>
                <c:pt idx="29">
                  <c:v>1.9</c:v>
                </c:pt>
                <c:pt idx="30">
                  <c:v>1.92</c:v>
                </c:pt>
                <c:pt idx="31" formatCode="0.0">
                  <c:v>1.9565579574326295</c:v>
                </c:pt>
                <c:pt idx="32" formatCode="0.0">
                  <c:v>2.0169999999999999</c:v>
                </c:pt>
                <c:pt idx="33" formatCode="0.0">
                  <c:v>2.0129999999999999</c:v>
                </c:pt>
                <c:pt idx="34" formatCode="0.0">
                  <c:v>1.8939999999999999</c:v>
                </c:pt>
                <c:pt idx="35" formatCode="0.0">
                  <c:v>1.8680000000000001</c:v>
                </c:pt>
              </c:numCache>
            </c:numRef>
          </c:val>
          <c:smooth val="0"/>
        </c:ser>
        <c:dLbls>
          <c:showLegendKey val="0"/>
          <c:showVal val="0"/>
          <c:showCatName val="0"/>
          <c:showSerName val="0"/>
          <c:showPercent val="0"/>
          <c:showBubbleSize val="0"/>
        </c:dLbls>
        <c:marker val="1"/>
        <c:smooth val="0"/>
        <c:axId val="92292224"/>
        <c:axId val="92293760"/>
      </c:lineChart>
      <c:lineChart>
        <c:grouping val="standard"/>
        <c:varyColors val="0"/>
        <c:ser>
          <c:idx val="0"/>
          <c:order val="1"/>
          <c:tx>
            <c:strRef>
              <c:f>Sheet1!$A$117</c:f>
              <c:strCache>
                <c:ptCount val="1"/>
                <c:pt idx="0">
                  <c:v>Stockholms län</c:v>
                </c:pt>
              </c:strCache>
            </c:strRef>
          </c:tx>
          <c:spPr>
            <a:ln>
              <a:solidFill>
                <a:schemeClr val="bg1">
                  <a:lumMod val="65000"/>
                </a:schemeClr>
              </a:solidFill>
            </a:ln>
          </c:spPr>
          <c:marker>
            <c:symbol val="none"/>
          </c:marker>
          <c:val>
            <c:numRef>
              <c:f>Sheet1!$C$117:$AL$117</c:f>
              <c:numCache>
                <c:formatCode>General</c:formatCode>
                <c:ptCount val="36"/>
                <c:pt idx="0">
                  <c:v>0.7</c:v>
                </c:pt>
                <c:pt idx="1">
                  <c:v>0.7</c:v>
                </c:pt>
                <c:pt idx="2">
                  <c:v>0.8</c:v>
                </c:pt>
                <c:pt idx="3">
                  <c:v>0.9</c:v>
                </c:pt>
                <c:pt idx="4">
                  <c:v>1.1000000000000001</c:v>
                </c:pt>
                <c:pt idx="5">
                  <c:v>1.3</c:v>
                </c:pt>
                <c:pt idx="6">
                  <c:v>1.4</c:v>
                </c:pt>
                <c:pt idx="7">
                  <c:v>1.5</c:v>
                </c:pt>
                <c:pt idx="8">
                  <c:v>1.5</c:v>
                </c:pt>
                <c:pt idx="9">
                  <c:v>1.5</c:v>
                </c:pt>
                <c:pt idx="10">
                  <c:v>1.5</c:v>
                </c:pt>
                <c:pt idx="11">
                  <c:v>1.6</c:v>
                </c:pt>
                <c:pt idx="12">
                  <c:v>1.6</c:v>
                </c:pt>
                <c:pt idx="13">
                  <c:v>1.7</c:v>
                </c:pt>
                <c:pt idx="14">
                  <c:v>1.7</c:v>
                </c:pt>
                <c:pt idx="15">
                  <c:v>1.6</c:v>
                </c:pt>
                <c:pt idx="16">
                  <c:v>1.7</c:v>
                </c:pt>
                <c:pt idx="17">
                  <c:v>1.7</c:v>
                </c:pt>
                <c:pt idx="18">
                  <c:v>1.8</c:v>
                </c:pt>
                <c:pt idx="19">
                  <c:v>1.9</c:v>
                </c:pt>
                <c:pt idx="20">
                  <c:v>1.8</c:v>
                </c:pt>
                <c:pt idx="21">
                  <c:v>1.8</c:v>
                </c:pt>
                <c:pt idx="22">
                  <c:v>1.7</c:v>
                </c:pt>
                <c:pt idx="23">
                  <c:v>1.7</c:v>
                </c:pt>
                <c:pt idx="24">
                  <c:v>1.9</c:v>
                </c:pt>
                <c:pt idx="25">
                  <c:v>1.9</c:v>
                </c:pt>
                <c:pt idx="26">
                  <c:v>1.9</c:v>
                </c:pt>
                <c:pt idx="27">
                  <c:v>1.8</c:v>
                </c:pt>
                <c:pt idx="28">
                  <c:v>1.7</c:v>
                </c:pt>
                <c:pt idx="29">
                  <c:v>1.7</c:v>
                </c:pt>
                <c:pt idx="30">
                  <c:v>1.69</c:v>
                </c:pt>
                <c:pt idx="31" formatCode="0.0">
                  <c:v>1.6989461494363065</c:v>
                </c:pt>
                <c:pt idx="32" formatCode="0.0">
                  <c:v>1.726</c:v>
                </c:pt>
                <c:pt idx="33" formatCode="0.0">
                  <c:v>1.6910000000000001</c:v>
                </c:pt>
                <c:pt idx="34" formatCode="0.0">
                  <c:v>1.6850000000000001</c:v>
                </c:pt>
                <c:pt idx="35" formatCode="0.0">
                  <c:v>1.694</c:v>
                </c:pt>
              </c:numCache>
            </c:numRef>
          </c:val>
          <c:smooth val="0"/>
        </c:ser>
        <c:ser>
          <c:idx val="2"/>
          <c:order val="2"/>
          <c:tx>
            <c:strRef>
              <c:f>Sheet1!$A$120</c:f>
              <c:strCache>
                <c:ptCount val="1"/>
                <c:pt idx="0">
                  <c:v>Riket</c:v>
                </c:pt>
              </c:strCache>
            </c:strRef>
          </c:tx>
          <c:spPr>
            <a:ln>
              <a:solidFill>
                <a:schemeClr val="bg1">
                  <a:lumMod val="65000"/>
                </a:schemeClr>
              </a:solidFill>
              <a:prstDash val="sysDash"/>
            </a:ln>
          </c:spPr>
          <c:marker>
            <c:symbol val="none"/>
          </c:marker>
          <c:val>
            <c:numRef>
              <c:f>Sheet1!$C$120:$AL$120</c:f>
              <c:numCache>
                <c:formatCode>General</c:formatCode>
                <c:ptCount val="36"/>
                <c:pt idx="0">
                  <c:v>0.4</c:v>
                </c:pt>
                <c:pt idx="1">
                  <c:v>0.4</c:v>
                </c:pt>
                <c:pt idx="2">
                  <c:v>0.4</c:v>
                </c:pt>
                <c:pt idx="3">
                  <c:v>0.4</c:v>
                </c:pt>
                <c:pt idx="4">
                  <c:v>0.6</c:v>
                </c:pt>
                <c:pt idx="5">
                  <c:v>0.7</c:v>
                </c:pt>
                <c:pt idx="6">
                  <c:v>0.7</c:v>
                </c:pt>
                <c:pt idx="7">
                  <c:v>0.7</c:v>
                </c:pt>
                <c:pt idx="8">
                  <c:v>0.7</c:v>
                </c:pt>
                <c:pt idx="9">
                  <c:v>0.7</c:v>
                </c:pt>
                <c:pt idx="10">
                  <c:v>0.7</c:v>
                </c:pt>
                <c:pt idx="11">
                  <c:v>0.8</c:v>
                </c:pt>
                <c:pt idx="12">
                  <c:v>0.8</c:v>
                </c:pt>
                <c:pt idx="13">
                  <c:v>0.8</c:v>
                </c:pt>
                <c:pt idx="14">
                  <c:v>0.8</c:v>
                </c:pt>
                <c:pt idx="15">
                  <c:v>0.8</c:v>
                </c:pt>
                <c:pt idx="16">
                  <c:v>0.8</c:v>
                </c:pt>
                <c:pt idx="17">
                  <c:v>0.8</c:v>
                </c:pt>
                <c:pt idx="18">
                  <c:v>0.9</c:v>
                </c:pt>
                <c:pt idx="19">
                  <c:v>0.9</c:v>
                </c:pt>
                <c:pt idx="20">
                  <c:v>0.9</c:v>
                </c:pt>
                <c:pt idx="21">
                  <c:v>0.9</c:v>
                </c:pt>
                <c:pt idx="22">
                  <c:v>0.8</c:v>
                </c:pt>
                <c:pt idx="23">
                  <c:v>0.8</c:v>
                </c:pt>
                <c:pt idx="24">
                  <c:v>0.8</c:v>
                </c:pt>
                <c:pt idx="25">
                  <c:v>0.8</c:v>
                </c:pt>
                <c:pt idx="26">
                  <c:v>0.7</c:v>
                </c:pt>
                <c:pt idx="27">
                  <c:v>0.7</c:v>
                </c:pt>
                <c:pt idx="28">
                  <c:v>0.7</c:v>
                </c:pt>
                <c:pt idx="29">
                  <c:v>0.7</c:v>
                </c:pt>
                <c:pt idx="30">
                  <c:v>0.72699999999999998</c:v>
                </c:pt>
                <c:pt idx="31" formatCode="0.0">
                  <c:v>0.77021108094555912</c:v>
                </c:pt>
                <c:pt idx="32" formatCode="0.0">
                  <c:v>0.82499999999999996</c:v>
                </c:pt>
                <c:pt idx="33" formatCode="0.0">
                  <c:v>0.86199999999999999</c:v>
                </c:pt>
                <c:pt idx="34" formatCode="0.0">
                  <c:v>0.89500000000000002</c:v>
                </c:pt>
                <c:pt idx="35" formatCode="0.0">
                  <c:v>0.93100000000000005</c:v>
                </c:pt>
              </c:numCache>
            </c:numRef>
          </c:val>
          <c:smooth val="0"/>
        </c:ser>
        <c:dLbls>
          <c:showLegendKey val="0"/>
          <c:showVal val="0"/>
          <c:showCatName val="0"/>
          <c:showSerName val="0"/>
          <c:showPercent val="0"/>
          <c:showBubbleSize val="0"/>
        </c:dLbls>
        <c:marker val="1"/>
        <c:smooth val="0"/>
        <c:axId val="92305280"/>
        <c:axId val="92303744"/>
      </c:lineChart>
      <c:catAx>
        <c:axId val="92292224"/>
        <c:scaling>
          <c:orientation val="minMax"/>
        </c:scaling>
        <c:delete val="0"/>
        <c:axPos val="b"/>
        <c:majorTickMark val="out"/>
        <c:minorTickMark val="none"/>
        <c:tickLblPos val="nextTo"/>
        <c:txPr>
          <a:bodyPr rot="5400000" vert="horz"/>
          <a:lstStyle/>
          <a:p>
            <a:pPr>
              <a:defRPr/>
            </a:pPr>
            <a:endParaRPr lang="sv-SE"/>
          </a:p>
        </c:txPr>
        <c:crossAx val="92293760"/>
        <c:crossesAt val="-6"/>
        <c:auto val="1"/>
        <c:lblAlgn val="ctr"/>
        <c:lblOffset val="100"/>
        <c:noMultiLvlLbl val="0"/>
      </c:catAx>
      <c:valAx>
        <c:axId val="92293760"/>
        <c:scaling>
          <c:orientation val="minMax"/>
          <c:max val="3"/>
          <c:min val="0"/>
        </c:scaling>
        <c:delete val="0"/>
        <c:axPos val="l"/>
        <c:majorGridlines/>
        <c:numFmt formatCode="General" sourceLinked="1"/>
        <c:majorTickMark val="out"/>
        <c:minorTickMark val="none"/>
        <c:tickLblPos val="nextTo"/>
        <c:crossAx val="92292224"/>
        <c:crosses val="autoZero"/>
        <c:crossBetween val="between"/>
      </c:valAx>
      <c:valAx>
        <c:axId val="92303744"/>
        <c:scaling>
          <c:orientation val="minMax"/>
          <c:max val="3"/>
          <c:min val="0"/>
        </c:scaling>
        <c:delete val="0"/>
        <c:axPos val="r"/>
        <c:numFmt formatCode="General" sourceLinked="1"/>
        <c:majorTickMark val="out"/>
        <c:minorTickMark val="none"/>
        <c:tickLblPos val="nextTo"/>
        <c:crossAx val="92305280"/>
        <c:crosses val="max"/>
        <c:crossBetween val="between"/>
      </c:valAx>
      <c:catAx>
        <c:axId val="92305280"/>
        <c:scaling>
          <c:orientation val="minMax"/>
        </c:scaling>
        <c:delete val="1"/>
        <c:axPos val="b"/>
        <c:majorTickMark val="out"/>
        <c:minorTickMark val="none"/>
        <c:tickLblPos val="none"/>
        <c:crossAx val="92303744"/>
        <c:crossesAt val="0"/>
        <c:auto val="1"/>
        <c:lblAlgn val="ctr"/>
        <c:lblOffset val="100"/>
        <c:noMultiLvlLbl val="0"/>
      </c:catAx>
    </c:plotArea>
    <c:legend>
      <c:legendPos val="b"/>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explosion val="4"/>
          </c:dPt>
          <c:dPt>
            <c:idx val="1"/>
            <c:bubble3D val="0"/>
            <c:explosion val="8"/>
          </c:dPt>
          <c:dPt>
            <c:idx val="2"/>
            <c:bubble3D val="0"/>
            <c:explosion val="8"/>
          </c:dPt>
          <c:dLbls>
            <c:dLbl>
              <c:idx val="0"/>
              <c:layout>
                <c:manualLayout>
                  <c:x val="-0.21280927384076989"/>
                  <c:y val="0.10894794400699913"/>
                </c:manualLayout>
              </c:layout>
              <c:showLegendKey val="0"/>
              <c:showVal val="1"/>
              <c:showCatName val="1"/>
              <c:showSerName val="0"/>
              <c:showPercent val="0"/>
              <c:showBubbleSize val="0"/>
            </c:dLbl>
            <c:dLbl>
              <c:idx val="2"/>
              <c:layout>
                <c:manualLayout>
                  <c:x val="0.11379571303587052"/>
                  <c:y val="0.18590952172645087"/>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Sheet1!$B$146:$B$148</c:f>
              <c:strCache>
                <c:ptCount val="3"/>
                <c:pt idx="0">
                  <c:v>Födelse-överskott</c:v>
                </c:pt>
                <c:pt idx="1">
                  <c:v>Flyttningsnetto utlandet</c:v>
                </c:pt>
                <c:pt idx="2">
                  <c:v>Flyttningsnetto övr. Sverige</c:v>
                </c:pt>
              </c:strCache>
            </c:strRef>
          </c:cat>
          <c:val>
            <c:numRef>
              <c:f>Sheet1!$F$146:$F$148</c:f>
              <c:numCache>
                <c:formatCode>0%</c:formatCode>
                <c:ptCount val="3"/>
                <c:pt idx="0">
                  <c:v>0.46976916888421311</c:v>
                </c:pt>
                <c:pt idx="1">
                  <c:v>0.41326814778142212</c:v>
                </c:pt>
                <c:pt idx="2">
                  <c:v>0.11696268333436476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97841983064469"/>
          <c:y val="7.4548702245552628E-2"/>
          <c:w val="0.72132778629178651"/>
          <c:h val="0.79523549139690874"/>
        </c:manualLayout>
      </c:layout>
      <c:lineChart>
        <c:grouping val="standard"/>
        <c:varyColors val="0"/>
        <c:ser>
          <c:idx val="1"/>
          <c:order val="0"/>
          <c:tx>
            <c:strRef>
              <c:f>'uppdaterade prognos diagram '!$A$169</c:f>
              <c:strCache>
                <c:ptCount val="1"/>
                <c:pt idx="0">
                  <c:v>Samtliga</c:v>
                </c:pt>
              </c:strCache>
            </c:strRef>
          </c:tx>
          <c:spPr>
            <a:ln>
              <a:solidFill>
                <a:schemeClr val="tx1">
                  <a:lumMod val="75000"/>
                  <a:lumOff val="25000"/>
                </a:schemeClr>
              </a:solidFill>
              <a:prstDash val="sysDash"/>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layout>
                <c:manualLayout>
                  <c:x val="-9.200205171014654E-2"/>
                  <c:y val="2.7777777777777821E-2"/>
                </c:manualLayout>
              </c:layout>
              <c:showLegendKey val="0"/>
              <c:showVal val="0"/>
              <c:showCatName val="0"/>
              <c:showSerName val="1"/>
              <c:showPercent val="0"/>
              <c:showBubbleSize val="0"/>
            </c:dLbl>
            <c:showLegendKey val="0"/>
            <c:showVal val="0"/>
            <c:showCatName val="0"/>
            <c:showSerName val="1"/>
            <c:showPercent val="0"/>
            <c:showBubbleSize val="0"/>
            <c:showLeaderLines val="0"/>
          </c:dLbls>
          <c:cat>
            <c:numRef>
              <c:f>'uppdaterade prognos diagram '!$B$168:$Y$168</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'uppdaterade prognos diagram '!$B$169:$Y$169</c:f>
              <c:numCache>
                <c:formatCode>General</c:formatCode>
                <c:ptCount val="24"/>
                <c:pt idx="0">
                  <c:v>750348</c:v>
                </c:pt>
                <c:pt idx="1">
                  <c:v>754948</c:v>
                </c:pt>
                <c:pt idx="2">
                  <c:v>758148</c:v>
                </c:pt>
                <c:pt idx="3">
                  <c:v>761721</c:v>
                </c:pt>
                <c:pt idx="4">
                  <c:v>765044</c:v>
                </c:pt>
                <c:pt idx="5">
                  <c:v>771038</c:v>
                </c:pt>
                <c:pt idx="6">
                  <c:v>782885</c:v>
                </c:pt>
                <c:pt idx="7">
                  <c:v>795163</c:v>
                </c:pt>
                <c:pt idx="8">
                  <c:v>810120</c:v>
                </c:pt>
                <c:pt idx="9">
                  <c:v>829417</c:v>
                </c:pt>
                <c:pt idx="10">
                  <c:v>847073</c:v>
                </c:pt>
                <c:pt idx="11">
                  <c:v>864324</c:v>
                </c:pt>
                <c:pt idx="12">
                  <c:v>881235</c:v>
                </c:pt>
                <c:pt idx="13">
                  <c:v>897700</c:v>
                </c:pt>
                <c:pt idx="14">
                  <c:v>913472.00313281256</c:v>
                </c:pt>
                <c:pt idx="15">
                  <c:v>928809.14568679116</c:v>
                </c:pt>
                <c:pt idx="16">
                  <c:v>944006.46856820001</c:v>
                </c:pt>
                <c:pt idx="17">
                  <c:v>959079.35979247256</c:v>
                </c:pt>
                <c:pt idx="18">
                  <c:v>973959.75962127536</c:v>
                </c:pt>
                <c:pt idx="19">
                  <c:v>988932.76140341605</c:v>
                </c:pt>
                <c:pt idx="20">
                  <c:v>1003523.8033818908</c:v>
                </c:pt>
                <c:pt idx="21">
                  <c:v>1017638.0094830152</c:v>
                </c:pt>
                <c:pt idx="22">
                  <c:v>1031322.5121417072</c:v>
                </c:pt>
                <c:pt idx="23">
                  <c:v>1044934.5680332282</c:v>
                </c:pt>
              </c:numCache>
            </c:numRef>
          </c:val>
          <c:smooth val="0"/>
        </c:ser>
        <c:dLbls>
          <c:showLegendKey val="0"/>
          <c:showVal val="0"/>
          <c:showCatName val="0"/>
          <c:showSerName val="0"/>
          <c:showPercent val="0"/>
          <c:showBubbleSize val="0"/>
        </c:dLbls>
        <c:marker val="1"/>
        <c:smooth val="0"/>
        <c:axId val="109186432"/>
        <c:axId val="109241472"/>
      </c:lineChart>
      <c:lineChart>
        <c:grouping val="standard"/>
        <c:varyColors val="0"/>
        <c:ser>
          <c:idx val="0"/>
          <c:order val="1"/>
          <c:tx>
            <c:strRef>
              <c:f>'uppdaterade prognos diagram '!$A$170</c:f>
              <c:strCache>
                <c:ptCount val="1"/>
                <c:pt idx="0">
                  <c:v>0-5 år</c:v>
                </c:pt>
              </c:strCache>
            </c:strRef>
          </c:tx>
          <c:spPr>
            <a:ln>
              <a:solidFill>
                <a:schemeClr val="bg1">
                  <a:lumMod val="65000"/>
                </a:schemeClr>
              </a:solidFill>
              <a:prstDash val="sysDash"/>
            </a:ln>
          </c:spPr>
          <c:marker>
            <c:symbol val="none"/>
          </c:marker>
          <c:cat>
            <c:numRef>
              <c:f>'uppdaterade prognos diagram '!$B$168:$Y$168</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'uppdaterade prognos diagram '!$B$170:$Y$170</c:f>
              <c:numCache>
                <c:formatCode>General</c:formatCode>
                <c:ptCount val="24"/>
                <c:pt idx="0">
                  <c:v>47918</c:v>
                </c:pt>
                <c:pt idx="1">
                  <c:v>48031</c:v>
                </c:pt>
                <c:pt idx="2">
                  <c:v>48904</c:v>
                </c:pt>
                <c:pt idx="3">
                  <c:v>50461</c:v>
                </c:pt>
                <c:pt idx="4">
                  <c:v>52255</c:v>
                </c:pt>
                <c:pt idx="5">
                  <c:v>54321</c:v>
                </c:pt>
                <c:pt idx="6">
                  <c:v>56816</c:v>
                </c:pt>
                <c:pt idx="7">
                  <c:v>59132</c:v>
                </c:pt>
                <c:pt idx="8">
                  <c:v>61980</c:v>
                </c:pt>
                <c:pt idx="9">
                  <c:v>64878</c:v>
                </c:pt>
                <c:pt idx="10">
                  <c:v>67893</c:v>
                </c:pt>
                <c:pt idx="11">
                  <c:v>70205</c:v>
                </c:pt>
                <c:pt idx="12">
                  <c:v>71781</c:v>
                </c:pt>
                <c:pt idx="13">
                  <c:v>73181</c:v>
                </c:pt>
                <c:pt idx="14">
                  <c:v>74203.053912344185</c:v>
                </c:pt>
                <c:pt idx="15">
                  <c:v>75138.446829687222</c:v>
                </c:pt>
                <c:pt idx="16">
                  <c:v>75842.460210804871</c:v>
                </c:pt>
                <c:pt idx="17">
                  <c:v>76988.863622633857</c:v>
                </c:pt>
                <c:pt idx="18">
                  <c:v>78113.286112775415</c:v>
                </c:pt>
                <c:pt idx="19">
                  <c:v>79263.723723795367</c:v>
                </c:pt>
                <c:pt idx="20">
                  <c:v>80325.50849605308</c:v>
                </c:pt>
                <c:pt idx="21">
                  <c:v>81255.526323970946</c:v>
                </c:pt>
                <c:pt idx="22">
                  <c:v>82099.622033361811</c:v>
                </c:pt>
                <c:pt idx="23">
                  <c:v>82886.87312561064</c:v>
                </c:pt>
              </c:numCache>
            </c:numRef>
          </c:val>
          <c:smooth val="0"/>
        </c:ser>
        <c:ser>
          <c:idx val="2"/>
          <c:order val="2"/>
          <c:tx>
            <c:strRef>
              <c:f>'uppdaterade prognos diagram '!$A$171</c:f>
              <c:strCache>
                <c:ptCount val="1"/>
                <c:pt idx="0">
                  <c:v>6-15 år</c:v>
                </c:pt>
              </c:strCache>
            </c:strRef>
          </c:tx>
          <c:spPr>
            <a:ln>
              <a:solidFill>
                <a:schemeClr val="bg1">
                  <a:lumMod val="65000"/>
                </a:schemeClr>
              </a:solidFill>
              <a:prstDash val="sysDash"/>
            </a:ln>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layout>
                <c:manualLayout>
                  <c:x val="-7.2366524046552042E-2"/>
                  <c:y val="5.0925925925925923E-2"/>
                </c:manualLayout>
              </c:layout>
              <c:showLegendKey val="0"/>
              <c:showVal val="0"/>
              <c:showCatName val="0"/>
              <c:showSerName val="1"/>
              <c:showPercent val="0"/>
              <c:showBubbleSize val="0"/>
            </c:dLbl>
            <c:dLbl>
              <c:idx val="22"/>
              <c:delete val="1"/>
            </c:dLbl>
            <c:dLbl>
              <c:idx val="23"/>
              <c:delete val="1"/>
            </c:dLbl>
            <c:showLegendKey val="0"/>
            <c:showVal val="0"/>
            <c:showCatName val="0"/>
            <c:showSerName val="1"/>
            <c:showPercent val="0"/>
            <c:showBubbleSize val="0"/>
            <c:showLeaderLines val="0"/>
          </c:dLbls>
          <c:cat>
            <c:numRef>
              <c:f>'uppdaterade prognos diagram '!$B$168:$Y$168</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'uppdaterade prognos diagram '!$B$171:$Y$171</c:f>
              <c:numCache>
                <c:formatCode>General</c:formatCode>
                <c:ptCount val="24"/>
                <c:pt idx="0">
                  <c:v>77188</c:v>
                </c:pt>
                <c:pt idx="1">
                  <c:v>78017</c:v>
                </c:pt>
                <c:pt idx="2">
                  <c:v>78264</c:v>
                </c:pt>
                <c:pt idx="3">
                  <c:v>77730</c:v>
                </c:pt>
                <c:pt idx="4">
                  <c:v>76831</c:v>
                </c:pt>
                <c:pt idx="5">
                  <c:v>75523</c:v>
                </c:pt>
                <c:pt idx="6">
                  <c:v>74840</c:v>
                </c:pt>
                <c:pt idx="7">
                  <c:v>74568</c:v>
                </c:pt>
                <c:pt idx="8">
                  <c:v>74660</c:v>
                </c:pt>
                <c:pt idx="9">
                  <c:v>75901</c:v>
                </c:pt>
                <c:pt idx="10">
                  <c:v>77338</c:v>
                </c:pt>
                <c:pt idx="11">
                  <c:v>79282</c:v>
                </c:pt>
                <c:pt idx="12">
                  <c:v>82096</c:v>
                </c:pt>
                <c:pt idx="13">
                  <c:v>85719</c:v>
                </c:pt>
                <c:pt idx="14">
                  <c:v>89178.628440242741</c:v>
                </c:pt>
                <c:pt idx="15">
                  <c:v>92765.016770341375</c:v>
                </c:pt>
                <c:pt idx="16">
                  <c:v>96245.866226338549</c:v>
                </c:pt>
                <c:pt idx="17">
                  <c:v>99226.841284459355</c:v>
                </c:pt>
                <c:pt idx="18">
                  <c:v>101825.53148460964</c:v>
                </c:pt>
                <c:pt idx="19">
                  <c:v>104089.63666544532</c:v>
                </c:pt>
                <c:pt idx="20">
                  <c:v>106222.59231544533</c:v>
                </c:pt>
                <c:pt idx="21">
                  <c:v>108273.16402578974</c:v>
                </c:pt>
                <c:pt idx="22">
                  <c:v>110000.40861776937</c:v>
                </c:pt>
                <c:pt idx="23">
                  <c:v>111507.32927445286</c:v>
                </c:pt>
              </c:numCache>
            </c:numRef>
          </c:val>
          <c:smooth val="0"/>
        </c:ser>
        <c:ser>
          <c:idx val="3"/>
          <c:order val="3"/>
          <c:tx>
            <c:strRef>
              <c:f>'uppdaterade prognos diagram '!$A$172</c:f>
              <c:strCache>
                <c:ptCount val="1"/>
                <c:pt idx="0">
                  <c:v>16-19 år</c:v>
                </c:pt>
              </c:strCache>
            </c:strRef>
          </c:tx>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layout>
                <c:manualLayout>
                  <c:x val="-0.14521485613982096"/>
                  <c:y val="-1.3888888888888888E-2"/>
                </c:manualLayout>
              </c:layout>
              <c:tx>
                <c:rich>
                  <a:bodyPr/>
                  <a:lstStyle/>
                  <a:p>
                    <a:r>
                      <a:rPr lang="en-US"/>
                      <a:t>80- år</a:t>
                    </a:r>
                  </a:p>
                </c:rich>
              </c:tx>
              <c:showLegendKey val="0"/>
              <c:showVal val="0"/>
              <c:showCatName val="0"/>
              <c:showSerName val="1"/>
              <c:showPercent val="0"/>
              <c:showBubbleSize val="0"/>
            </c:dLbl>
            <c:dLbl>
              <c:idx val="22"/>
              <c:delete val="1"/>
            </c:dLbl>
            <c:dLbl>
              <c:idx val="23"/>
              <c:delete val="1"/>
            </c:dLbl>
            <c:showLegendKey val="0"/>
            <c:showVal val="0"/>
            <c:showCatName val="0"/>
            <c:showSerName val="1"/>
            <c:showPercent val="0"/>
            <c:showBubbleSize val="0"/>
            <c:showLeaderLines val="0"/>
          </c:dLbls>
          <c:cat>
            <c:numRef>
              <c:f>'uppdaterade prognos diagram '!$B$168:$Y$168</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'uppdaterade prognos diagram '!$B$172:$Y$172</c:f>
              <c:numCache>
                <c:formatCode>General</c:formatCode>
                <c:ptCount val="24"/>
                <c:pt idx="0">
                  <c:v>26430</c:v>
                </c:pt>
                <c:pt idx="1">
                  <c:v>27011</c:v>
                </c:pt>
                <c:pt idx="2">
                  <c:v>27611</c:v>
                </c:pt>
                <c:pt idx="3">
                  <c:v>28531</c:v>
                </c:pt>
                <c:pt idx="4">
                  <c:v>29725</c:v>
                </c:pt>
                <c:pt idx="5">
                  <c:v>31212</c:v>
                </c:pt>
                <c:pt idx="6">
                  <c:v>32904</c:v>
                </c:pt>
                <c:pt idx="7">
                  <c:v>34032</c:v>
                </c:pt>
                <c:pt idx="8">
                  <c:v>34917</c:v>
                </c:pt>
                <c:pt idx="9">
                  <c:v>35347</c:v>
                </c:pt>
                <c:pt idx="10">
                  <c:v>35458</c:v>
                </c:pt>
                <c:pt idx="11">
                  <c:v>35201</c:v>
                </c:pt>
                <c:pt idx="12">
                  <c:v>34235</c:v>
                </c:pt>
                <c:pt idx="13">
                  <c:v>33304</c:v>
                </c:pt>
                <c:pt idx="14">
                  <c:v>32764.346650785541</c:v>
                </c:pt>
                <c:pt idx="15">
                  <c:v>32619.130673225205</c:v>
                </c:pt>
                <c:pt idx="16">
                  <c:v>33071.877994762661</c:v>
                </c:pt>
                <c:pt idx="17">
                  <c:v>33809.140238183216</c:v>
                </c:pt>
                <c:pt idx="18">
                  <c:v>34791.309851089485</c:v>
                </c:pt>
                <c:pt idx="19">
                  <c:v>36072.354050218899</c:v>
                </c:pt>
                <c:pt idx="20">
                  <c:v>37230.839078747893</c:v>
                </c:pt>
                <c:pt idx="21">
                  <c:v>38455.431467263406</c:v>
                </c:pt>
                <c:pt idx="22">
                  <c:v>39667.475213600759</c:v>
                </c:pt>
                <c:pt idx="23">
                  <c:v>40854.393671242942</c:v>
                </c:pt>
              </c:numCache>
            </c:numRef>
          </c:val>
          <c:smooth val="0"/>
        </c:ser>
        <c:ser>
          <c:idx val="4"/>
          <c:order val="4"/>
          <c:tx>
            <c:strRef>
              <c:f>'uppdaterade prognos diagram '!$A$173</c:f>
              <c:strCache>
                <c:ptCount val="1"/>
                <c:pt idx="0">
                  <c:v>65-79 år</c:v>
                </c:pt>
              </c:strCache>
            </c:strRef>
          </c:tx>
          <c:marker>
            <c:symbol val="none"/>
          </c:marker>
          <c:dLbls>
            <c:dLbl>
              <c:idx val="21"/>
              <c:layout>
                <c:manualLayout>
                  <c:x val="-0.20256390875350008"/>
                  <c:y val="2.7777413240011664E-2"/>
                </c:manualLayout>
              </c:layout>
              <c:showLegendKey val="0"/>
              <c:showVal val="0"/>
              <c:showCatName val="0"/>
              <c:showSerName val="1"/>
              <c:showPercent val="0"/>
              <c:showBubbleSize val="0"/>
            </c:dLbl>
            <c:showLegendKey val="0"/>
            <c:showVal val="0"/>
            <c:showCatName val="0"/>
            <c:showSerName val="0"/>
            <c:showPercent val="0"/>
            <c:showBubbleSize val="0"/>
          </c:dLbls>
          <c:cat>
            <c:numRef>
              <c:f>'uppdaterade prognos diagram '!$B$168:$Y$168</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'uppdaterade prognos diagram '!$B$173:$Y$173</c:f>
              <c:numCache>
                <c:formatCode>General</c:formatCode>
                <c:ptCount val="24"/>
                <c:pt idx="0">
                  <c:v>78678</c:v>
                </c:pt>
                <c:pt idx="1">
                  <c:v>75749</c:v>
                </c:pt>
                <c:pt idx="2">
                  <c:v>73627</c:v>
                </c:pt>
                <c:pt idx="3">
                  <c:v>71747</c:v>
                </c:pt>
                <c:pt idx="4">
                  <c:v>70283</c:v>
                </c:pt>
                <c:pt idx="5">
                  <c:v>69404</c:v>
                </c:pt>
                <c:pt idx="6">
                  <c:v>69534</c:v>
                </c:pt>
                <c:pt idx="7">
                  <c:v>71039</c:v>
                </c:pt>
                <c:pt idx="8">
                  <c:v>73355</c:v>
                </c:pt>
                <c:pt idx="9">
                  <c:v>76747</c:v>
                </c:pt>
                <c:pt idx="10">
                  <c:v>80202</c:v>
                </c:pt>
                <c:pt idx="11">
                  <c:v>83726</c:v>
                </c:pt>
                <c:pt idx="12">
                  <c:v>87536</c:v>
                </c:pt>
                <c:pt idx="13">
                  <c:v>91555</c:v>
                </c:pt>
                <c:pt idx="14">
                  <c:v>94975.988627724859</c:v>
                </c:pt>
                <c:pt idx="15">
                  <c:v>98146.419102871063</c:v>
                </c:pt>
                <c:pt idx="16">
                  <c:v>101047.40374048977</c:v>
                </c:pt>
                <c:pt idx="17">
                  <c:v>104289.94674931544</c:v>
                </c:pt>
                <c:pt idx="18">
                  <c:v>107325.50031692874</c:v>
                </c:pt>
                <c:pt idx="19">
                  <c:v>110066.15742378407</c:v>
                </c:pt>
                <c:pt idx="20">
                  <c:v>113023.4870322388</c:v>
                </c:pt>
                <c:pt idx="21">
                  <c:v>115746.14219874355</c:v>
                </c:pt>
                <c:pt idx="22">
                  <c:v>117923.13990330158</c:v>
                </c:pt>
                <c:pt idx="23">
                  <c:v>119361.28497129682</c:v>
                </c:pt>
              </c:numCache>
            </c:numRef>
          </c:val>
          <c:smooth val="0"/>
        </c:ser>
        <c:ser>
          <c:idx val="5"/>
          <c:order val="5"/>
          <c:tx>
            <c:strRef>
              <c:f>'uppdaterade prognos diagram '!$A$174</c:f>
              <c:strCache>
                <c:ptCount val="1"/>
                <c:pt idx="0">
                  <c:v>80- år</c:v>
                </c:pt>
              </c:strCache>
            </c:strRef>
          </c:tx>
          <c:marker>
            <c:symbol val="none"/>
          </c:marker>
          <c:cat>
            <c:numRef>
              <c:f>'uppdaterade prognos diagram '!$B$168:$Y$168</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'uppdaterade prognos diagram '!$B$174:$Y$174</c:f>
              <c:numCache>
                <c:formatCode>General</c:formatCode>
                <c:ptCount val="24"/>
                <c:pt idx="0">
                  <c:v>42471</c:v>
                </c:pt>
                <c:pt idx="1">
                  <c:v>43164</c:v>
                </c:pt>
                <c:pt idx="2">
                  <c:v>43154</c:v>
                </c:pt>
                <c:pt idx="3">
                  <c:v>43288</c:v>
                </c:pt>
                <c:pt idx="4">
                  <c:v>43275</c:v>
                </c:pt>
                <c:pt idx="5">
                  <c:v>42978</c:v>
                </c:pt>
                <c:pt idx="6">
                  <c:v>42492</c:v>
                </c:pt>
                <c:pt idx="7">
                  <c:v>41648</c:v>
                </c:pt>
                <c:pt idx="8">
                  <c:v>41024</c:v>
                </c:pt>
                <c:pt idx="9">
                  <c:v>40310</c:v>
                </c:pt>
                <c:pt idx="10">
                  <c:v>39529</c:v>
                </c:pt>
                <c:pt idx="11">
                  <c:v>38761</c:v>
                </c:pt>
                <c:pt idx="12">
                  <c:v>37922</c:v>
                </c:pt>
                <c:pt idx="13">
                  <c:v>37132</c:v>
                </c:pt>
                <c:pt idx="14">
                  <c:v>36329.783467483423</c:v>
                </c:pt>
                <c:pt idx="15">
                  <c:v>35771.978190587055</c:v>
                </c:pt>
                <c:pt idx="16">
                  <c:v>35420.439895382435</c:v>
                </c:pt>
                <c:pt idx="17">
                  <c:v>35227.610357905949</c:v>
                </c:pt>
                <c:pt idx="18">
                  <c:v>35361.832631747347</c:v>
                </c:pt>
                <c:pt idx="19">
                  <c:v>35665.403163411058</c:v>
                </c:pt>
                <c:pt idx="20">
                  <c:v>36087.774842639163</c:v>
                </c:pt>
                <c:pt idx="21">
                  <c:v>36876.980097834901</c:v>
                </c:pt>
                <c:pt idx="22">
                  <c:v>38343.847694338918</c:v>
                </c:pt>
                <c:pt idx="23">
                  <c:v>40296.592850524699</c:v>
                </c:pt>
              </c:numCache>
            </c:numRef>
          </c:val>
          <c:smooth val="0"/>
        </c:ser>
        <c:dLbls>
          <c:showLegendKey val="0"/>
          <c:showVal val="0"/>
          <c:showCatName val="0"/>
          <c:showSerName val="0"/>
          <c:showPercent val="0"/>
          <c:showBubbleSize val="0"/>
        </c:dLbls>
        <c:marker val="1"/>
        <c:smooth val="0"/>
        <c:axId val="117506432"/>
        <c:axId val="109243008"/>
      </c:lineChart>
      <c:catAx>
        <c:axId val="109186432"/>
        <c:scaling>
          <c:orientation val="minMax"/>
        </c:scaling>
        <c:delete val="0"/>
        <c:axPos val="b"/>
        <c:numFmt formatCode="General" sourceLinked="1"/>
        <c:majorTickMark val="out"/>
        <c:minorTickMark val="none"/>
        <c:tickLblPos val="nextTo"/>
        <c:txPr>
          <a:bodyPr rot="5400000" vert="horz"/>
          <a:lstStyle/>
          <a:p>
            <a:pPr>
              <a:defRPr/>
            </a:pPr>
            <a:endParaRPr lang="sv-SE"/>
          </a:p>
        </c:txPr>
        <c:crossAx val="109241472"/>
        <c:crossesAt val="-6"/>
        <c:auto val="1"/>
        <c:lblAlgn val="ctr"/>
        <c:lblOffset val="100"/>
        <c:tickLblSkip val="2"/>
        <c:noMultiLvlLbl val="0"/>
      </c:catAx>
      <c:valAx>
        <c:axId val="109241472"/>
        <c:scaling>
          <c:orientation val="minMax"/>
          <c:max val="120000"/>
          <c:min val="0"/>
        </c:scaling>
        <c:delete val="0"/>
        <c:axPos val="l"/>
        <c:majorGridlines/>
        <c:numFmt formatCode="#,##0" sourceLinked="0"/>
        <c:majorTickMark val="out"/>
        <c:minorTickMark val="none"/>
        <c:tickLblPos val="nextTo"/>
        <c:crossAx val="109186432"/>
        <c:crosses val="autoZero"/>
        <c:crossBetween val="between"/>
      </c:valAx>
      <c:valAx>
        <c:axId val="109243008"/>
        <c:scaling>
          <c:orientation val="minMax"/>
          <c:max val="120000"/>
          <c:min val="0"/>
        </c:scaling>
        <c:delete val="0"/>
        <c:axPos val="r"/>
        <c:numFmt formatCode="#,##0" sourceLinked="0"/>
        <c:majorTickMark val="out"/>
        <c:minorTickMark val="none"/>
        <c:tickLblPos val="nextTo"/>
        <c:crossAx val="117506432"/>
        <c:crosses val="max"/>
        <c:crossBetween val="between"/>
      </c:valAx>
      <c:catAx>
        <c:axId val="117506432"/>
        <c:scaling>
          <c:orientation val="minMax"/>
        </c:scaling>
        <c:delete val="1"/>
        <c:axPos val="b"/>
        <c:numFmt formatCode="General" sourceLinked="1"/>
        <c:majorTickMark val="out"/>
        <c:minorTickMark val="none"/>
        <c:tickLblPos val="none"/>
        <c:crossAx val="109243008"/>
        <c:crossesAt val="0"/>
        <c:auto val="1"/>
        <c:lblAlgn val="ctr"/>
        <c:lblOffset val="100"/>
        <c:noMultiLvlLbl val="0"/>
      </c:catAx>
    </c:plotArea>
    <c:plotVisOnly val="1"/>
    <c:dispBlanksAs val="gap"/>
    <c:showDLblsOverMax val="0"/>
  </c:chart>
  <c:spPr>
    <a:ln>
      <a:noFill/>
    </a:ln>
  </c:sp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strRef>
              <c:f>Blad1!$B$2</c:f>
              <c:strCache>
                <c:ptCount val="1"/>
                <c:pt idx="0">
                  <c:v>1-5 år</c:v>
                </c:pt>
              </c:strCache>
            </c:strRef>
          </c:tx>
          <c:spPr>
            <a:ln>
              <a:prstDash val="dash"/>
            </a:ln>
          </c:spPr>
          <c:marker>
            <c:symbol val="none"/>
          </c:marker>
          <c:cat>
            <c:numRef>
              <c:f>Blad1!$A$3:$A$13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Blad1!$B$3:$B$13</c:f>
              <c:numCache>
                <c:formatCode>#,##0</c:formatCode>
                <c:ptCount val="11"/>
                <c:pt idx="0">
                  <c:v>59425</c:v>
                </c:pt>
                <c:pt idx="1">
                  <c:v>60170.886363780286</c:v>
                </c:pt>
                <c:pt idx="2">
                  <c:v>60805.649183500442</c:v>
                </c:pt>
                <c:pt idx="3">
                  <c:v>61311.517419208845</c:v>
                </c:pt>
                <c:pt idx="4">
                  <c:v>62269.847011312457</c:v>
                </c:pt>
                <c:pt idx="5">
                  <c:v>63220.111633367153</c:v>
                </c:pt>
                <c:pt idx="6">
                  <c:v>64201.72589673513</c:v>
                </c:pt>
                <c:pt idx="7">
                  <c:v>65107.594861889833</c:v>
                </c:pt>
                <c:pt idx="8">
                  <c:v>65899.566461969254</c:v>
                </c:pt>
                <c:pt idx="9">
                  <c:v>66629.276552853247</c:v>
                </c:pt>
                <c:pt idx="10">
                  <c:v>67311.556336173031</c:v>
                </c:pt>
              </c:numCache>
            </c:numRef>
          </c:val>
          <c:smooth val="0"/>
        </c:ser>
        <c:ser>
          <c:idx val="2"/>
          <c:order val="1"/>
          <c:tx>
            <c:strRef>
              <c:f>Blad1!$C$2</c:f>
              <c:strCache>
                <c:ptCount val="1"/>
                <c:pt idx="0">
                  <c:v>6-12 år</c:v>
                </c:pt>
              </c:strCache>
            </c:strRef>
          </c:tx>
          <c:spPr>
            <a:ln>
              <a:prstDash val="sysDot"/>
            </a:ln>
          </c:spPr>
          <c:marker>
            <c:symbol val="none"/>
          </c:marker>
          <c:cat>
            <c:numRef>
              <c:f>Blad1!$A$3:$A$13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Blad1!$C$3:$C$13</c:f>
              <c:numCache>
                <c:formatCode>0</c:formatCode>
                <c:ptCount val="11"/>
                <c:pt idx="0" formatCode="General">
                  <c:v>63135</c:v>
                </c:pt>
                <c:pt idx="1">
                  <c:v>65973.876958139081</c:v>
                </c:pt>
                <c:pt idx="2">
                  <c:v>68534.514723172339</c:v>
                </c:pt>
                <c:pt idx="3">
                  <c:v>70973.328248995953</c:v>
                </c:pt>
                <c:pt idx="4">
                  <c:v>72786.994846997404</c:v>
                </c:pt>
                <c:pt idx="5">
                  <c:v>74441.917418991798</c:v>
                </c:pt>
                <c:pt idx="6">
                  <c:v>75723.219845935833</c:v>
                </c:pt>
                <c:pt idx="7">
                  <c:v>76794.820975822353</c:v>
                </c:pt>
                <c:pt idx="8">
                  <c:v>77829.102332881477</c:v>
                </c:pt>
                <c:pt idx="9">
                  <c:v>78736.170948314088</c:v>
                </c:pt>
                <c:pt idx="10">
                  <c:v>79468.008247378209</c:v>
                </c:pt>
              </c:numCache>
            </c:numRef>
          </c:val>
          <c:smooth val="0"/>
        </c:ser>
        <c:ser>
          <c:idx val="3"/>
          <c:order val="2"/>
          <c:tx>
            <c:strRef>
              <c:f>Blad1!$D$2</c:f>
              <c:strCache>
                <c:ptCount val="1"/>
                <c:pt idx="0">
                  <c:v>13-15 år</c:v>
                </c:pt>
              </c:strCache>
            </c:strRef>
          </c:tx>
          <c:spPr>
            <a:ln>
              <a:prstDash val="dashDot"/>
            </a:ln>
          </c:spPr>
          <c:marker>
            <c:symbol val="none"/>
          </c:marker>
          <c:cat>
            <c:numRef>
              <c:f>Blad1!$A$3:$A$13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Blad1!$D$3:$D$13</c:f>
              <c:numCache>
                <c:formatCode>0</c:formatCode>
                <c:ptCount val="11"/>
                <c:pt idx="0" formatCode="General">
                  <c:v>22584</c:v>
                </c:pt>
                <c:pt idx="1">
                  <c:v>23204.121884939705</c:v>
                </c:pt>
                <c:pt idx="2">
                  <c:v>24227.905001472995</c:v>
                </c:pt>
                <c:pt idx="3">
                  <c:v>25266.470908239215</c:v>
                </c:pt>
                <c:pt idx="4">
                  <c:v>26429.381261735041</c:v>
                </c:pt>
                <c:pt idx="5">
                  <c:v>27368.623766777906</c:v>
                </c:pt>
                <c:pt idx="6">
                  <c:v>28348.65214843482</c:v>
                </c:pt>
                <c:pt idx="7">
                  <c:v>29411.58759981062</c:v>
                </c:pt>
                <c:pt idx="8">
                  <c:v>30428.208897908695</c:v>
                </c:pt>
                <c:pt idx="9">
                  <c:v>31251.031886640929</c:v>
                </c:pt>
                <c:pt idx="10">
                  <c:v>32029.669358656327</c:v>
                </c:pt>
              </c:numCache>
            </c:numRef>
          </c:val>
          <c:smooth val="0"/>
        </c:ser>
        <c:ser>
          <c:idx val="4"/>
          <c:order val="3"/>
          <c:tx>
            <c:strRef>
              <c:f>Blad1!$E$2</c:f>
              <c:strCache>
                <c:ptCount val="1"/>
                <c:pt idx="0">
                  <c:v>16-18 år</c:v>
                </c:pt>
              </c:strCache>
            </c:strRef>
          </c:tx>
          <c:marker>
            <c:symbol val="none"/>
          </c:marker>
          <c:cat>
            <c:numRef>
              <c:f>Blad1!$A$3:$A$13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Blad1!$E$3:$E$13</c:f>
              <c:numCache>
                <c:formatCode>#,##0</c:formatCode>
                <c:ptCount val="11"/>
                <c:pt idx="0">
                  <c:v>24028</c:v>
                </c:pt>
                <c:pt idx="1">
                  <c:v>23799.656727497226</c:v>
                </c:pt>
                <c:pt idx="2">
                  <c:v>23856.134023610975</c:v>
                </c:pt>
                <c:pt idx="3">
                  <c:v>24497.789860441655</c:v>
                </c:pt>
                <c:pt idx="4">
                  <c:v>25059.007753480277</c:v>
                </c:pt>
                <c:pt idx="5">
                  <c:v>25982.325032946879</c:v>
                </c:pt>
                <c:pt idx="6">
                  <c:v>26928.014592673975</c:v>
                </c:pt>
                <c:pt idx="7">
                  <c:v>27978.00970097</c:v>
                </c:pt>
                <c:pt idx="8">
                  <c:v>28822.921677500442</c:v>
                </c:pt>
                <c:pt idx="9">
                  <c:v>29700.319411486093</c:v>
                </c:pt>
                <c:pt idx="10">
                  <c:v>30662.922106286671</c:v>
                </c:pt>
              </c:numCache>
            </c:numRef>
          </c:val>
          <c:smooth val="0"/>
        </c:ser>
        <c:dLbls>
          <c:showLegendKey val="0"/>
          <c:showVal val="0"/>
          <c:showCatName val="0"/>
          <c:showSerName val="0"/>
          <c:showPercent val="0"/>
          <c:showBubbleSize val="0"/>
        </c:dLbls>
        <c:marker val="1"/>
        <c:smooth val="0"/>
        <c:axId val="117881856"/>
        <c:axId val="117895936"/>
      </c:lineChart>
      <c:catAx>
        <c:axId val="117881856"/>
        <c:scaling>
          <c:orientation val="minMax"/>
        </c:scaling>
        <c:delete val="0"/>
        <c:axPos val="b"/>
        <c:numFmt formatCode="General" sourceLinked="1"/>
        <c:majorTickMark val="out"/>
        <c:minorTickMark val="none"/>
        <c:tickLblPos val="nextTo"/>
        <c:crossAx val="117895936"/>
        <c:crosses val="autoZero"/>
        <c:auto val="1"/>
        <c:lblAlgn val="ctr"/>
        <c:lblOffset val="100"/>
        <c:noMultiLvlLbl val="0"/>
      </c:catAx>
      <c:valAx>
        <c:axId val="117895936"/>
        <c:scaling>
          <c:orientation val="minMax"/>
        </c:scaling>
        <c:delete val="0"/>
        <c:axPos val="l"/>
        <c:majorGridlines>
          <c:spPr>
            <a:ln>
              <a:prstDash val="sysDot"/>
            </a:ln>
          </c:spPr>
        </c:majorGridlines>
        <c:numFmt formatCode="#,##0" sourceLinked="1"/>
        <c:majorTickMark val="out"/>
        <c:minorTickMark val="none"/>
        <c:tickLblPos val="nextTo"/>
        <c:crossAx val="117881856"/>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94021711681407"/>
          <c:y val="8.8632221758300045E-2"/>
          <c:w val="0.59721738352983755"/>
          <c:h val="0.78992384017268413"/>
        </c:manualLayout>
      </c:layout>
      <c:lineChart>
        <c:grouping val="standard"/>
        <c:varyColors val="0"/>
        <c:ser>
          <c:idx val="0"/>
          <c:order val="0"/>
          <c:tx>
            <c:strRef>
              <c:f>Underlag!$A$4</c:f>
              <c:strCache>
                <c:ptCount val="1"/>
                <c:pt idx="0">
                  <c:v>Förskoleverks. och skolbarnomsorg</c:v>
                </c:pt>
              </c:strCache>
            </c:strRef>
          </c:tx>
          <c:spPr>
            <a:ln>
              <a:solidFill>
                <a:schemeClr val="accent3">
                  <a:lumMod val="75000"/>
                </a:schemeClr>
              </a:solidFill>
            </a:ln>
          </c:spPr>
          <c:marker>
            <c:symbol val="none"/>
          </c:marker>
          <c:cat>
            <c:numRef>
              <c:f>Underlag!$B$3:$K$3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Underlag!$B$4:$K$4</c:f>
              <c:numCache>
                <c:formatCode>#,##0</c:formatCode>
                <c:ptCount val="10"/>
                <c:pt idx="0">
                  <c:v>17355.077837163699</c:v>
                </c:pt>
                <c:pt idx="1">
                  <c:v>17786.944412806053</c:v>
                </c:pt>
                <c:pt idx="2">
                  <c:v>18083.540185407306</c:v>
                </c:pt>
                <c:pt idx="3">
                  <c:v>18296.920593322069</c:v>
                </c:pt>
                <c:pt idx="4">
                  <c:v>18522.666290934372</c:v>
                </c:pt>
                <c:pt idx="5">
                  <c:v>18712.321483051106</c:v>
                </c:pt>
                <c:pt idx="6">
                  <c:v>18835.197676861349</c:v>
                </c:pt>
                <c:pt idx="7">
                  <c:v>18945.38086466505</c:v>
                </c:pt>
                <c:pt idx="8">
                  <c:v>19048.653309137811</c:v>
                </c:pt>
                <c:pt idx="9">
                  <c:v>19143.550660968536</c:v>
                </c:pt>
              </c:numCache>
            </c:numRef>
          </c:val>
          <c:smooth val="0"/>
        </c:ser>
        <c:ser>
          <c:idx val="4"/>
          <c:order val="1"/>
          <c:tx>
            <c:strRef>
              <c:f>Underlag!$A$5</c:f>
              <c:strCache>
                <c:ptCount val="1"/>
                <c:pt idx="0">
                  <c:v>Grundskola</c:v>
                </c:pt>
              </c:strCache>
            </c:strRef>
          </c:tx>
          <c:spPr>
            <a:ln>
              <a:solidFill>
                <a:schemeClr val="bg1">
                  <a:lumMod val="65000"/>
                </a:schemeClr>
              </a:solidFill>
            </a:ln>
          </c:spPr>
          <c:marker>
            <c:symbol val="none"/>
          </c:marker>
          <c:cat>
            <c:numRef>
              <c:f>Underlag!$B$3:$K$3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Underlag!$B$5:$K$5</c:f>
              <c:numCache>
                <c:formatCode>#,##0</c:formatCode>
                <c:ptCount val="10"/>
                <c:pt idx="0">
                  <c:v>11450.95056985741</c:v>
                </c:pt>
                <c:pt idx="1">
                  <c:v>12018.998207520501</c:v>
                </c:pt>
                <c:pt idx="2">
                  <c:v>12501.208727178167</c:v>
                </c:pt>
                <c:pt idx="3">
                  <c:v>12961.042977708359</c:v>
                </c:pt>
                <c:pt idx="4">
                  <c:v>13400.056571560943</c:v>
                </c:pt>
                <c:pt idx="5">
                  <c:v>13751.451024172497</c:v>
                </c:pt>
                <c:pt idx="6">
                  <c:v>14062.705112180935</c:v>
                </c:pt>
                <c:pt idx="7">
                  <c:v>14346.190381608714</c:v>
                </c:pt>
                <c:pt idx="8">
                  <c:v>14595.979450035989</c:v>
                </c:pt>
                <c:pt idx="9">
                  <c:v>14787.406001374706</c:v>
                </c:pt>
              </c:numCache>
            </c:numRef>
          </c:val>
          <c:smooth val="0"/>
        </c:ser>
        <c:ser>
          <c:idx val="3"/>
          <c:order val="2"/>
          <c:tx>
            <c:strRef>
              <c:f>Underlag!$A$8</c:f>
              <c:strCache>
                <c:ptCount val="1"/>
                <c:pt idx="0">
                  <c:v>Omsorg om funktionsnedsatta</c:v>
                </c:pt>
              </c:strCache>
            </c:strRef>
          </c:tx>
          <c:spPr>
            <a:ln>
              <a:solidFill>
                <a:schemeClr val="accent2"/>
              </a:solidFill>
            </a:ln>
          </c:spPr>
          <c:marker>
            <c:symbol val="none"/>
          </c:marker>
          <c:cat>
            <c:numRef>
              <c:f>Underlag!$B$3:$K$3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Underlag!$B$8:$K$8</c:f>
              <c:numCache>
                <c:formatCode>#,##0</c:formatCode>
                <c:ptCount val="10"/>
                <c:pt idx="0">
                  <c:v>12504.32729344331</c:v>
                </c:pt>
                <c:pt idx="1">
                  <c:v>12807.480078335844</c:v>
                </c:pt>
                <c:pt idx="2">
                  <c:v>13036.986128155</c:v>
                </c:pt>
                <c:pt idx="3">
                  <c:v>13255.177141885011</c:v>
                </c:pt>
                <c:pt idx="4">
                  <c:v>13453.589413951069</c:v>
                </c:pt>
                <c:pt idx="5">
                  <c:v>13643.502151739316</c:v>
                </c:pt>
                <c:pt idx="6">
                  <c:v>13829.230045825929</c:v>
                </c:pt>
                <c:pt idx="7">
                  <c:v>14001.919366700391</c:v>
                </c:pt>
                <c:pt idx="8">
                  <c:v>14162.739956680976</c:v>
                </c:pt>
                <c:pt idx="9">
                  <c:v>14308.434657971697</c:v>
                </c:pt>
              </c:numCache>
            </c:numRef>
          </c:val>
          <c:smooth val="0"/>
        </c:ser>
        <c:ser>
          <c:idx val="7"/>
          <c:order val="3"/>
          <c:tx>
            <c:strRef>
              <c:f>Underlag!$A$11</c:f>
              <c:strCache>
                <c:ptCount val="1"/>
                <c:pt idx="0">
                  <c:v>Äldreomsorg-vård och omsorgsboende</c:v>
                </c:pt>
              </c:strCache>
            </c:strRef>
          </c:tx>
          <c:spPr>
            <a:ln>
              <a:solidFill>
                <a:srgbClr val="FF6600"/>
              </a:solidFill>
            </a:ln>
          </c:spPr>
          <c:marker>
            <c:symbol val="none"/>
          </c:marker>
          <c:cat>
            <c:numRef>
              <c:f>Underlag!$B$3:$K$3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Underlag!$B$11:$K$11</c:f>
              <c:numCache>
                <c:formatCode>#,##0</c:formatCode>
                <c:ptCount val="10"/>
                <c:pt idx="0">
                  <c:v>7121.6534231528422</c:v>
                </c:pt>
                <c:pt idx="1">
                  <c:v>7200.4666512375479</c:v>
                </c:pt>
                <c:pt idx="2">
                  <c:v>7261.8503690762554</c:v>
                </c:pt>
                <c:pt idx="3">
                  <c:v>7312.9597336193992</c:v>
                </c:pt>
                <c:pt idx="4">
                  <c:v>7354.5238937001013</c:v>
                </c:pt>
                <c:pt idx="5">
                  <c:v>7429.3312692667669</c:v>
                </c:pt>
                <c:pt idx="6">
                  <c:v>7511.7440508788095</c:v>
                </c:pt>
                <c:pt idx="7">
                  <c:v>7601.511219239148</c:v>
                </c:pt>
                <c:pt idx="8">
                  <c:v>7725.889729625218</c:v>
                </c:pt>
                <c:pt idx="9">
                  <c:v>7893.1346921219074</c:v>
                </c:pt>
              </c:numCache>
            </c:numRef>
          </c:val>
          <c:smooth val="0"/>
        </c:ser>
        <c:ser>
          <c:idx val="5"/>
          <c:order val="4"/>
          <c:tx>
            <c:strRef>
              <c:f>Underlag!$A$7</c:f>
              <c:strCache>
                <c:ptCount val="1"/>
                <c:pt idx="0">
                  <c:v>Individ- och familjeomsorg</c:v>
                </c:pt>
              </c:strCache>
            </c:strRef>
          </c:tx>
          <c:spPr>
            <a:ln>
              <a:solidFill>
                <a:schemeClr val="tx2">
                  <a:lumMod val="60000"/>
                  <a:lumOff val="40000"/>
                </a:schemeClr>
              </a:solidFill>
            </a:ln>
          </c:spPr>
          <c:marker>
            <c:symbol val="none"/>
          </c:marker>
          <c:cat>
            <c:numRef>
              <c:f>Underlag!$B$3:$K$3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Underlag!$B$7:$K$7</c:f>
              <c:numCache>
                <c:formatCode>#,##0</c:formatCode>
                <c:ptCount val="10"/>
                <c:pt idx="0">
                  <c:v>5445.7983110172472</c:v>
                </c:pt>
                <c:pt idx="1">
                  <c:v>5586.7184323944157</c:v>
                </c:pt>
                <c:pt idx="2">
                  <c:v>5680.2273768077521</c:v>
                </c:pt>
                <c:pt idx="3">
                  <c:v>5765.8210689783828</c:v>
                </c:pt>
                <c:pt idx="4">
                  <c:v>5840.5117650840975</c:v>
                </c:pt>
                <c:pt idx="5">
                  <c:v>5911.6613396600869</c:v>
                </c:pt>
                <c:pt idx="6">
                  <c:v>5980.5410833653405</c:v>
                </c:pt>
                <c:pt idx="7">
                  <c:v>6043.6027790275339</c:v>
                </c:pt>
                <c:pt idx="8">
                  <c:v>6101.0501075235734</c:v>
                </c:pt>
                <c:pt idx="9">
                  <c:v>6153.2008574533565</c:v>
                </c:pt>
              </c:numCache>
            </c:numRef>
          </c:val>
          <c:smooth val="0"/>
        </c:ser>
        <c:ser>
          <c:idx val="6"/>
          <c:order val="5"/>
          <c:tx>
            <c:strRef>
              <c:f>Underlag!$A$10</c:f>
              <c:strCache>
                <c:ptCount val="1"/>
                <c:pt idx="0">
                  <c:v>Äldreomsorg-hemtjänst</c:v>
                </c:pt>
              </c:strCache>
            </c:strRef>
          </c:tx>
          <c:spPr>
            <a:ln>
              <a:solidFill>
                <a:srgbClr val="FF0000"/>
              </a:solidFill>
            </a:ln>
          </c:spPr>
          <c:marker>
            <c:symbol val="none"/>
          </c:marker>
          <c:cat>
            <c:numRef>
              <c:f>Underlag!$B$3:$K$3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Underlag!$B$10:$K$10</c:f>
              <c:numCache>
                <c:formatCode>#,##0</c:formatCode>
                <c:ptCount val="10"/>
                <c:pt idx="0">
                  <c:v>5168.7708365152475</c:v>
                </c:pt>
                <c:pt idx="1">
                  <c:v>5211.9844902187651</c:v>
                </c:pt>
                <c:pt idx="2">
                  <c:v>5253.5710030425216</c:v>
                </c:pt>
                <c:pt idx="3">
                  <c:v>5298.7409297173263</c:v>
                </c:pt>
                <c:pt idx="4">
                  <c:v>5349.2806054295461</c:v>
                </c:pt>
                <c:pt idx="5">
                  <c:v>5421.9862741870884</c:v>
                </c:pt>
                <c:pt idx="6">
                  <c:v>5503.715958927156</c:v>
                </c:pt>
                <c:pt idx="7">
                  <c:v>5592.9196367867689</c:v>
                </c:pt>
                <c:pt idx="8">
                  <c:v>5704.8185171157684</c:v>
                </c:pt>
                <c:pt idx="9">
                  <c:v>5848.0948252661419</c:v>
                </c:pt>
              </c:numCache>
            </c:numRef>
          </c:val>
          <c:smooth val="0"/>
        </c:ser>
        <c:ser>
          <c:idx val="1"/>
          <c:order val="6"/>
          <c:tx>
            <c:strRef>
              <c:f>Underlag!$A$6</c:f>
              <c:strCache>
                <c:ptCount val="1"/>
                <c:pt idx="0">
                  <c:v>Gymnasieskola</c:v>
                </c:pt>
              </c:strCache>
            </c:strRef>
          </c:tx>
          <c:spPr>
            <a:ln>
              <a:solidFill>
                <a:schemeClr val="tx1">
                  <a:lumMod val="65000"/>
                  <a:lumOff val="35000"/>
                </a:schemeClr>
              </a:solidFill>
            </a:ln>
          </c:spPr>
          <c:marker>
            <c:symbol val="none"/>
          </c:marker>
          <c:cat>
            <c:numRef>
              <c:f>Underlag!$B$3:$K$3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Underlag!$B$6:$K$6</c:f>
              <c:numCache>
                <c:formatCode>#,##0</c:formatCode>
                <c:ptCount val="10"/>
                <c:pt idx="0">
                  <c:v>3878.6152710765627</c:v>
                </c:pt>
                <c:pt idx="1">
                  <c:v>3891.909494061445</c:v>
                </c:pt>
                <c:pt idx="2">
                  <c:v>3895.9159045400879</c:v>
                </c:pt>
                <c:pt idx="3">
                  <c:v>3989.0352146889941</c:v>
                </c:pt>
                <c:pt idx="4">
                  <c:v>4066.256282536322</c:v>
                </c:pt>
                <c:pt idx="5">
                  <c:v>4208.9653026277228</c:v>
                </c:pt>
                <c:pt idx="6">
                  <c:v>4352.9892105420431</c:v>
                </c:pt>
                <c:pt idx="7">
                  <c:v>4515.5637576306226</c:v>
                </c:pt>
                <c:pt idx="8">
                  <c:v>4640.6672894095354</c:v>
                </c:pt>
                <c:pt idx="9">
                  <c:v>4770.6154585190325</c:v>
                </c:pt>
              </c:numCache>
            </c:numRef>
          </c:val>
          <c:smooth val="0"/>
        </c:ser>
        <c:dLbls>
          <c:showLegendKey val="0"/>
          <c:showVal val="0"/>
          <c:showCatName val="0"/>
          <c:showSerName val="0"/>
          <c:showPercent val="0"/>
          <c:showBubbleSize val="0"/>
        </c:dLbls>
        <c:marker val="1"/>
        <c:smooth val="0"/>
        <c:axId val="118794496"/>
        <c:axId val="118804480"/>
      </c:lineChart>
      <c:catAx>
        <c:axId val="118794496"/>
        <c:scaling>
          <c:orientation val="minMax"/>
        </c:scaling>
        <c:delete val="0"/>
        <c:axPos val="b"/>
        <c:numFmt formatCode="General" sourceLinked="1"/>
        <c:majorTickMark val="out"/>
        <c:minorTickMark val="none"/>
        <c:tickLblPos val="nextTo"/>
        <c:txPr>
          <a:bodyPr/>
          <a:lstStyle/>
          <a:p>
            <a:pPr>
              <a:defRPr sz="800"/>
            </a:pPr>
            <a:endParaRPr lang="sv-SE"/>
          </a:p>
        </c:txPr>
        <c:crossAx val="118804480"/>
        <c:crosses val="autoZero"/>
        <c:auto val="1"/>
        <c:lblAlgn val="ctr"/>
        <c:lblOffset val="100"/>
        <c:tickLblSkip val="1"/>
        <c:noMultiLvlLbl val="0"/>
      </c:catAx>
      <c:valAx>
        <c:axId val="118804480"/>
        <c:scaling>
          <c:orientation val="minMax"/>
          <c:max val="20000"/>
        </c:scaling>
        <c:delete val="0"/>
        <c:axPos val="l"/>
        <c:majorGridlines>
          <c:spPr>
            <a:ln>
              <a:prstDash val="dash"/>
            </a:ln>
          </c:spPr>
        </c:majorGridlines>
        <c:title>
          <c:tx>
            <c:rich>
              <a:bodyPr rot="-5400000" vert="horz"/>
              <a:lstStyle/>
              <a:p>
                <a:pPr>
                  <a:defRPr sz="800"/>
                </a:pPr>
                <a:r>
                  <a:rPr lang="sv-SE" sz="800" b="0"/>
                  <a:t>Individer</a:t>
                </a:r>
              </a:p>
            </c:rich>
          </c:tx>
          <c:layout>
            <c:manualLayout>
              <c:xMode val="edge"/>
              <c:yMode val="edge"/>
              <c:x val="1.2679248427279924E-2"/>
              <c:y val="0.41107101195683871"/>
            </c:manualLayout>
          </c:layout>
          <c:overlay val="0"/>
        </c:title>
        <c:numFmt formatCode="#,##0" sourceLinked="1"/>
        <c:majorTickMark val="out"/>
        <c:minorTickMark val="none"/>
        <c:tickLblPos val="nextTo"/>
        <c:txPr>
          <a:bodyPr/>
          <a:lstStyle/>
          <a:p>
            <a:pPr>
              <a:defRPr sz="800" baseline="0"/>
            </a:pPr>
            <a:endParaRPr lang="sv-SE"/>
          </a:p>
        </c:txPr>
        <c:crossAx val="118794496"/>
        <c:crosses val="autoZero"/>
        <c:crossBetween val="between"/>
        <c:majorUnit val="2000"/>
      </c:valAx>
    </c:plotArea>
    <c:legend>
      <c:legendPos val="r"/>
      <c:layout>
        <c:manualLayout>
          <c:xMode val="edge"/>
          <c:yMode val="edge"/>
          <c:x val="0.76309366661774447"/>
          <c:y val="6.7025550377631374E-2"/>
          <c:w val="0.23690633338225559"/>
          <c:h val="0.89477763196267135"/>
        </c:manualLayout>
      </c:layout>
      <c:overlay val="0"/>
      <c:txPr>
        <a:bodyPr/>
        <a:lstStyle/>
        <a:p>
          <a:pPr>
            <a:defRPr sz="800"/>
          </a:pPr>
          <a:endParaRPr lang="sv-SE"/>
        </a:p>
      </c:txPr>
    </c:legend>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0.71569</cdr:x>
      <cdr:y>0.37138</cdr:y>
    </cdr:from>
    <cdr:to>
      <cdr:x>0.80112</cdr:x>
      <cdr:y>0.44686</cdr:y>
    </cdr:to>
    <cdr:sp macro="" textlink="">
      <cdr:nvSpPr>
        <cdr:cNvPr id="2" name="textruta 1"/>
        <cdr:cNvSpPr txBox="1"/>
      </cdr:nvSpPr>
      <cdr:spPr>
        <a:xfrm xmlns:a="http://schemas.openxmlformats.org/drawingml/2006/main">
          <a:off x="4232413" y="1018761"/>
          <a:ext cx="505239" cy="2070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v-SE" sz="1100"/>
        </a:p>
      </cdr:txBody>
    </cdr:sp>
  </cdr:relSizeAnchor>
  <cdr:relSizeAnchor xmlns:cdr="http://schemas.openxmlformats.org/drawingml/2006/chartDrawing">
    <cdr:from>
      <cdr:x>0.69468</cdr:x>
      <cdr:y>0.3593</cdr:y>
    </cdr:from>
    <cdr:to>
      <cdr:x>0.81803</cdr:x>
      <cdr:y>0.43478</cdr:y>
    </cdr:to>
    <cdr:sp macro="" textlink="">
      <cdr:nvSpPr>
        <cdr:cNvPr id="3" name="textruta 2"/>
        <cdr:cNvSpPr txBox="1"/>
      </cdr:nvSpPr>
      <cdr:spPr>
        <a:xfrm xmlns:a="http://schemas.openxmlformats.org/drawingml/2006/main">
          <a:off x="3509784" y="985631"/>
          <a:ext cx="623238" cy="2070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v-SE" sz="1000"/>
            <a:t>0-5 år</a:t>
          </a:r>
        </a:p>
      </cdr:txBody>
    </cdr:sp>
  </cdr:relSizeAnchor>
  <cdr:relSizeAnchor xmlns:cdr="http://schemas.openxmlformats.org/drawingml/2006/chartDrawing">
    <cdr:from>
      <cdr:x>0.5436</cdr:x>
      <cdr:y>0.66465</cdr:y>
    </cdr:from>
    <cdr:to>
      <cdr:x>0.6918</cdr:x>
      <cdr:y>0.74014</cdr:y>
    </cdr:to>
    <cdr:sp macro="" textlink="">
      <cdr:nvSpPr>
        <cdr:cNvPr id="4" name="textruta 1"/>
        <cdr:cNvSpPr txBox="1"/>
      </cdr:nvSpPr>
      <cdr:spPr>
        <a:xfrm xmlns:a="http://schemas.openxmlformats.org/drawingml/2006/main">
          <a:off x="2746501" y="1823279"/>
          <a:ext cx="748760" cy="2070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v-SE" sz="1000"/>
            <a:t>16-19 år</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0.0153</cdr:y>
    </cdr:from>
    <cdr:to>
      <cdr:x>0.04011</cdr:x>
      <cdr:y>0.07801</cdr:y>
    </cdr:to>
    <cdr:sp macro="" textlink="">
      <cdr:nvSpPr>
        <cdr:cNvPr id="3" name="textruta 1"/>
        <cdr:cNvSpPr txBox="1"/>
      </cdr:nvSpPr>
      <cdr:spPr>
        <a:xfrm xmlns:a="http://schemas.openxmlformats.org/drawingml/2006/main">
          <a:off x="0" y="76200"/>
          <a:ext cx="194870" cy="3123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v-SE" sz="800">
              <a:latin typeface="+mn-lt"/>
            </a:rPr>
            <a:t>%</a:t>
          </a:r>
        </a:p>
      </cdr:txBody>
    </cdr:sp>
  </cdr:relSizeAnchor>
</c:userShapes>
</file>

<file path=word/theme/theme1.xml><?xml version="1.0" encoding="utf-8"?>
<a:theme xmlns:a="http://schemas.openxmlformats.org/drawingml/2006/main" name="Office-tema">
  <a:themeElements>
    <a:clrScheme name="Stockholms stads färger">
      <a:dk1>
        <a:srgbClr val="683788"/>
      </a:dk1>
      <a:lt1>
        <a:srgbClr val="BCAAD0"/>
      </a:lt1>
      <a:dk2>
        <a:srgbClr val="007EC4"/>
      </a:dk2>
      <a:lt2>
        <a:srgbClr val="ACC7E9"/>
      </a:lt2>
      <a:accent1>
        <a:srgbClr val="E4B1C3"/>
      </a:accent1>
      <a:accent2>
        <a:srgbClr val="C40068"/>
      </a:accent2>
      <a:accent3>
        <a:srgbClr val="B6D7D3"/>
      </a:accent3>
      <a:accent4>
        <a:srgbClr val="289D93"/>
      </a:accent4>
      <a:accent5>
        <a:srgbClr val="CB5019"/>
      </a:accent5>
      <a:accent6>
        <a:srgbClr val="FFFFFF"/>
      </a:accent6>
      <a:hlink>
        <a:srgbClr val="007EC4"/>
      </a:hlink>
      <a:folHlink>
        <a:srgbClr val="683788"/>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STHLM_PROFIL">
    <a:dk1>
      <a:srgbClr val="000000"/>
    </a:dk1>
    <a:lt1>
      <a:srgbClr val="FFFFFF"/>
    </a:lt1>
    <a:dk2>
      <a:srgbClr val="0074BC"/>
    </a:dk2>
    <a:lt2>
      <a:srgbClr val="D1D3D4"/>
    </a:lt2>
    <a:accent1>
      <a:srgbClr val="009CDC"/>
    </a:accent1>
    <a:accent2>
      <a:srgbClr val="9FCBED"/>
    </a:accent2>
    <a:accent3>
      <a:srgbClr val="FFDF1A"/>
    </a:accent3>
    <a:accent4>
      <a:srgbClr val="FFEF6F"/>
    </a:accent4>
    <a:accent5>
      <a:srgbClr val="FDB812"/>
    </a:accent5>
    <a:accent6>
      <a:srgbClr val="6CB33E"/>
    </a:accent6>
    <a:hlink>
      <a:srgbClr val="005288"/>
    </a:hlink>
    <a:folHlink>
      <a:srgbClr val="005288"/>
    </a:folHlink>
  </a:clrScheme>
  <a:fontScheme name="Stockholms stads typsnitt">
    <a:majorFont>
      <a:latin typeface="Gill Sans MT"/>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CF58-0B23-4152-9B45-41432FC7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Tjut</Template>
  <TotalTime>0</TotalTime>
  <Pages>32</Pages>
  <Words>8540</Words>
  <Characters>45266</Characters>
  <Application>Microsoft Office Word</Application>
  <DocSecurity>4</DocSecurity>
  <Lines>377</Lines>
  <Paragraphs>107</Paragraphs>
  <ScaleCrop>false</ScaleCrop>
  <HeadingPairs>
    <vt:vector size="2" baseType="variant">
      <vt:variant>
        <vt:lpstr>Rubrik</vt:lpstr>
      </vt:variant>
      <vt:variant>
        <vt:i4>1</vt:i4>
      </vt:variant>
    </vt:vector>
  </HeadingPairs>
  <TitlesOfParts>
    <vt:vector size="1" baseType="lpstr">
      <vt:lpstr>Anvisningar</vt:lpstr>
    </vt:vector>
  </TitlesOfParts>
  <Company>Stockholms stad</Company>
  <LinksUpToDate>false</LinksUpToDate>
  <CharactersWithSpaces>53699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dc:title>
  <dc:creator>Mattias Westerlund</dc:creator>
  <cp:keywords>Dnr XXXXX</cp:keywords>
  <cp:lastModifiedBy>Markus Jonsson</cp:lastModifiedBy>
  <cp:revision>2</cp:revision>
  <cp:lastPrinted>2014-04-30T09:16:00Z</cp:lastPrinted>
  <dcterms:created xsi:type="dcterms:W3CDTF">2014-05-16T14:50:00Z</dcterms:created>
  <dcterms:modified xsi:type="dcterms:W3CDTF">2014-05-16T14:50:00Z</dcterms:modified>
  <cp:category>Tjänsteutlåtande</cp:category>
</cp:coreProperties>
</file>