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14"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52A6F6FE" wp14:editId="6A5E4B1B">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p>
    <w:p w:rsidR="00FA0314" w:rsidRDefault="00FA0314" w:rsidP="00FA0314">
      <w:pPr>
        <w:tabs>
          <w:tab w:val="left" w:pos="5963"/>
        </w:tabs>
        <w:jc w:val="both"/>
        <w:rPr>
          <w:rFonts w:ascii="Meta OT Book" w:hAnsi="Meta OT Book"/>
        </w:rPr>
      </w:pPr>
    </w:p>
    <w:p w:rsidR="00FA0314" w:rsidRPr="001F590D" w:rsidRDefault="00FA0314" w:rsidP="00FA0314">
      <w:pPr>
        <w:spacing w:after="120" w:line="360" w:lineRule="auto"/>
        <w:jc w:val="both"/>
        <w:rPr>
          <w:rFonts w:ascii="Meta OT Book" w:eastAsia="MS Mincho" w:hAnsi="Meta OT Book" w:cs="Times New Roman"/>
          <w:b/>
          <w:bCs/>
          <w:color w:val="2A594B"/>
          <w:sz w:val="24"/>
          <w:szCs w:val="24"/>
        </w:rPr>
      </w:pPr>
      <w:r w:rsidRPr="001F590D">
        <w:rPr>
          <w:rFonts w:ascii="Meta OT Book" w:eastAsia="MS Mincho" w:hAnsi="Meta OT Book" w:cs="Times New Roman"/>
          <w:b/>
          <w:bCs/>
          <w:color w:val="2A594B"/>
          <w:sz w:val="24"/>
          <w:szCs w:val="24"/>
        </w:rPr>
        <w:t xml:space="preserve">Stromüberschuss im Griff: Photovoltaik bleibt attraktiv  </w:t>
      </w:r>
    </w:p>
    <w:p w:rsidR="00BD7038" w:rsidRDefault="00FA0314" w:rsidP="00FA0314">
      <w:pPr>
        <w:spacing w:after="120" w:line="360" w:lineRule="auto"/>
        <w:jc w:val="both"/>
        <w:rPr>
          <w:rFonts w:ascii="Meta OT Book" w:eastAsia="MS Mincho" w:hAnsi="Meta OT Book" w:cs="Times New Roman"/>
          <w:bCs/>
          <w:color w:val="2A594B"/>
          <w:sz w:val="24"/>
          <w:szCs w:val="24"/>
        </w:rPr>
      </w:pPr>
      <w:r w:rsidRPr="00BD7038">
        <w:rPr>
          <w:rFonts w:ascii="Meta OT Book" w:eastAsia="MS Mincho" w:hAnsi="Meta OT Book" w:cs="Times New Roman"/>
          <w:bCs/>
          <w:color w:val="2A594B"/>
          <w:sz w:val="24"/>
          <w:szCs w:val="24"/>
        </w:rPr>
        <w:t>Reutlingen, 18.08.2025:</w:t>
      </w:r>
      <w:r w:rsidRPr="00FA0314">
        <w:rPr>
          <w:rFonts w:ascii="Meta OT Book" w:hAnsi="Meta OT Book"/>
        </w:rPr>
        <w:t xml:space="preserve"> </w:t>
      </w:r>
      <w:r>
        <w:rPr>
          <w:rFonts w:ascii="Meta OT Book" w:eastAsia="MS Mincho" w:hAnsi="Meta OT Book" w:cs="Times New Roman"/>
          <w:bCs/>
          <w:color w:val="2A594B"/>
          <w:sz w:val="24"/>
          <w:szCs w:val="24"/>
        </w:rPr>
        <w:t xml:space="preserve">Am 25. Februar trat das Solarspitzengesetz in Kraft. Damit haben sich einige </w:t>
      </w:r>
      <w:r w:rsidRPr="00C528E3">
        <w:rPr>
          <w:rFonts w:ascii="Meta OT Book" w:eastAsia="MS Mincho" w:hAnsi="Meta OT Book" w:cs="Times New Roman"/>
          <w:bCs/>
          <w:color w:val="2A594B"/>
          <w:sz w:val="24"/>
          <w:szCs w:val="24"/>
        </w:rPr>
        <w:t>Randbedingungen für die Vergütung von neuen P</w:t>
      </w:r>
      <w:r w:rsidR="00BD7038">
        <w:rPr>
          <w:rFonts w:ascii="Meta OT Book" w:eastAsia="MS Mincho" w:hAnsi="Meta OT Book" w:cs="Times New Roman"/>
          <w:bCs/>
          <w:color w:val="2A594B"/>
          <w:sz w:val="24"/>
          <w:szCs w:val="24"/>
        </w:rPr>
        <w:t>hotovoltaik</w:t>
      </w:r>
      <w:r w:rsidRPr="00C528E3">
        <w:rPr>
          <w:rFonts w:ascii="Meta OT Book" w:eastAsia="MS Mincho" w:hAnsi="Meta OT Book" w:cs="Times New Roman"/>
          <w:bCs/>
          <w:color w:val="2A594B"/>
          <w:sz w:val="24"/>
          <w:szCs w:val="24"/>
        </w:rPr>
        <w:t>-Anlagen</w:t>
      </w:r>
      <w:r>
        <w:rPr>
          <w:rFonts w:ascii="Meta OT Book" w:eastAsia="MS Mincho" w:hAnsi="Meta OT Book" w:cs="Times New Roman"/>
          <w:bCs/>
          <w:color w:val="2A594B"/>
          <w:sz w:val="24"/>
          <w:szCs w:val="24"/>
        </w:rPr>
        <w:t xml:space="preserve"> </w:t>
      </w:r>
      <w:r w:rsidR="00BD7038">
        <w:rPr>
          <w:rFonts w:ascii="Meta OT Book" w:eastAsia="MS Mincho" w:hAnsi="Meta OT Book" w:cs="Times New Roman"/>
          <w:bCs/>
          <w:color w:val="2A594B"/>
          <w:sz w:val="24"/>
          <w:szCs w:val="24"/>
        </w:rPr>
        <w:t xml:space="preserve">(PV-Anlagen) </w:t>
      </w:r>
      <w:r>
        <w:rPr>
          <w:rFonts w:ascii="Meta OT Book" w:eastAsia="MS Mincho" w:hAnsi="Meta OT Book" w:cs="Times New Roman"/>
          <w:bCs/>
          <w:color w:val="2A594B"/>
          <w:sz w:val="24"/>
          <w:szCs w:val="24"/>
        </w:rPr>
        <w:t>geändert</w:t>
      </w:r>
      <w:r w:rsidRPr="00C528E3">
        <w:rPr>
          <w:rFonts w:ascii="Meta OT Book" w:eastAsia="MS Mincho" w:hAnsi="Meta OT Book" w:cs="Times New Roman"/>
          <w:bCs/>
          <w:color w:val="2A594B"/>
          <w:sz w:val="24"/>
          <w:szCs w:val="24"/>
        </w:rPr>
        <w:t>.</w:t>
      </w:r>
      <w:r>
        <w:rPr>
          <w:rFonts w:ascii="Meta OT Book" w:eastAsia="MS Mincho" w:hAnsi="Meta OT Book" w:cs="Times New Roman"/>
          <w:bCs/>
          <w:color w:val="2A594B"/>
          <w:sz w:val="24"/>
          <w:szCs w:val="24"/>
        </w:rPr>
        <w:t xml:space="preserve"> Mit diesem Gesetz will der Gesetzgeber Netzüberlastungen durch zu hohe Stromeinspeisungen vermeiden. Denn PV-Anlagen produzieren oft mit hoher Gleichzeitigkeit, was zu Stromüberproduktion führen kann und damit das Netz belastet.</w:t>
      </w:r>
      <w:r w:rsidR="00BD7038">
        <w:rPr>
          <w:rFonts w:ascii="Meta OT Book" w:eastAsia="MS Mincho" w:hAnsi="Meta OT Book" w:cs="Times New Roman"/>
          <w:bCs/>
          <w:color w:val="2A594B"/>
          <w:sz w:val="24"/>
          <w:szCs w:val="24"/>
        </w:rPr>
        <w:t xml:space="preserve"> </w:t>
      </w:r>
      <w:r w:rsidRPr="001F590D">
        <w:rPr>
          <w:rFonts w:ascii="Meta OT Book" w:eastAsia="MS Mincho" w:hAnsi="Meta OT Book" w:cs="Times New Roman"/>
          <w:bCs/>
          <w:color w:val="2A594B"/>
          <w:sz w:val="24"/>
          <w:szCs w:val="24"/>
        </w:rPr>
        <w:t>Das Solarspitzengesetz schreibt</w:t>
      </w:r>
      <w:r>
        <w:rPr>
          <w:rFonts w:ascii="Meta OT Book" w:eastAsia="MS Mincho" w:hAnsi="Meta OT Book" w:cs="Times New Roman"/>
          <w:bCs/>
          <w:color w:val="2A594B"/>
          <w:sz w:val="24"/>
          <w:szCs w:val="24"/>
        </w:rPr>
        <w:t xml:space="preserve"> nun</w:t>
      </w:r>
      <w:r w:rsidRPr="001F590D">
        <w:rPr>
          <w:rFonts w:ascii="Meta OT Book" w:eastAsia="MS Mincho" w:hAnsi="Meta OT Book" w:cs="Times New Roman"/>
          <w:bCs/>
          <w:color w:val="2A594B"/>
          <w:sz w:val="24"/>
          <w:szCs w:val="24"/>
        </w:rPr>
        <w:t xml:space="preserve"> Maßnahmen zur Vermeidung von temporären Erzeugungsüberschüssen vor. </w:t>
      </w:r>
    </w:p>
    <w:p w:rsidR="00FA0314" w:rsidRPr="001F590D" w:rsidRDefault="00FA0314" w:rsidP="00FA0314">
      <w:pPr>
        <w:spacing w:after="120" w:line="360" w:lineRule="auto"/>
        <w:jc w:val="both"/>
        <w:rPr>
          <w:rFonts w:ascii="Meta OT Book" w:eastAsia="MS Mincho" w:hAnsi="Meta OT Book" w:cs="Times New Roman"/>
          <w:bCs/>
          <w:color w:val="2A594B"/>
          <w:sz w:val="24"/>
          <w:szCs w:val="24"/>
        </w:rPr>
      </w:pPr>
      <w:r w:rsidRPr="001F590D">
        <w:rPr>
          <w:rFonts w:ascii="Meta OT Book" w:eastAsia="MS Mincho" w:hAnsi="Meta OT Book" w:cs="Times New Roman"/>
          <w:bCs/>
          <w:color w:val="2A594B"/>
          <w:sz w:val="24"/>
          <w:szCs w:val="24"/>
        </w:rPr>
        <w:t xml:space="preserve">Matthias Korb, Energieexperte der Verbraucherzentrale Baden-Württemberg und der KlimaschutzAgentur im Landkreis Reutlingen, erklärt, was aktuell für Photovoltaik-Anlagen gilt. </w:t>
      </w:r>
      <w:r w:rsidR="00BD7038">
        <w:rPr>
          <w:rFonts w:ascii="Meta OT Book" w:eastAsia="MS Mincho" w:hAnsi="Meta OT Book" w:cs="Times New Roman"/>
          <w:bCs/>
          <w:color w:val="2A594B"/>
          <w:sz w:val="24"/>
          <w:szCs w:val="24"/>
        </w:rPr>
        <w:t>„</w:t>
      </w:r>
      <w:r w:rsidRPr="001F590D">
        <w:rPr>
          <w:rFonts w:ascii="Meta OT Book" w:eastAsia="MS Mincho" w:hAnsi="Meta OT Book" w:cs="Times New Roman"/>
          <w:bCs/>
          <w:color w:val="2A594B"/>
          <w:sz w:val="24"/>
          <w:szCs w:val="24"/>
        </w:rPr>
        <w:t>Seit mehr als 20 Jahren besteht das EEG. Wer eine PV-Anlage auf oder an seinem Gebäude betreibt, erhält eine in diesem Gesetz festgelegte Mindestvergütung für den ins Netz eingespeisten Strom. Das EEG setzt auch weiterhin auf einen massiven Ausbau erneuerbarer Energien. Mit dem Solarspitzengesetz sollen aber Stromeinspeisungen begrenzt werden, w</w:t>
      </w:r>
      <w:r w:rsidR="00BD7038">
        <w:rPr>
          <w:rFonts w:ascii="Meta OT Book" w:eastAsia="MS Mincho" w:hAnsi="Meta OT Book" w:cs="Times New Roman"/>
          <w:bCs/>
          <w:color w:val="2A594B"/>
          <w:sz w:val="24"/>
          <w:szCs w:val="24"/>
        </w:rPr>
        <w:t>enn eine Netzüberlastung droht“.</w:t>
      </w:r>
    </w:p>
    <w:p w:rsidR="00FA0314" w:rsidRPr="001F590D" w:rsidRDefault="00FA0314" w:rsidP="00FA0314">
      <w:pPr>
        <w:spacing w:after="120" w:line="360" w:lineRule="auto"/>
        <w:jc w:val="both"/>
        <w:rPr>
          <w:rFonts w:ascii="Meta OT Book" w:eastAsia="MS Mincho" w:hAnsi="Meta OT Book" w:cs="Times New Roman"/>
          <w:bCs/>
          <w:color w:val="2A594B"/>
          <w:sz w:val="24"/>
          <w:szCs w:val="24"/>
        </w:rPr>
      </w:pPr>
      <w:r w:rsidRPr="001F590D">
        <w:rPr>
          <w:rFonts w:ascii="Meta OT Book" w:eastAsia="MS Mincho" w:hAnsi="Meta OT Book" w:cs="Times New Roman"/>
          <w:bCs/>
          <w:color w:val="2A594B"/>
          <w:sz w:val="24"/>
          <w:szCs w:val="24"/>
        </w:rPr>
        <w:t>Viele PV-Anlagen produzieren gleichzeitig Strom, wenn die Sonne scheint. Steigt die Stromproduktion, steigt auch die Netzbelastung, und der Markt reagiert mit sinkenden Börsenstrompreisen. Bei sehr hoher Produktion sind sogar negative Preise möglich.</w:t>
      </w:r>
    </w:p>
    <w:p w:rsidR="00FA0314" w:rsidRPr="001F590D" w:rsidRDefault="00FA0314" w:rsidP="00FA0314">
      <w:pPr>
        <w:spacing w:after="120" w:line="360" w:lineRule="auto"/>
        <w:jc w:val="both"/>
        <w:rPr>
          <w:rFonts w:ascii="Meta OT Book" w:eastAsia="MS Mincho" w:hAnsi="Meta OT Book" w:cs="Times New Roman"/>
          <w:bCs/>
          <w:color w:val="2A594B"/>
          <w:sz w:val="24"/>
          <w:szCs w:val="24"/>
        </w:rPr>
      </w:pPr>
      <w:r w:rsidRPr="001F590D">
        <w:rPr>
          <w:rFonts w:ascii="Meta OT Book" w:eastAsia="MS Mincho" w:hAnsi="Meta OT Book" w:cs="Times New Roman"/>
          <w:bCs/>
          <w:color w:val="2A594B"/>
          <w:sz w:val="24"/>
          <w:szCs w:val="24"/>
        </w:rPr>
        <w:t>Mit dem Solarsp</w:t>
      </w:r>
      <w:r w:rsidR="00BD7038">
        <w:rPr>
          <w:rFonts w:ascii="Meta OT Book" w:eastAsia="MS Mincho" w:hAnsi="Meta OT Book" w:cs="Times New Roman"/>
          <w:bCs/>
          <w:color w:val="2A594B"/>
          <w:sz w:val="24"/>
          <w:szCs w:val="24"/>
        </w:rPr>
        <w:t>itzengesetz haben die Betreiber</w:t>
      </w:r>
      <w:r w:rsidRPr="001F590D">
        <w:rPr>
          <w:rFonts w:ascii="Meta OT Book" w:eastAsia="MS Mincho" w:hAnsi="Meta OT Book" w:cs="Times New Roman"/>
          <w:bCs/>
          <w:color w:val="2A594B"/>
          <w:sz w:val="24"/>
          <w:szCs w:val="24"/>
        </w:rPr>
        <w:t xml:space="preserve">innen </w:t>
      </w:r>
      <w:r w:rsidR="00BD7038">
        <w:rPr>
          <w:rFonts w:ascii="Meta OT Book" w:eastAsia="MS Mincho" w:hAnsi="Meta OT Book" w:cs="Times New Roman"/>
          <w:bCs/>
          <w:color w:val="2A594B"/>
          <w:sz w:val="24"/>
          <w:szCs w:val="24"/>
        </w:rPr>
        <w:t xml:space="preserve">und Betreiber </w:t>
      </w:r>
      <w:r w:rsidRPr="001F590D">
        <w:rPr>
          <w:rFonts w:ascii="Meta OT Book" w:eastAsia="MS Mincho" w:hAnsi="Meta OT Book" w:cs="Times New Roman"/>
          <w:bCs/>
          <w:color w:val="2A594B"/>
          <w:sz w:val="24"/>
          <w:szCs w:val="24"/>
        </w:rPr>
        <w:t>keinen Vergütungsanspruch, in der Zeit, in der der Preis negativ ist. Das Gesetz kompensiert dies</w:t>
      </w:r>
      <w:r w:rsidR="00BD7038">
        <w:rPr>
          <w:rFonts w:ascii="Meta OT Book" w:eastAsia="MS Mincho" w:hAnsi="Meta OT Book" w:cs="Times New Roman"/>
          <w:bCs/>
          <w:color w:val="2A594B"/>
          <w:sz w:val="24"/>
          <w:szCs w:val="24"/>
        </w:rPr>
        <w:t>en Nachteil jedoch. Verbraucher</w:t>
      </w:r>
      <w:r w:rsidRPr="001F590D">
        <w:rPr>
          <w:rFonts w:ascii="Meta OT Book" w:eastAsia="MS Mincho" w:hAnsi="Meta OT Book" w:cs="Times New Roman"/>
          <w:bCs/>
          <w:color w:val="2A594B"/>
          <w:sz w:val="24"/>
          <w:szCs w:val="24"/>
        </w:rPr>
        <w:t xml:space="preserve">innen </w:t>
      </w:r>
      <w:r w:rsidR="00BD7038">
        <w:rPr>
          <w:rFonts w:ascii="Meta OT Book" w:eastAsia="MS Mincho" w:hAnsi="Meta OT Book" w:cs="Times New Roman"/>
          <w:bCs/>
          <w:color w:val="2A594B"/>
          <w:sz w:val="24"/>
          <w:szCs w:val="24"/>
        </w:rPr>
        <w:t xml:space="preserve">und Verbraucher </w:t>
      </w:r>
      <w:r w:rsidRPr="001F590D">
        <w:rPr>
          <w:rFonts w:ascii="Meta OT Book" w:eastAsia="MS Mincho" w:hAnsi="Meta OT Book" w:cs="Times New Roman"/>
          <w:bCs/>
          <w:color w:val="2A594B"/>
          <w:sz w:val="24"/>
          <w:szCs w:val="24"/>
        </w:rPr>
        <w:t xml:space="preserve">erhalten ab Inbetriebnahme für 20 Jahre eine Einspeisevergütung. Dieser Zeitraum verlängert sich um die Tage, an denen keine Vergütung gezahlt wurde. </w:t>
      </w:r>
    </w:p>
    <w:p w:rsidR="00FA0314" w:rsidRPr="001F590D" w:rsidRDefault="00FA0314" w:rsidP="00FA0314">
      <w:pPr>
        <w:spacing w:after="120" w:line="360" w:lineRule="auto"/>
        <w:jc w:val="both"/>
        <w:rPr>
          <w:rFonts w:ascii="Meta OT Book" w:eastAsia="MS Mincho" w:hAnsi="Meta OT Book" w:cs="Times New Roman"/>
          <w:bCs/>
          <w:color w:val="2A594B"/>
          <w:sz w:val="24"/>
          <w:szCs w:val="24"/>
        </w:rPr>
      </w:pPr>
      <w:r w:rsidRPr="001F590D">
        <w:rPr>
          <w:rFonts w:ascii="Meta OT Book" w:eastAsia="MS Mincho" w:hAnsi="Meta OT Book" w:cs="Times New Roman"/>
          <w:bCs/>
          <w:color w:val="2A594B"/>
          <w:sz w:val="24"/>
          <w:szCs w:val="24"/>
        </w:rPr>
        <w:t xml:space="preserve">Diese Regelungen gelten für alle Haushalte, die nach dem 25. Februar 2025 eine PV-Anlage in Betrieb nehmen oder genommen haben und für alle PV-Anlagen ab zwei </w:t>
      </w:r>
      <w:r w:rsidRPr="001F590D">
        <w:rPr>
          <w:rFonts w:ascii="Meta OT Book" w:eastAsia="MS Mincho" w:hAnsi="Meta OT Book" w:cs="Times New Roman"/>
          <w:bCs/>
          <w:color w:val="2A594B"/>
          <w:sz w:val="24"/>
          <w:szCs w:val="24"/>
        </w:rPr>
        <w:lastRenderedPageBreak/>
        <w:t>Kilowatt Leistung. Aber: Erst nachdem ein intelligentes Messsystem (Smart Meter) installiert ist. Wer bislang keinen Smart Meter hat, muss die Einspeisung auf 60 Prozent der installierten Leistung begrenzen. Privathaushalte mit Ein- und Zweifamilienhäusern haben typischerweise PV-Anlagen mit drei bis 20 Kilowatt Leistung (kWp) installiert.</w:t>
      </w:r>
    </w:p>
    <w:p w:rsidR="00FA0314" w:rsidRPr="001F590D" w:rsidRDefault="00FA0314" w:rsidP="00FA0314">
      <w:pPr>
        <w:spacing w:after="120" w:line="360" w:lineRule="auto"/>
        <w:jc w:val="both"/>
        <w:rPr>
          <w:rFonts w:ascii="Meta OT Book" w:eastAsia="MS Mincho" w:hAnsi="Meta OT Book" w:cs="Times New Roman"/>
          <w:bCs/>
          <w:color w:val="2A594B"/>
          <w:sz w:val="24"/>
          <w:szCs w:val="24"/>
        </w:rPr>
      </w:pPr>
      <w:r w:rsidRPr="001F590D">
        <w:rPr>
          <w:rFonts w:ascii="Meta OT Book" w:eastAsia="MS Mincho" w:hAnsi="Meta OT Book" w:cs="Times New Roman"/>
          <w:bCs/>
          <w:color w:val="2A594B"/>
          <w:sz w:val="24"/>
          <w:szCs w:val="24"/>
        </w:rPr>
        <w:t>Wer vor dem 25. Februar 2025 eine PV-Anlage in Betrieb hatte, kann sich freiwillig für die Anwendung der neuen Regelungen entscheiden und auf einen Vergütungsanspruch bei negativen Preisen verzichten. Dafür wird eine um 0,6 Cent höhere Vergütung für den eingespeisten Strom gewährt.</w:t>
      </w:r>
    </w:p>
    <w:p w:rsidR="00FA0314" w:rsidRPr="001F590D" w:rsidRDefault="00BD7038" w:rsidP="00FA0314">
      <w:pPr>
        <w:spacing w:after="120" w:line="360" w:lineRule="auto"/>
        <w:jc w:val="both"/>
        <w:rPr>
          <w:rFonts w:ascii="Meta OT Book" w:eastAsia="MS Mincho" w:hAnsi="Meta OT Book" w:cs="Times New Roman"/>
          <w:bCs/>
          <w:color w:val="2A594B"/>
          <w:sz w:val="24"/>
          <w:szCs w:val="24"/>
        </w:rPr>
      </w:pPr>
      <w:r>
        <w:rPr>
          <w:rFonts w:ascii="Meta OT Book" w:eastAsia="MS Mincho" w:hAnsi="Meta OT Book" w:cs="Times New Roman"/>
          <w:bCs/>
          <w:color w:val="2A594B"/>
          <w:sz w:val="24"/>
          <w:szCs w:val="24"/>
        </w:rPr>
        <w:t>„</w:t>
      </w:r>
      <w:r w:rsidR="00FA0314" w:rsidRPr="001F590D">
        <w:rPr>
          <w:rFonts w:ascii="Meta OT Book" w:eastAsia="MS Mincho" w:hAnsi="Meta OT Book" w:cs="Times New Roman"/>
          <w:bCs/>
          <w:color w:val="2A594B"/>
          <w:sz w:val="24"/>
          <w:szCs w:val="24"/>
        </w:rPr>
        <w:t>Haushalte sollten den von der PV-Anlage produzierten Strom möglichst selbst verbrauchen, wenn der ins Netzt gespeiste überschüssige Strom nicht vergütet wird</w:t>
      </w:r>
      <w:r>
        <w:rPr>
          <w:rFonts w:ascii="Meta OT Book" w:eastAsia="MS Mincho" w:hAnsi="Meta OT Book" w:cs="Times New Roman"/>
          <w:bCs/>
          <w:color w:val="2A594B"/>
          <w:sz w:val="24"/>
          <w:szCs w:val="24"/>
        </w:rPr>
        <w:t>“, empfiehlt Energieberater Matthias Korb</w:t>
      </w:r>
      <w:r w:rsidR="00FA0314" w:rsidRPr="001F590D">
        <w:rPr>
          <w:rFonts w:ascii="Meta OT Book" w:eastAsia="MS Mincho" w:hAnsi="Meta OT Book" w:cs="Times New Roman"/>
          <w:bCs/>
          <w:color w:val="2A594B"/>
          <w:sz w:val="24"/>
          <w:szCs w:val="24"/>
        </w:rPr>
        <w:t xml:space="preserve">. </w:t>
      </w:r>
    </w:p>
    <w:p w:rsidR="00FA0314" w:rsidRDefault="00FA0314" w:rsidP="00FA0314">
      <w:bookmarkStart w:id="0" w:name="_GoBack"/>
      <w:bookmarkEnd w:id="0"/>
    </w:p>
    <w:p w:rsidR="002716A2" w:rsidRPr="00FA0314" w:rsidRDefault="003D5B89" w:rsidP="00FA0314">
      <w:pPr>
        <w:tabs>
          <w:tab w:val="left" w:pos="5963"/>
        </w:tabs>
        <w:jc w:val="both"/>
        <w:rPr>
          <w:rFonts w:ascii="Meta OT Book" w:hAnsi="Meta OT Book"/>
        </w:rPr>
      </w:pPr>
      <w:r w:rsidRPr="00FA0314">
        <w:rPr>
          <w:rFonts w:ascii="Meta OT Book" w:hAnsi="Meta OT Book"/>
        </w:rPr>
        <w:tab/>
      </w:r>
    </w:p>
    <w:sectPr w:rsidR="002716A2" w:rsidRPr="00FA03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CEF" w:rsidRDefault="00D24CEF" w:rsidP="00AE666F">
      <w:pPr>
        <w:spacing w:after="0" w:line="240" w:lineRule="auto"/>
      </w:pPr>
      <w:r>
        <w:separator/>
      </w:r>
    </w:p>
  </w:endnote>
  <w:endnote w:type="continuationSeparator" w:id="0">
    <w:p w:rsidR="00D24CEF" w:rsidRDefault="00D24CEF"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CEF" w:rsidRDefault="00D24CEF" w:rsidP="00AE666F">
      <w:pPr>
        <w:spacing w:after="0" w:line="240" w:lineRule="auto"/>
      </w:pPr>
      <w:r>
        <w:separator/>
      </w:r>
    </w:p>
  </w:footnote>
  <w:footnote w:type="continuationSeparator" w:id="0">
    <w:p w:rsidR="00D24CEF" w:rsidRDefault="00D24CEF" w:rsidP="00AE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06"/>
    <w:rsid w:val="00000618"/>
    <w:rsid w:val="000020E9"/>
    <w:rsid w:val="00051742"/>
    <w:rsid w:val="00052CF3"/>
    <w:rsid w:val="00061CAB"/>
    <w:rsid w:val="000913E2"/>
    <w:rsid w:val="000A533A"/>
    <w:rsid w:val="000A6206"/>
    <w:rsid w:val="000B20F9"/>
    <w:rsid w:val="000B648B"/>
    <w:rsid w:val="000D26AD"/>
    <w:rsid w:val="000D7FDB"/>
    <w:rsid w:val="000F24FA"/>
    <w:rsid w:val="00105997"/>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26E62"/>
    <w:rsid w:val="00231768"/>
    <w:rsid w:val="00241810"/>
    <w:rsid w:val="002643BE"/>
    <w:rsid w:val="00265BD6"/>
    <w:rsid w:val="002716A2"/>
    <w:rsid w:val="00277189"/>
    <w:rsid w:val="002874E9"/>
    <w:rsid w:val="00292D70"/>
    <w:rsid w:val="00296BD9"/>
    <w:rsid w:val="002B0F31"/>
    <w:rsid w:val="002B439C"/>
    <w:rsid w:val="002C1012"/>
    <w:rsid w:val="002C178F"/>
    <w:rsid w:val="002C7274"/>
    <w:rsid w:val="002D41F5"/>
    <w:rsid w:val="002E4506"/>
    <w:rsid w:val="002E4D70"/>
    <w:rsid w:val="002E6B33"/>
    <w:rsid w:val="00310327"/>
    <w:rsid w:val="0031457F"/>
    <w:rsid w:val="00315D70"/>
    <w:rsid w:val="00330F89"/>
    <w:rsid w:val="00333B2A"/>
    <w:rsid w:val="00342517"/>
    <w:rsid w:val="0035176A"/>
    <w:rsid w:val="0035318E"/>
    <w:rsid w:val="00353629"/>
    <w:rsid w:val="0035481E"/>
    <w:rsid w:val="00383488"/>
    <w:rsid w:val="00393BFE"/>
    <w:rsid w:val="003A7373"/>
    <w:rsid w:val="003B2002"/>
    <w:rsid w:val="003C700F"/>
    <w:rsid w:val="003C70B0"/>
    <w:rsid w:val="003D208B"/>
    <w:rsid w:val="003D5B89"/>
    <w:rsid w:val="003E3E78"/>
    <w:rsid w:val="003F3A3E"/>
    <w:rsid w:val="0041624E"/>
    <w:rsid w:val="0043107C"/>
    <w:rsid w:val="00432282"/>
    <w:rsid w:val="004543F7"/>
    <w:rsid w:val="00454D72"/>
    <w:rsid w:val="00455839"/>
    <w:rsid w:val="004571B0"/>
    <w:rsid w:val="00461BAD"/>
    <w:rsid w:val="004630AD"/>
    <w:rsid w:val="00463A8E"/>
    <w:rsid w:val="0048157B"/>
    <w:rsid w:val="004C2A00"/>
    <w:rsid w:val="004C615C"/>
    <w:rsid w:val="004C7BA9"/>
    <w:rsid w:val="004D41EB"/>
    <w:rsid w:val="004E3636"/>
    <w:rsid w:val="004E4EB8"/>
    <w:rsid w:val="004F2C5E"/>
    <w:rsid w:val="004F4FE7"/>
    <w:rsid w:val="00500057"/>
    <w:rsid w:val="00503BC0"/>
    <w:rsid w:val="0051460B"/>
    <w:rsid w:val="005312CB"/>
    <w:rsid w:val="00536C15"/>
    <w:rsid w:val="00541D7B"/>
    <w:rsid w:val="005426A1"/>
    <w:rsid w:val="00543FCC"/>
    <w:rsid w:val="005563BB"/>
    <w:rsid w:val="00576287"/>
    <w:rsid w:val="00580812"/>
    <w:rsid w:val="005A3A6F"/>
    <w:rsid w:val="005B1F7C"/>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5EEE"/>
    <w:rsid w:val="0067760D"/>
    <w:rsid w:val="00677EA5"/>
    <w:rsid w:val="00686536"/>
    <w:rsid w:val="006873AF"/>
    <w:rsid w:val="006962F3"/>
    <w:rsid w:val="006A6617"/>
    <w:rsid w:val="006B1376"/>
    <w:rsid w:val="006B79E5"/>
    <w:rsid w:val="006C18C9"/>
    <w:rsid w:val="006F3CA6"/>
    <w:rsid w:val="006F6F63"/>
    <w:rsid w:val="006F77E7"/>
    <w:rsid w:val="00702CFB"/>
    <w:rsid w:val="00717CC3"/>
    <w:rsid w:val="007241B3"/>
    <w:rsid w:val="00730EBC"/>
    <w:rsid w:val="00733923"/>
    <w:rsid w:val="00754BFE"/>
    <w:rsid w:val="007568DF"/>
    <w:rsid w:val="00757579"/>
    <w:rsid w:val="00770270"/>
    <w:rsid w:val="00774F90"/>
    <w:rsid w:val="00787F1C"/>
    <w:rsid w:val="007C7DE0"/>
    <w:rsid w:val="007D07B6"/>
    <w:rsid w:val="007D5851"/>
    <w:rsid w:val="007F064C"/>
    <w:rsid w:val="007F07D0"/>
    <w:rsid w:val="007F0CBF"/>
    <w:rsid w:val="007F7E8E"/>
    <w:rsid w:val="008117A9"/>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61FF"/>
    <w:rsid w:val="008D7DD7"/>
    <w:rsid w:val="008E25A4"/>
    <w:rsid w:val="008E579F"/>
    <w:rsid w:val="009041E5"/>
    <w:rsid w:val="00930707"/>
    <w:rsid w:val="009437F5"/>
    <w:rsid w:val="00946018"/>
    <w:rsid w:val="00956C1A"/>
    <w:rsid w:val="00971C82"/>
    <w:rsid w:val="00984D83"/>
    <w:rsid w:val="00985475"/>
    <w:rsid w:val="009856E6"/>
    <w:rsid w:val="00990E2B"/>
    <w:rsid w:val="009A0498"/>
    <w:rsid w:val="009D5F34"/>
    <w:rsid w:val="009E26BC"/>
    <w:rsid w:val="009E57E5"/>
    <w:rsid w:val="009F1CF0"/>
    <w:rsid w:val="009F665B"/>
    <w:rsid w:val="009F6EDD"/>
    <w:rsid w:val="00A02758"/>
    <w:rsid w:val="00A11F3F"/>
    <w:rsid w:val="00A2543A"/>
    <w:rsid w:val="00A33634"/>
    <w:rsid w:val="00A37D37"/>
    <w:rsid w:val="00A458CE"/>
    <w:rsid w:val="00A52EA9"/>
    <w:rsid w:val="00A55B8E"/>
    <w:rsid w:val="00A602D3"/>
    <w:rsid w:val="00A62836"/>
    <w:rsid w:val="00A77B4F"/>
    <w:rsid w:val="00A81819"/>
    <w:rsid w:val="00A82F16"/>
    <w:rsid w:val="00A83662"/>
    <w:rsid w:val="00A917FE"/>
    <w:rsid w:val="00A9356D"/>
    <w:rsid w:val="00AA0074"/>
    <w:rsid w:val="00AB0199"/>
    <w:rsid w:val="00AB74CA"/>
    <w:rsid w:val="00AC6EF3"/>
    <w:rsid w:val="00AE666F"/>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758E9"/>
    <w:rsid w:val="00B83381"/>
    <w:rsid w:val="00B83D35"/>
    <w:rsid w:val="00B92BB6"/>
    <w:rsid w:val="00B940E1"/>
    <w:rsid w:val="00B976D0"/>
    <w:rsid w:val="00BA56D0"/>
    <w:rsid w:val="00BB29C1"/>
    <w:rsid w:val="00BB2E1F"/>
    <w:rsid w:val="00BC3F59"/>
    <w:rsid w:val="00BD7038"/>
    <w:rsid w:val="00BE60BB"/>
    <w:rsid w:val="00C02B87"/>
    <w:rsid w:val="00C06245"/>
    <w:rsid w:val="00C15ABC"/>
    <w:rsid w:val="00C36EC6"/>
    <w:rsid w:val="00C410D4"/>
    <w:rsid w:val="00C47B50"/>
    <w:rsid w:val="00C61BDF"/>
    <w:rsid w:val="00C6730B"/>
    <w:rsid w:val="00C71D7D"/>
    <w:rsid w:val="00C74180"/>
    <w:rsid w:val="00C77023"/>
    <w:rsid w:val="00C86414"/>
    <w:rsid w:val="00CA0E81"/>
    <w:rsid w:val="00CB0BC4"/>
    <w:rsid w:val="00CB4A35"/>
    <w:rsid w:val="00CB5206"/>
    <w:rsid w:val="00CC2AC9"/>
    <w:rsid w:val="00CD0E51"/>
    <w:rsid w:val="00CD28D1"/>
    <w:rsid w:val="00CD74A8"/>
    <w:rsid w:val="00CE0C4E"/>
    <w:rsid w:val="00CF1B31"/>
    <w:rsid w:val="00D06644"/>
    <w:rsid w:val="00D13D77"/>
    <w:rsid w:val="00D20ADA"/>
    <w:rsid w:val="00D24CEF"/>
    <w:rsid w:val="00D360F2"/>
    <w:rsid w:val="00D5260B"/>
    <w:rsid w:val="00D616BD"/>
    <w:rsid w:val="00D72ABE"/>
    <w:rsid w:val="00D814C6"/>
    <w:rsid w:val="00D8534C"/>
    <w:rsid w:val="00D9147A"/>
    <w:rsid w:val="00DA4722"/>
    <w:rsid w:val="00DA53EB"/>
    <w:rsid w:val="00DB0082"/>
    <w:rsid w:val="00DB4927"/>
    <w:rsid w:val="00DD34AB"/>
    <w:rsid w:val="00DE5091"/>
    <w:rsid w:val="00DF1A89"/>
    <w:rsid w:val="00DF33D1"/>
    <w:rsid w:val="00E0413B"/>
    <w:rsid w:val="00E068A4"/>
    <w:rsid w:val="00E15D40"/>
    <w:rsid w:val="00E16799"/>
    <w:rsid w:val="00E16E1A"/>
    <w:rsid w:val="00E17EAF"/>
    <w:rsid w:val="00E304B5"/>
    <w:rsid w:val="00E33C18"/>
    <w:rsid w:val="00E3415D"/>
    <w:rsid w:val="00E375B9"/>
    <w:rsid w:val="00E40062"/>
    <w:rsid w:val="00E61F2B"/>
    <w:rsid w:val="00E634C1"/>
    <w:rsid w:val="00E640A5"/>
    <w:rsid w:val="00E813FC"/>
    <w:rsid w:val="00E9426E"/>
    <w:rsid w:val="00E968A9"/>
    <w:rsid w:val="00EA1A6B"/>
    <w:rsid w:val="00EB7044"/>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0314"/>
    <w:rsid w:val="00FA2228"/>
    <w:rsid w:val="00FA622B"/>
    <w:rsid w:val="00FA7311"/>
    <w:rsid w:val="00FD458F"/>
    <w:rsid w:val="00FD5C29"/>
    <w:rsid w:val="00FD6897"/>
    <w:rsid w:val="00FE1783"/>
    <w:rsid w:val="00FE4681"/>
    <w:rsid w:val="00FE6435"/>
    <w:rsid w:val="00FF1D0C"/>
    <w:rsid w:val="00FF2A37"/>
    <w:rsid w:val="00FF3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UnresolvedMention">
    <w:name w:val="Unresolved Mention"/>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2</Pages>
  <Words>379</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3</cp:revision>
  <cp:lastPrinted>2024-07-24T09:44:00Z</cp:lastPrinted>
  <dcterms:created xsi:type="dcterms:W3CDTF">2025-08-18T10:45:00Z</dcterms:created>
  <dcterms:modified xsi:type="dcterms:W3CDTF">2025-08-18T10:50:00Z</dcterms:modified>
</cp:coreProperties>
</file>