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83EEA" w14:textId="4D35A9B3" w:rsidR="00F26730" w:rsidRPr="00895DC6" w:rsidRDefault="00F26730" w:rsidP="00F26730">
      <w:pPr>
        <w:pStyle w:val="VisaDocumentname"/>
        <w:rPr>
          <w:rFonts w:cs="Segoe UI"/>
          <w:color w:val="002060"/>
          <w:lang w:val="it-IT"/>
        </w:rPr>
      </w:pPr>
      <w:r w:rsidRPr="001A70E3">
        <w:rPr>
          <w:rFonts w:cs="Segoe UI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7B7EBEC4" wp14:editId="486959A4">
            <wp:simplePos x="2057400" y="657225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1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DC6">
        <w:rPr>
          <w:rFonts w:cs="Segoe UI"/>
          <w:color w:val="002060"/>
          <w:lang w:val="it-IT"/>
        </w:rPr>
        <w:t xml:space="preserve"> </w:t>
      </w:r>
    </w:p>
    <w:p w14:paraId="13A3AAB9" w14:textId="115DF00C" w:rsidR="0072762C" w:rsidRPr="00D145D5" w:rsidRDefault="005D4A6C" w:rsidP="00FB2188">
      <w:pPr>
        <w:pStyle w:val="VisaHeadline"/>
        <w:ind w:left="-90" w:right="-270"/>
        <w:jc w:val="center"/>
        <w:rPr>
          <w:rFonts w:eastAsia="Gulim" w:cs="Segoe UI"/>
          <w:sz w:val="44"/>
          <w:szCs w:val="44"/>
          <w:lang w:val="it-IT" w:eastAsia="ko-KR"/>
        </w:rPr>
      </w:pPr>
      <w:r w:rsidRPr="00D145D5">
        <w:rPr>
          <w:rFonts w:eastAsia="Gulim" w:cs="Segoe UI"/>
          <w:sz w:val="44"/>
          <w:szCs w:val="44"/>
          <w:lang w:val="it-IT" w:eastAsia="ko-KR"/>
        </w:rPr>
        <w:t>Undici n</w:t>
      </w:r>
      <w:r w:rsidR="0072762C" w:rsidRPr="00D145D5">
        <w:rPr>
          <w:rFonts w:eastAsia="Gulim" w:cs="Segoe UI"/>
          <w:sz w:val="44"/>
          <w:szCs w:val="44"/>
          <w:lang w:val="it-IT" w:eastAsia="ko-KR"/>
        </w:rPr>
        <w:t xml:space="preserve">uovi partner usano il Visa Token Service per dare ai consumatori maggior sicurezza quando effettuano pagamenti </w:t>
      </w:r>
      <w:r w:rsidR="00FE4276" w:rsidRPr="00D145D5">
        <w:rPr>
          <w:rFonts w:eastAsia="Gulim" w:cs="Segoe UI"/>
          <w:sz w:val="44"/>
          <w:szCs w:val="44"/>
          <w:lang w:val="it-IT" w:eastAsia="ko-KR"/>
        </w:rPr>
        <w:t xml:space="preserve">in ambito </w:t>
      </w:r>
      <w:r w:rsidR="0072762C" w:rsidRPr="00D145D5">
        <w:rPr>
          <w:rFonts w:eastAsia="Gulim" w:cs="Segoe UI"/>
          <w:sz w:val="44"/>
          <w:szCs w:val="44"/>
          <w:lang w:val="it-IT" w:eastAsia="ko-KR"/>
        </w:rPr>
        <w:t>e-commerce</w:t>
      </w:r>
    </w:p>
    <w:p w14:paraId="0039CA63" w14:textId="77777777" w:rsidR="00F26730" w:rsidRPr="00D145D5" w:rsidRDefault="00F26730" w:rsidP="00F26730">
      <w:pPr>
        <w:spacing w:after="200" w:line="276" w:lineRule="auto"/>
        <w:ind w:left="720"/>
        <w:contextualSpacing/>
        <w:rPr>
          <w:rFonts w:ascii="Arial" w:eastAsia="Calibri" w:hAnsi="Arial" w:cs="Arial"/>
          <w:i/>
          <w:sz w:val="20"/>
          <w:szCs w:val="20"/>
          <w:lang w:val="it-IT"/>
        </w:rPr>
      </w:pPr>
    </w:p>
    <w:p w14:paraId="192C91C2" w14:textId="77777777" w:rsidR="004141F1" w:rsidRPr="00D145D5" w:rsidRDefault="004141F1" w:rsidP="004141F1">
      <w:pPr>
        <w:spacing w:after="200" w:line="276" w:lineRule="auto"/>
        <w:ind w:left="90"/>
        <w:contextualSpacing/>
        <w:jc w:val="center"/>
        <w:rPr>
          <w:rFonts w:ascii="Segoe UI" w:eastAsia="Calibri" w:hAnsi="Segoe UI" w:cs="Segoe UI"/>
          <w:i/>
          <w:szCs w:val="20"/>
          <w:lang w:val="it-IT"/>
        </w:rPr>
      </w:pPr>
    </w:p>
    <w:p w14:paraId="1F02BEF2" w14:textId="42F37EB3" w:rsidR="0072762C" w:rsidRPr="00D145D5" w:rsidRDefault="0072762C" w:rsidP="00457B0C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Theme="minorHAnsi" w:eastAsia="Times New Roman" w:hAnsiTheme="minorHAnsi" w:cstheme="minorHAnsi"/>
          <w:lang w:val="it-IT"/>
        </w:rPr>
      </w:pPr>
      <w:r w:rsidRPr="00D145D5">
        <w:rPr>
          <w:rFonts w:asciiTheme="minorHAnsi" w:eastAsia="Times New Roman" w:hAnsiTheme="minorHAnsi" w:cstheme="minorHAnsi"/>
          <w:lang w:val="it-IT"/>
        </w:rPr>
        <w:t xml:space="preserve">Visa Token Service rende lo shopping online molto più sicuro per i consumatori rimuovendo le informazioni sensibili dell’account, </w:t>
      </w:r>
      <w:r w:rsidR="00FE4276" w:rsidRPr="00D145D5">
        <w:rPr>
          <w:rFonts w:asciiTheme="minorHAnsi" w:eastAsia="Times New Roman" w:hAnsiTheme="minorHAnsi" w:cstheme="minorHAnsi"/>
          <w:lang w:val="it-IT"/>
        </w:rPr>
        <w:t xml:space="preserve">cosa </w:t>
      </w:r>
      <w:r w:rsidRPr="00D145D5">
        <w:rPr>
          <w:rFonts w:asciiTheme="minorHAnsi" w:eastAsia="Times New Roman" w:hAnsiTheme="minorHAnsi" w:cstheme="minorHAnsi"/>
          <w:lang w:val="it-IT"/>
        </w:rPr>
        <w:t>che rende</w:t>
      </w:r>
      <w:r w:rsidR="00FE4276" w:rsidRPr="00D145D5">
        <w:rPr>
          <w:rFonts w:asciiTheme="minorHAnsi" w:eastAsia="Times New Roman" w:hAnsiTheme="minorHAnsi" w:cstheme="minorHAnsi"/>
          <w:lang w:val="it-IT"/>
        </w:rPr>
        <w:t xml:space="preserve"> anche</w:t>
      </w:r>
      <w:r w:rsidRPr="00D145D5">
        <w:rPr>
          <w:rFonts w:asciiTheme="minorHAnsi" w:eastAsia="Times New Roman" w:hAnsiTheme="minorHAnsi" w:cstheme="minorHAnsi"/>
          <w:lang w:val="it-IT"/>
        </w:rPr>
        <w:t xml:space="preserve"> i commercianti meno</w:t>
      </w:r>
      <w:r w:rsidR="00FE4276" w:rsidRPr="00D145D5">
        <w:rPr>
          <w:rFonts w:asciiTheme="minorHAnsi" w:eastAsia="Times New Roman" w:hAnsiTheme="minorHAnsi" w:cstheme="minorHAnsi"/>
          <w:lang w:val="it-IT"/>
        </w:rPr>
        <w:t xml:space="preserve"> appetibili come</w:t>
      </w:r>
      <w:r w:rsidRPr="00D145D5">
        <w:rPr>
          <w:rFonts w:asciiTheme="minorHAnsi" w:eastAsia="Times New Roman" w:hAnsiTheme="minorHAnsi" w:cstheme="minorHAnsi"/>
          <w:lang w:val="it-IT"/>
        </w:rPr>
        <w:t xml:space="preserve"> bersagli</w:t>
      </w:r>
      <w:r w:rsidR="00FE4276" w:rsidRPr="00D145D5">
        <w:rPr>
          <w:rFonts w:asciiTheme="minorHAnsi" w:eastAsia="Times New Roman" w:hAnsiTheme="minorHAnsi" w:cstheme="minorHAnsi"/>
          <w:lang w:val="it-IT"/>
        </w:rPr>
        <w:t>o per g</w:t>
      </w:r>
      <w:r w:rsidRPr="00D145D5">
        <w:rPr>
          <w:rFonts w:asciiTheme="minorHAnsi" w:eastAsia="Times New Roman" w:hAnsiTheme="minorHAnsi" w:cstheme="minorHAnsi"/>
          <w:lang w:val="it-IT"/>
        </w:rPr>
        <w:t xml:space="preserve">li hacker, limitando il rischio di frode e </w:t>
      </w:r>
      <w:r w:rsidR="00FE4276" w:rsidRPr="00D145D5">
        <w:rPr>
          <w:rFonts w:asciiTheme="minorHAnsi" w:eastAsia="Times New Roman" w:hAnsiTheme="minorHAnsi" w:cstheme="minorHAnsi"/>
          <w:lang w:val="it-IT"/>
        </w:rPr>
        <w:t xml:space="preserve">di </w:t>
      </w:r>
      <w:r w:rsidRPr="00D145D5">
        <w:rPr>
          <w:rFonts w:asciiTheme="minorHAnsi" w:eastAsia="Times New Roman" w:hAnsiTheme="minorHAnsi" w:cstheme="minorHAnsi"/>
          <w:lang w:val="it-IT"/>
        </w:rPr>
        <w:t>violazione dei dati</w:t>
      </w:r>
    </w:p>
    <w:p w14:paraId="3EDAF6A8" w14:textId="22BA81C9" w:rsidR="0072762C" w:rsidRPr="00D145D5" w:rsidRDefault="0072762C" w:rsidP="00457B0C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Theme="minorHAnsi" w:eastAsia="Times New Roman" w:hAnsiTheme="minorHAnsi" w:cstheme="minorHAnsi"/>
          <w:lang w:val="it-IT"/>
        </w:rPr>
      </w:pPr>
      <w:r w:rsidRPr="00D145D5">
        <w:rPr>
          <w:rFonts w:asciiTheme="minorHAnsi" w:eastAsia="Times New Roman" w:hAnsiTheme="minorHAnsi" w:cstheme="minorHAnsi"/>
          <w:lang w:val="it-IT"/>
        </w:rPr>
        <w:t xml:space="preserve">La tokenizzazione inoltre aiuta i commercianti riducendo il </w:t>
      </w:r>
      <w:r w:rsidR="00EA357E" w:rsidRPr="00D145D5">
        <w:rPr>
          <w:rFonts w:asciiTheme="minorHAnsi" w:eastAsia="Times New Roman" w:hAnsiTheme="minorHAnsi" w:cstheme="minorHAnsi"/>
          <w:lang w:val="it-IT"/>
        </w:rPr>
        <w:t xml:space="preserve">rischio di rifiuto della transazione e aumentando il tasso di conversione in acquisto </w:t>
      </w:r>
    </w:p>
    <w:p w14:paraId="2389B6C8" w14:textId="409AA268" w:rsidR="00571C99" w:rsidRPr="00D145D5" w:rsidRDefault="00571C99" w:rsidP="00457B0C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Theme="minorHAnsi" w:eastAsia="Times New Roman" w:hAnsiTheme="minorHAnsi" w:cstheme="minorHAnsi"/>
          <w:lang w:val="it-IT"/>
        </w:rPr>
      </w:pPr>
      <w:r w:rsidRPr="00D145D5">
        <w:rPr>
          <w:rFonts w:asciiTheme="minorHAnsi" w:eastAsia="Times New Roman" w:hAnsiTheme="minorHAnsi" w:cstheme="minorHAnsi"/>
          <w:lang w:val="it-IT"/>
        </w:rPr>
        <w:t xml:space="preserve">La spesa europea per l'e-commerce è destinata a crescere del 43,8%, a </w:t>
      </w:r>
      <w:r w:rsidR="00EA357E" w:rsidRPr="00D145D5">
        <w:rPr>
          <w:rFonts w:asciiTheme="minorHAnsi" w:eastAsia="Times New Roman" w:hAnsiTheme="minorHAnsi" w:cstheme="minorHAnsi"/>
          <w:lang w:val="it-IT"/>
        </w:rPr>
        <w:t xml:space="preserve">quota </w:t>
      </w:r>
      <w:r w:rsidRPr="00D145D5">
        <w:rPr>
          <w:rFonts w:asciiTheme="minorHAnsi" w:eastAsia="Times New Roman" w:hAnsiTheme="minorHAnsi" w:cstheme="minorHAnsi"/>
          <w:lang w:val="it-IT"/>
        </w:rPr>
        <w:t>456 miliardi di euro entro la fine del 2023</w:t>
      </w:r>
      <w:r w:rsidR="00D560E4" w:rsidRPr="00D145D5">
        <w:rPr>
          <w:rFonts w:asciiTheme="minorHAnsi" w:eastAsia="Times New Roman" w:hAnsiTheme="minorHAnsi" w:cstheme="minorHAnsi"/>
          <w:vertAlign w:val="superscript"/>
        </w:rPr>
        <w:footnoteReference w:id="1"/>
      </w:r>
    </w:p>
    <w:p w14:paraId="0F1BBA38" w14:textId="77777777" w:rsidR="00FB2188" w:rsidRPr="00D145D5" w:rsidRDefault="00FB2188" w:rsidP="00457B0C">
      <w:pPr>
        <w:ind w:left="720"/>
        <w:contextualSpacing/>
        <w:jc w:val="both"/>
        <w:rPr>
          <w:rFonts w:asciiTheme="minorHAnsi" w:eastAsia="Times New Roman" w:hAnsiTheme="minorHAnsi" w:cstheme="minorHAnsi"/>
          <w:lang w:val="it-IT"/>
        </w:rPr>
      </w:pPr>
    </w:p>
    <w:p w14:paraId="2FEBFCBA" w14:textId="5949E348" w:rsidR="00FB2188" w:rsidRPr="00457B0C" w:rsidRDefault="005D1FFC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  <w:r w:rsidRPr="00D145D5">
        <w:rPr>
          <w:rFonts w:asciiTheme="minorHAnsi" w:eastAsia="MS Mincho" w:hAnsiTheme="minorHAnsi" w:cstheme="minorHAnsi"/>
          <w:b/>
          <w:lang w:val="it-IT"/>
        </w:rPr>
        <w:t>Milano</w:t>
      </w:r>
      <w:r w:rsidR="00FB2188" w:rsidRPr="00D145D5">
        <w:rPr>
          <w:rFonts w:asciiTheme="minorHAnsi" w:eastAsia="MS Mincho" w:hAnsiTheme="minorHAnsi" w:cstheme="minorHAnsi"/>
          <w:b/>
          <w:lang w:val="it-IT"/>
        </w:rPr>
        <w:t xml:space="preserve"> – </w:t>
      </w:r>
      <w:r w:rsidR="00D145D5">
        <w:rPr>
          <w:rFonts w:asciiTheme="minorHAnsi" w:eastAsia="MS Mincho" w:hAnsiTheme="minorHAnsi" w:cstheme="minorHAnsi"/>
          <w:b/>
          <w:lang w:val="it-IT"/>
        </w:rPr>
        <w:t>21</w:t>
      </w:r>
      <w:r w:rsidR="00FB2188" w:rsidRPr="00D145D5">
        <w:rPr>
          <w:rFonts w:asciiTheme="minorHAnsi" w:eastAsia="MS Mincho" w:hAnsiTheme="minorHAnsi" w:cstheme="minorHAnsi"/>
          <w:b/>
          <w:lang w:val="it-IT"/>
        </w:rPr>
        <w:t xml:space="preserve"> Ma</w:t>
      </w:r>
      <w:r w:rsidRPr="00D145D5">
        <w:rPr>
          <w:rFonts w:asciiTheme="minorHAnsi" w:eastAsia="MS Mincho" w:hAnsiTheme="minorHAnsi" w:cstheme="minorHAnsi"/>
          <w:b/>
          <w:lang w:val="it-IT"/>
        </w:rPr>
        <w:t>ggio</w:t>
      </w:r>
      <w:r w:rsidR="00FB2188" w:rsidRPr="00D145D5">
        <w:rPr>
          <w:rFonts w:asciiTheme="minorHAnsi" w:eastAsia="MS Mincho" w:hAnsiTheme="minorHAnsi" w:cstheme="minorHAnsi"/>
          <w:b/>
          <w:lang w:val="it-IT"/>
        </w:rPr>
        <w:t xml:space="preserve"> 2019</w:t>
      </w:r>
      <w:r w:rsidR="00FB2188" w:rsidRPr="00D145D5">
        <w:rPr>
          <w:rFonts w:asciiTheme="minorHAnsi" w:eastAsia="MS Mincho" w:hAnsiTheme="minorHAnsi" w:cstheme="minorHAnsi"/>
          <w:lang w:val="it-IT"/>
        </w:rPr>
        <w:t xml:space="preserve"> – </w:t>
      </w:r>
      <w:r w:rsidR="00EA357E" w:rsidRPr="00D145D5">
        <w:rPr>
          <w:rFonts w:asciiTheme="minorHAnsi" w:eastAsia="MS Mincho" w:hAnsiTheme="minorHAnsi" w:cstheme="minorHAnsi"/>
          <w:lang w:val="it-IT"/>
        </w:rPr>
        <w:t xml:space="preserve">Oggi 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Visa (NYSE: V) </w:t>
      </w:r>
      <w:r w:rsidR="00EA357E" w:rsidRPr="00D145D5">
        <w:rPr>
          <w:rFonts w:asciiTheme="minorHAnsi" w:eastAsia="MS Mincho" w:hAnsiTheme="minorHAnsi" w:cstheme="minorHAnsi"/>
          <w:lang w:val="it-IT"/>
        </w:rPr>
        <w:t>annuncia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 che </w:t>
      </w:r>
      <w:r w:rsidR="00EA357E" w:rsidRPr="00D145D5">
        <w:rPr>
          <w:rFonts w:asciiTheme="minorHAnsi" w:eastAsia="MS Mincho" w:hAnsiTheme="minorHAnsi" w:cstheme="minorHAnsi"/>
          <w:lang w:val="it-IT"/>
        </w:rPr>
        <w:t xml:space="preserve">sono </w:t>
      </w:r>
      <w:r w:rsidR="00DA1BF8">
        <w:rPr>
          <w:rFonts w:asciiTheme="minorHAnsi" w:eastAsia="MS Mincho" w:hAnsiTheme="minorHAnsi" w:cstheme="minorHAnsi"/>
          <w:lang w:val="it-IT"/>
        </w:rPr>
        <w:t xml:space="preserve">11 i 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nuovi partner europei </w:t>
      </w:r>
      <w:r w:rsidR="00EA357E" w:rsidRPr="00D145D5">
        <w:rPr>
          <w:rFonts w:asciiTheme="minorHAnsi" w:eastAsia="MS Mincho" w:hAnsiTheme="minorHAnsi" w:cstheme="minorHAnsi"/>
          <w:lang w:val="it-IT"/>
        </w:rPr>
        <w:t xml:space="preserve">che 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implementeranno Visa Token Service (VTS) per creare un ambiente di acquisto più sicuro per </w:t>
      </w:r>
      <w:r w:rsidR="00EA357E" w:rsidRPr="00D145D5">
        <w:rPr>
          <w:rFonts w:asciiTheme="minorHAnsi" w:eastAsia="MS Mincho" w:hAnsiTheme="minorHAnsi" w:cstheme="minorHAnsi"/>
          <w:lang w:val="it-IT"/>
        </w:rPr>
        <w:t>i consum</w:t>
      </w:r>
      <w:r w:rsidR="003D103E" w:rsidRPr="00D145D5">
        <w:rPr>
          <w:rFonts w:asciiTheme="minorHAnsi" w:eastAsia="MS Mincho" w:hAnsiTheme="minorHAnsi" w:cstheme="minorHAnsi"/>
          <w:lang w:val="it-IT"/>
        </w:rPr>
        <w:t>atori</w:t>
      </w:r>
      <w:r w:rsidR="00EA357E" w:rsidRPr="00D145D5">
        <w:rPr>
          <w:rFonts w:asciiTheme="minorHAnsi" w:eastAsia="MS Mincho" w:hAnsiTheme="minorHAnsi" w:cstheme="minorHAnsi"/>
          <w:lang w:val="it-IT"/>
        </w:rPr>
        <w:t xml:space="preserve"> che </w:t>
      </w:r>
      <w:r w:rsidR="003D103E" w:rsidRPr="00D145D5">
        <w:rPr>
          <w:rFonts w:asciiTheme="minorHAnsi" w:eastAsia="MS Mincho" w:hAnsiTheme="minorHAnsi" w:cstheme="minorHAnsi"/>
          <w:lang w:val="it-IT"/>
        </w:rPr>
        <w:t>vorranno salvare</w:t>
      </w:r>
      <w:r w:rsidR="00EA357E" w:rsidRPr="00D145D5">
        <w:rPr>
          <w:rFonts w:asciiTheme="minorHAnsi" w:eastAsia="MS Mincho" w:hAnsiTheme="minorHAnsi" w:cstheme="minorHAnsi"/>
          <w:lang w:val="it-IT"/>
        </w:rPr>
        <w:t xml:space="preserve"> </w:t>
      </w:r>
      <w:r w:rsidR="00571C99" w:rsidRPr="00D145D5">
        <w:rPr>
          <w:rFonts w:asciiTheme="minorHAnsi" w:eastAsia="MS Mincho" w:hAnsiTheme="minorHAnsi" w:cstheme="minorHAnsi"/>
          <w:lang w:val="it-IT"/>
        </w:rPr>
        <w:t>i</w:t>
      </w:r>
      <w:r w:rsidR="00EA357E" w:rsidRPr="00D145D5">
        <w:rPr>
          <w:rFonts w:asciiTheme="minorHAnsi" w:eastAsia="MS Mincho" w:hAnsiTheme="minorHAnsi" w:cstheme="minorHAnsi"/>
          <w:lang w:val="it-IT"/>
        </w:rPr>
        <w:t xml:space="preserve"> loro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 dettagli di pagamento. L'adozione di Visa Token Service da parte di partner</w:t>
      </w:r>
      <w:r w:rsidR="005D4A6C" w:rsidRPr="00D145D5">
        <w:rPr>
          <w:rFonts w:asciiTheme="minorHAnsi" w:eastAsia="MS Mincho" w:hAnsiTheme="minorHAnsi" w:cstheme="minorHAnsi"/>
          <w:lang w:val="it-IT"/>
        </w:rPr>
        <w:t xml:space="preserve"> in tutta Europa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 </w:t>
      </w:r>
      <w:r w:rsidR="003D103E" w:rsidRPr="00D145D5">
        <w:rPr>
          <w:rFonts w:asciiTheme="minorHAnsi" w:eastAsia="MS Mincho" w:hAnsiTheme="minorHAnsi" w:cstheme="minorHAnsi"/>
          <w:lang w:val="it-IT"/>
        </w:rPr>
        <w:t>testimonia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 come il settore stia rispondendo alle preoccupazioni dei consumatori sulla sicurezza online e come Visa continu</w:t>
      </w:r>
      <w:r w:rsidR="003D103E" w:rsidRPr="00D145D5">
        <w:rPr>
          <w:rFonts w:asciiTheme="minorHAnsi" w:eastAsia="MS Mincho" w:hAnsiTheme="minorHAnsi" w:cstheme="minorHAnsi"/>
          <w:lang w:val="it-IT"/>
        </w:rPr>
        <w:t>i</w:t>
      </w:r>
      <w:r w:rsidR="00571C99" w:rsidRPr="00D145D5">
        <w:rPr>
          <w:rFonts w:asciiTheme="minorHAnsi" w:eastAsia="MS Mincho" w:hAnsiTheme="minorHAnsi" w:cstheme="minorHAnsi"/>
          <w:lang w:val="it-IT"/>
        </w:rPr>
        <w:t xml:space="preserve"> a guidare l'innovazione nell'ecosistema dei pagamenti.</w:t>
      </w:r>
    </w:p>
    <w:p w14:paraId="56E86BBB" w14:textId="77777777" w:rsidR="00571C99" w:rsidRPr="00457B0C" w:rsidRDefault="00571C99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</w:p>
    <w:p w14:paraId="653E3A2E" w14:textId="0A17AE80" w:rsidR="00D560E4" w:rsidRPr="00457B0C" w:rsidRDefault="00E80054" w:rsidP="00457B0C">
      <w:pPr>
        <w:autoSpaceDE w:val="0"/>
        <w:autoSpaceDN w:val="0"/>
        <w:adjustRightInd w:val="0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>Oltre a una maggior sicurezza, le credenziali di pagamento scadute o compromesse possono essere costantemente aggiornate in background dall'istituto finanziario, eliminando un punto significativo di frizione per consumatori e commercianti.</w:t>
      </w:r>
    </w:p>
    <w:p w14:paraId="60C9C94A" w14:textId="77777777" w:rsidR="00FB2188" w:rsidRPr="00457B0C" w:rsidRDefault="00FB2188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</w:p>
    <w:p w14:paraId="6BC77D27" w14:textId="614A60E5" w:rsidR="00E80054" w:rsidRPr="00457B0C" w:rsidRDefault="00E80054" w:rsidP="00457B0C">
      <w:pPr>
        <w:autoSpaceDN w:val="0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 xml:space="preserve">Visa Token Service è stato lanciato nel 2014 come parte del costante impegno </w:t>
      </w:r>
      <w:r w:rsidR="00DA1BF8">
        <w:rPr>
          <w:rFonts w:asciiTheme="minorHAnsi" w:eastAsia="MS Mincho" w:hAnsiTheme="minorHAnsi" w:cstheme="minorHAnsi"/>
          <w:lang w:val="it-IT"/>
        </w:rPr>
        <w:t xml:space="preserve">Visa </w:t>
      </w:r>
      <w:r w:rsidR="003D103E" w:rsidRPr="00457B0C">
        <w:rPr>
          <w:rFonts w:asciiTheme="minorHAnsi" w:eastAsia="MS Mincho" w:hAnsiTheme="minorHAnsi" w:cstheme="minorHAnsi"/>
          <w:lang w:val="it-IT"/>
        </w:rPr>
        <w:t>nel facilitare la</w:t>
      </w:r>
      <w:r w:rsidRPr="00457B0C">
        <w:rPr>
          <w:rFonts w:asciiTheme="minorHAnsi" w:eastAsia="MS Mincho" w:hAnsiTheme="minorHAnsi" w:cstheme="minorHAnsi"/>
          <w:lang w:val="it-IT"/>
        </w:rPr>
        <w:t xml:space="preserve"> crescita e </w:t>
      </w:r>
      <w:r w:rsidR="003D103E" w:rsidRPr="00457B0C">
        <w:rPr>
          <w:rFonts w:asciiTheme="minorHAnsi" w:eastAsia="MS Mincho" w:hAnsiTheme="minorHAnsi" w:cstheme="minorHAnsi"/>
          <w:lang w:val="it-IT"/>
        </w:rPr>
        <w:t>promuovere la</w:t>
      </w:r>
      <w:r w:rsidRPr="00457B0C">
        <w:rPr>
          <w:rFonts w:asciiTheme="minorHAnsi" w:eastAsia="MS Mincho" w:hAnsiTheme="minorHAnsi" w:cstheme="minorHAnsi"/>
          <w:lang w:val="it-IT"/>
        </w:rPr>
        <w:t xml:space="preserve"> sicurezza dell’e-</w:t>
      </w:r>
      <w:r w:rsidR="003D103E" w:rsidRPr="00457B0C">
        <w:rPr>
          <w:rFonts w:asciiTheme="minorHAnsi" w:eastAsia="MS Mincho" w:hAnsiTheme="minorHAnsi" w:cstheme="minorHAnsi"/>
          <w:lang w:val="it-IT"/>
        </w:rPr>
        <w:t>commerce e del</w:t>
      </w:r>
      <w:r w:rsidRPr="00457B0C">
        <w:rPr>
          <w:rFonts w:asciiTheme="minorHAnsi" w:eastAsia="MS Mincho" w:hAnsiTheme="minorHAnsi" w:cstheme="minorHAnsi"/>
          <w:lang w:val="it-IT"/>
        </w:rPr>
        <w:t xml:space="preserve"> m</w:t>
      </w:r>
      <w:r w:rsidR="003D103E" w:rsidRPr="00457B0C">
        <w:rPr>
          <w:rFonts w:asciiTheme="minorHAnsi" w:eastAsia="MS Mincho" w:hAnsiTheme="minorHAnsi" w:cstheme="minorHAnsi"/>
          <w:lang w:val="it-IT"/>
        </w:rPr>
        <w:t>obile</w:t>
      </w:r>
      <w:r w:rsidRPr="00457B0C">
        <w:rPr>
          <w:rFonts w:asciiTheme="minorHAnsi" w:eastAsia="MS Mincho" w:hAnsiTheme="minorHAnsi" w:cstheme="minorHAnsi"/>
          <w:lang w:val="it-IT"/>
        </w:rPr>
        <w:t xml:space="preserve">-commerce. Da quel momento abbiamo visto </w:t>
      </w:r>
      <w:r w:rsidR="003D103E" w:rsidRPr="00457B0C">
        <w:rPr>
          <w:rFonts w:asciiTheme="minorHAnsi" w:eastAsia="MS Mincho" w:hAnsiTheme="minorHAnsi" w:cstheme="minorHAnsi"/>
          <w:lang w:val="it-IT"/>
        </w:rPr>
        <w:t>crescere in modo significativo le a</w:t>
      </w:r>
      <w:r w:rsidRPr="00457B0C">
        <w:rPr>
          <w:rFonts w:asciiTheme="minorHAnsi" w:eastAsia="MS Mincho" w:hAnsiTheme="minorHAnsi" w:cstheme="minorHAnsi"/>
          <w:lang w:val="it-IT"/>
        </w:rPr>
        <w:t>desion</w:t>
      </w:r>
      <w:r w:rsidR="003D103E" w:rsidRPr="00457B0C">
        <w:rPr>
          <w:rFonts w:asciiTheme="minorHAnsi" w:eastAsia="MS Mincho" w:hAnsiTheme="minorHAnsi" w:cstheme="minorHAnsi"/>
          <w:lang w:val="it-IT"/>
        </w:rPr>
        <w:t>i di</w:t>
      </w:r>
      <w:r w:rsidRPr="00457B0C">
        <w:rPr>
          <w:rFonts w:asciiTheme="minorHAnsi" w:eastAsia="MS Mincho" w:hAnsiTheme="minorHAnsi" w:cstheme="minorHAnsi"/>
          <w:lang w:val="it-IT"/>
        </w:rPr>
        <w:t xml:space="preserve"> nuove società, tra cui </w:t>
      </w:r>
      <w:r w:rsidR="003D103E" w:rsidRPr="00457B0C">
        <w:rPr>
          <w:rFonts w:asciiTheme="minorHAnsi" w:eastAsia="MS Mincho" w:hAnsiTheme="minorHAnsi" w:cstheme="minorHAnsi"/>
          <w:lang w:val="it-IT"/>
        </w:rPr>
        <w:t xml:space="preserve">i </w:t>
      </w:r>
      <w:r w:rsidRPr="00457B0C">
        <w:rPr>
          <w:rFonts w:asciiTheme="minorHAnsi" w:eastAsia="MS Mincho" w:hAnsiTheme="minorHAnsi" w:cstheme="minorHAnsi"/>
          <w:lang w:val="it-IT"/>
        </w:rPr>
        <w:t>commercianti</w:t>
      </w:r>
      <w:r w:rsidR="003D103E" w:rsidRPr="00457B0C">
        <w:rPr>
          <w:rFonts w:asciiTheme="minorHAnsi" w:eastAsia="MS Mincho" w:hAnsiTheme="minorHAnsi" w:cstheme="minorHAnsi"/>
          <w:lang w:val="it-IT"/>
        </w:rPr>
        <w:t>,</w:t>
      </w:r>
      <w:r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="003D103E" w:rsidRPr="00457B0C">
        <w:rPr>
          <w:rFonts w:asciiTheme="minorHAnsi" w:eastAsia="MS Mincho" w:hAnsiTheme="minorHAnsi" w:cstheme="minorHAnsi"/>
          <w:lang w:val="it-IT"/>
        </w:rPr>
        <w:t>i</w:t>
      </w:r>
      <w:r w:rsidRPr="00457B0C">
        <w:rPr>
          <w:rFonts w:asciiTheme="minorHAnsi" w:eastAsia="MS Mincho" w:hAnsiTheme="minorHAnsi" w:cstheme="minorHAnsi"/>
          <w:lang w:val="it-IT"/>
        </w:rPr>
        <w:t xml:space="preserve"> gateway </w:t>
      </w:r>
      <w:r w:rsidR="003D103E" w:rsidRPr="00457B0C">
        <w:rPr>
          <w:rFonts w:asciiTheme="minorHAnsi" w:eastAsia="MS Mincho" w:hAnsiTheme="minorHAnsi" w:cstheme="minorHAnsi"/>
          <w:lang w:val="it-IT"/>
        </w:rPr>
        <w:t>dell’</w:t>
      </w:r>
      <w:proofErr w:type="spellStart"/>
      <w:r w:rsidRPr="00457B0C">
        <w:rPr>
          <w:rFonts w:asciiTheme="minorHAnsi" w:eastAsia="MS Mincho" w:hAnsiTheme="minorHAnsi" w:cstheme="minorHAnsi"/>
          <w:lang w:val="it-IT"/>
        </w:rPr>
        <w:t>acquirer</w:t>
      </w:r>
      <w:proofErr w:type="spellEnd"/>
      <w:r w:rsidRPr="00457B0C">
        <w:rPr>
          <w:rFonts w:asciiTheme="minorHAnsi" w:eastAsia="MS Mincho" w:hAnsiTheme="minorHAnsi" w:cstheme="minorHAnsi"/>
          <w:lang w:val="it-IT"/>
        </w:rPr>
        <w:t xml:space="preserve"> e </w:t>
      </w:r>
      <w:r w:rsidR="003D103E" w:rsidRPr="00457B0C">
        <w:rPr>
          <w:rFonts w:asciiTheme="minorHAnsi" w:eastAsia="MS Mincho" w:hAnsiTheme="minorHAnsi" w:cstheme="minorHAnsi"/>
          <w:lang w:val="it-IT"/>
        </w:rPr>
        <w:t xml:space="preserve">le </w:t>
      </w:r>
      <w:r w:rsidRPr="00457B0C">
        <w:rPr>
          <w:rFonts w:asciiTheme="minorHAnsi" w:eastAsia="MS Mincho" w:hAnsiTheme="minorHAnsi" w:cstheme="minorHAnsi"/>
          <w:lang w:val="it-IT"/>
        </w:rPr>
        <w:t>aziende tecnologiche che partecipano al programma.</w:t>
      </w:r>
    </w:p>
    <w:p w14:paraId="73453E39" w14:textId="77777777" w:rsidR="00FB2188" w:rsidRPr="00457B0C" w:rsidRDefault="00FB2188" w:rsidP="00457B0C">
      <w:pPr>
        <w:autoSpaceDN w:val="0"/>
        <w:jc w:val="both"/>
        <w:rPr>
          <w:rFonts w:asciiTheme="minorHAnsi" w:eastAsia="MS Mincho" w:hAnsiTheme="minorHAnsi" w:cstheme="minorHAnsi"/>
          <w:lang w:val="it-IT"/>
        </w:rPr>
      </w:pPr>
    </w:p>
    <w:p w14:paraId="51D28C30" w14:textId="0987507C" w:rsidR="00B224E4" w:rsidRDefault="00B224E4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b/>
          <w:lang w:val="it-IT"/>
        </w:rPr>
        <w:t>Mark Austin, Executive Director, Product Solutions Europe, Visa</w:t>
      </w:r>
      <w:r w:rsidR="00957219" w:rsidRPr="00457B0C">
        <w:rPr>
          <w:rFonts w:asciiTheme="minorHAnsi" w:eastAsia="MS Mincho" w:hAnsiTheme="minorHAnsi" w:cstheme="minorHAnsi"/>
          <w:b/>
          <w:lang w:val="it-IT"/>
        </w:rPr>
        <w:t xml:space="preserve"> </w:t>
      </w:r>
      <w:r w:rsidR="00957219" w:rsidRPr="00457B0C">
        <w:rPr>
          <w:rFonts w:asciiTheme="minorHAnsi" w:eastAsia="MS Mincho" w:hAnsiTheme="minorHAnsi" w:cstheme="minorHAnsi"/>
          <w:lang w:val="it-IT"/>
        </w:rPr>
        <w:t>s</w:t>
      </w:r>
      <w:r w:rsidR="001B2093" w:rsidRPr="00457B0C">
        <w:rPr>
          <w:rFonts w:asciiTheme="minorHAnsi" w:eastAsia="MS Mincho" w:hAnsiTheme="minorHAnsi" w:cstheme="minorHAnsi"/>
          <w:lang w:val="it-IT"/>
        </w:rPr>
        <w:t>ottoline</w:t>
      </w:r>
      <w:r w:rsidR="00957219" w:rsidRPr="00457B0C">
        <w:rPr>
          <w:rFonts w:asciiTheme="minorHAnsi" w:eastAsia="MS Mincho" w:hAnsiTheme="minorHAnsi" w:cstheme="minorHAnsi"/>
          <w:lang w:val="it-IT"/>
        </w:rPr>
        <w:t>a: “</w:t>
      </w:r>
      <w:r w:rsidR="00957219" w:rsidRPr="00457B0C">
        <w:rPr>
          <w:rFonts w:asciiTheme="minorHAnsi" w:eastAsia="MS Mincho" w:hAnsiTheme="minorHAnsi" w:cstheme="minorHAnsi"/>
          <w:i/>
          <w:lang w:val="it-IT"/>
        </w:rPr>
        <w:t>Visa è impegnata a rendere l’esperienza dell’e-commerce più semplice e sicura possibile per chiunque faccia parte dell’ecosistema. Integrando Visa Token Service, per commercianti e gat</w:t>
      </w:r>
      <w:r w:rsidR="000738A6" w:rsidRPr="00457B0C">
        <w:rPr>
          <w:rFonts w:asciiTheme="minorHAnsi" w:eastAsia="MS Mincho" w:hAnsiTheme="minorHAnsi" w:cstheme="minorHAnsi"/>
          <w:i/>
          <w:lang w:val="it-IT"/>
        </w:rPr>
        <w:t>e</w:t>
      </w:r>
      <w:r w:rsidR="00957219" w:rsidRPr="00457B0C">
        <w:rPr>
          <w:rFonts w:asciiTheme="minorHAnsi" w:eastAsia="MS Mincho" w:hAnsiTheme="minorHAnsi" w:cstheme="minorHAnsi"/>
          <w:i/>
          <w:lang w:val="it-IT"/>
        </w:rPr>
        <w:t xml:space="preserve">way di pagamento non è più necessario memorizzare </w:t>
      </w:r>
      <w:r w:rsidR="001B2093" w:rsidRPr="00457B0C">
        <w:rPr>
          <w:rFonts w:asciiTheme="minorHAnsi" w:eastAsia="MS Mincho" w:hAnsiTheme="minorHAnsi" w:cstheme="minorHAnsi"/>
          <w:i/>
          <w:lang w:val="it-IT"/>
        </w:rPr>
        <w:t xml:space="preserve">i </w:t>
      </w:r>
      <w:r w:rsidR="00957219" w:rsidRPr="00457B0C">
        <w:rPr>
          <w:rFonts w:asciiTheme="minorHAnsi" w:eastAsia="MS Mincho" w:hAnsiTheme="minorHAnsi" w:cstheme="minorHAnsi"/>
          <w:i/>
          <w:lang w:val="it-IT"/>
        </w:rPr>
        <w:t xml:space="preserve">dati sensibili </w:t>
      </w:r>
      <w:r w:rsidR="001B2093" w:rsidRPr="00457B0C">
        <w:rPr>
          <w:rFonts w:asciiTheme="minorHAnsi" w:eastAsia="MS Mincho" w:hAnsiTheme="minorHAnsi" w:cstheme="minorHAnsi"/>
          <w:i/>
          <w:lang w:val="it-IT"/>
        </w:rPr>
        <w:t>de</w:t>
      </w:r>
      <w:r w:rsidR="00957219" w:rsidRPr="00457B0C">
        <w:rPr>
          <w:rFonts w:asciiTheme="minorHAnsi" w:eastAsia="MS Mincho" w:hAnsiTheme="minorHAnsi" w:cstheme="minorHAnsi"/>
          <w:i/>
          <w:lang w:val="it-IT"/>
        </w:rPr>
        <w:t>ll'account,</w:t>
      </w:r>
      <w:r w:rsidR="000738A6" w:rsidRPr="00457B0C">
        <w:rPr>
          <w:rFonts w:asciiTheme="minorHAnsi" w:eastAsia="MS Mincho" w:hAnsiTheme="minorHAnsi" w:cstheme="minorHAnsi"/>
          <w:i/>
          <w:lang w:val="it-IT"/>
        </w:rPr>
        <w:t xml:space="preserve"> </w:t>
      </w:r>
      <w:r w:rsidR="006F1E95" w:rsidRPr="00457B0C">
        <w:rPr>
          <w:rFonts w:asciiTheme="minorHAnsi" w:eastAsia="MS Mincho" w:hAnsiTheme="minorHAnsi" w:cstheme="minorHAnsi"/>
          <w:i/>
          <w:lang w:val="it-IT"/>
        </w:rPr>
        <w:t>riducendo ampiamente il rischio di frode per i consumatori che salvano le informazioni della loro carta su dispositivi mobile, app o negozi di eCommerce. Questo contribuirà a rendere più sicuri i pagamenti creando</w:t>
      </w:r>
      <w:r w:rsidR="001B2093" w:rsidRPr="00457B0C">
        <w:rPr>
          <w:rFonts w:asciiTheme="minorHAnsi" w:eastAsia="MS Mincho" w:hAnsiTheme="minorHAnsi" w:cstheme="minorHAnsi"/>
          <w:i/>
          <w:lang w:val="it-IT"/>
        </w:rPr>
        <w:t xml:space="preserve"> allo stesso tempo</w:t>
      </w:r>
      <w:r w:rsidR="006F1E95" w:rsidRPr="00457B0C">
        <w:rPr>
          <w:rFonts w:asciiTheme="minorHAnsi" w:eastAsia="MS Mincho" w:hAnsiTheme="minorHAnsi" w:cstheme="minorHAnsi"/>
          <w:i/>
          <w:lang w:val="it-IT"/>
        </w:rPr>
        <w:t xml:space="preserve"> un'esperienza di pagamento senza </w:t>
      </w:r>
      <w:r w:rsidR="007C65FD" w:rsidRPr="00457B0C">
        <w:rPr>
          <w:rFonts w:asciiTheme="minorHAnsi" w:eastAsia="MS Mincho" w:hAnsiTheme="minorHAnsi" w:cstheme="minorHAnsi"/>
          <w:i/>
          <w:lang w:val="it-IT"/>
        </w:rPr>
        <w:t>ostacoli</w:t>
      </w:r>
      <w:r w:rsidR="006F1E95" w:rsidRPr="00457B0C">
        <w:rPr>
          <w:rFonts w:asciiTheme="minorHAnsi" w:eastAsia="MS Mincho" w:hAnsiTheme="minorHAnsi" w:cstheme="minorHAnsi"/>
          <w:i/>
          <w:lang w:val="it-IT"/>
        </w:rPr>
        <w:t xml:space="preserve"> per i consumatori</w:t>
      </w:r>
      <w:r w:rsidR="006F1E95" w:rsidRPr="00457B0C">
        <w:rPr>
          <w:rFonts w:asciiTheme="minorHAnsi" w:eastAsia="MS Mincho" w:hAnsiTheme="minorHAnsi" w:cstheme="minorHAnsi"/>
          <w:lang w:val="it-IT"/>
        </w:rPr>
        <w:t>.”</w:t>
      </w:r>
    </w:p>
    <w:p w14:paraId="27275D65" w14:textId="77777777" w:rsidR="00D145D5" w:rsidRPr="00457B0C" w:rsidRDefault="00D145D5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</w:p>
    <w:p w14:paraId="3DA9148E" w14:textId="49EEDEFA" w:rsidR="005042D0" w:rsidRDefault="005042D0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 xml:space="preserve">I nuovi partner che </w:t>
      </w:r>
      <w:r w:rsidR="001B2093" w:rsidRPr="00457B0C">
        <w:rPr>
          <w:rFonts w:asciiTheme="minorHAnsi" w:eastAsia="MS Mincho" w:hAnsiTheme="minorHAnsi" w:cstheme="minorHAnsi"/>
          <w:lang w:val="it-IT"/>
        </w:rPr>
        <w:t xml:space="preserve">hanno </w:t>
      </w:r>
      <w:r w:rsidRPr="00457B0C">
        <w:rPr>
          <w:rFonts w:asciiTheme="minorHAnsi" w:eastAsia="MS Mincho" w:hAnsiTheme="minorHAnsi" w:cstheme="minorHAnsi"/>
          <w:lang w:val="it-IT"/>
        </w:rPr>
        <w:t>adotta</w:t>
      </w:r>
      <w:r w:rsidR="001B2093" w:rsidRPr="00457B0C">
        <w:rPr>
          <w:rFonts w:asciiTheme="minorHAnsi" w:eastAsia="MS Mincho" w:hAnsiTheme="minorHAnsi" w:cstheme="minorHAnsi"/>
          <w:lang w:val="it-IT"/>
        </w:rPr>
        <w:t>t</w:t>
      </w:r>
      <w:r w:rsidRPr="00457B0C">
        <w:rPr>
          <w:rFonts w:asciiTheme="minorHAnsi" w:eastAsia="MS Mincho" w:hAnsiTheme="minorHAnsi" w:cstheme="minorHAnsi"/>
          <w:lang w:val="it-IT"/>
        </w:rPr>
        <w:t>o il programma</w:t>
      </w:r>
      <w:r w:rsidR="00B47649" w:rsidRPr="00457B0C">
        <w:rPr>
          <w:rFonts w:asciiTheme="minorHAnsi" w:eastAsia="MS Mincho" w:hAnsiTheme="minorHAnsi" w:cstheme="minorHAnsi"/>
          <w:lang w:val="it-IT"/>
        </w:rPr>
        <w:t xml:space="preserve"> includono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Adyen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Cardstream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Computop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Datatrans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HiPay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Ingenico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>/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Bambora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Monext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Safecharge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Secure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 Trading,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Wirecard</w:t>
      </w:r>
      <w:proofErr w:type="spellEnd"/>
      <w:r w:rsidR="00B47649"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="00D145D5">
        <w:rPr>
          <w:rFonts w:asciiTheme="minorHAnsi" w:eastAsia="MS Mincho" w:hAnsiTheme="minorHAnsi" w:cstheme="minorHAnsi"/>
          <w:lang w:val="it-IT"/>
        </w:rPr>
        <w:t>e</w:t>
      </w:r>
      <w:r w:rsidR="00B47649" w:rsidRPr="00457B0C">
        <w:rPr>
          <w:rFonts w:asciiTheme="minorHAnsi" w:eastAsia="MS Mincho" w:hAnsiTheme="minorHAnsi" w:cstheme="minorHAnsi"/>
          <w:lang w:val="it-IT"/>
        </w:rPr>
        <w:t xml:space="preserve"> </w:t>
      </w:r>
      <w:proofErr w:type="spellStart"/>
      <w:r w:rsidR="00B47649" w:rsidRPr="00457B0C">
        <w:rPr>
          <w:rFonts w:asciiTheme="minorHAnsi" w:eastAsia="MS Mincho" w:hAnsiTheme="minorHAnsi" w:cstheme="minorHAnsi"/>
          <w:lang w:val="it-IT"/>
        </w:rPr>
        <w:t>Worldline</w:t>
      </w:r>
      <w:proofErr w:type="spellEnd"/>
      <w:r w:rsidR="001B2093" w:rsidRPr="00457B0C">
        <w:rPr>
          <w:rFonts w:asciiTheme="minorHAnsi" w:eastAsia="MS Mincho" w:hAnsiTheme="minorHAnsi" w:cstheme="minorHAnsi"/>
          <w:lang w:val="it-IT"/>
        </w:rPr>
        <w:t>. I</w:t>
      </w:r>
      <w:r w:rsidR="00A95EBA"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Pr="00457B0C">
        <w:rPr>
          <w:rFonts w:asciiTheme="minorHAnsi" w:eastAsia="MS Mincho" w:hAnsiTheme="minorHAnsi" w:cstheme="minorHAnsi"/>
          <w:lang w:val="it-IT"/>
        </w:rPr>
        <w:t>commercianti che</w:t>
      </w:r>
      <w:r w:rsidR="001B2093"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="001B2093" w:rsidRPr="00457B0C">
        <w:rPr>
          <w:rFonts w:asciiTheme="minorHAnsi" w:eastAsia="MS Mincho" w:hAnsiTheme="minorHAnsi" w:cstheme="minorHAnsi"/>
          <w:lang w:val="it-IT"/>
        </w:rPr>
        <w:lastRenderedPageBreak/>
        <w:t>si</w:t>
      </w:r>
      <w:r w:rsidR="00F32245"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Pr="00457B0C">
        <w:rPr>
          <w:rFonts w:asciiTheme="minorHAnsi" w:eastAsia="MS Mincho" w:hAnsiTheme="minorHAnsi" w:cstheme="minorHAnsi"/>
          <w:lang w:val="it-IT"/>
        </w:rPr>
        <w:t>integra</w:t>
      </w:r>
      <w:r w:rsidR="00F32245" w:rsidRPr="00457B0C">
        <w:rPr>
          <w:rFonts w:asciiTheme="minorHAnsi" w:eastAsia="MS Mincho" w:hAnsiTheme="minorHAnsi" w:cstheme="minorHAnsi"/>
          <w:lang w:val="it-IT"/>
        </w:rPr>
        <w:t>no</w:t>
      </w:r>
      <w:r w:rsidR="001B2093"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Pr="00457B0C">
        <w:rPr>
          <w:rFonts w:asciiTheme="minorHAnsi" w:eastAsia="MS Mincho" w:hAnsiTheme="minorHAnsi" w:cstheme="minorHAnsi"/>
          <w:lang w:val="it-IT"/>
        </w:rPr>
        <w:t>con V</w:t>
      </w:r>
      <w:r w:rsidR="001B2093" w:rsidRPr="00457B0C">
        <w:rPr>
          <w:rFonts w:asciiTheme="minorHAnsi" w:eastAsia="MS Mincho" w:hAnsiTheme="minorHAnsi" w:cstheme="minorHAnsi"/>
          <w:lang w:val="it-IT"/>
        </w:rPr>
        <w:t xml:space="preserve">isa </w:t>
      </w:r>
      <w:r w:rsidRPr="00457B0C">
        <w:rPr>
          <w:rFonts w:asciiTheme="minorHAnsi" w:eastAsia="MS Mincho" w:hAnsiTheme="minorHAnsi" w:cstheme="minorHAnsi"/>
          <w:lang w:val="it-IT"/>
        </w:rPr>
        <w:t>T</w:t>
      </w:r>
      <w:r w:rsidR="001B2093" w:rsidRPr="00457B0C">
        <w:rPr>
          <w:rFonts w:asciiTheme="minorHAnsi" w:eastAsia="MS Mincho" w:hAnsiTheme="minorHAnsi" w:cstheme="minorHAnsi"/>
          <w:lang w:val="it-IT"/>
        </w:rPr>
        <w:t xml:space="preserve">oken </w:t>
      </w:r>
      <w:r w:rsidRPr="00457B0C">
        <w:rPr>
          <w:rFonts w:asciiTheme="minorHAnsi" w:eastAsia="MS Mincho" w:hAnsiTheme="minorHAnsi" w:cstheme="minorHAnsi"/>
          <w:lang w:val="it-IT"/>
        </w:rPr>
        <w:t>S</w:t>
      </w:r>
      <w:r w:rsidR="001B2093" w:rsidRPr="00457B0C">
        <w:rPr>
          <w:rFonts w:asciiTheme="minorHAnsi" w:eastAsia="MS Mincho" w:hAnsiTheme="minorHAnsi" w:cstheme="minorHAnsi"/>
          <w:lang w:val="it-IT"/>
        </w:rPr>
        <w:t>ervice</w:t>
      </w:r>
      <w:r w:rsidRPr="00457B0C">
        <w:rPr>
          <w:rFonts w:asciiTheme="minorHAnsi" w:eastAsia="MS Mincho" w:hAnsiTheme="minorHAnsi" w:cstheme="minorHAnsi"/>
          <w:lang w:val="it-IT"/>
        </w:rPr>
        <w:t xml:space="preserve"> attraverso i nuovi partner di Visa</w:t>
      </w:r>
      <w:r w:rsidR="00F32245" w:rsidRPr="00457B0C">
        <w:rPr>
          <w:rFonts w:asciiTheme="minorHAnsi" w:eastAsia="MS Mincho" w:hAnsiTheme="minorHAnsi" w:cstheme="minorHAnsi"/>
          <w:lang w:val="it-IT"/>
        </w:rPr>
        <w:t>,</w:t>
      </w:r>
      <w:r w:rsidRPr="00457B0C">
        <w:rPr>
          <w:rFonts w:asciiTheme="minorHAnsi" w:eastAsia="MS Mincho" w:hAnsiTheme="minorHAnsi" w:cstheme="minorHAnsi"/>
          <w:lang w:val="it-IT"/>
        </w:rPr>
        <w:t xml:space="preserve"> non </w:t>
      </w:r>
      <w:r w:rsidR="001B2093" w:rsidRPr="00457B0C">
        <w:rPr>
          <w:rFonts w:asciiTheme="minorHAnsi" w:eastAsia="MS Mincho" w:hAnsiTheme="minorHAnsi" w:cstheme="minorHAnsi"/>
          <w:lang w:val="it-IT"/>
        </w:rPr>
        <w:t>hanno necessità di</w:t>
      </w:r>
      <w:r w:rsidRPr="00457B0C">
        <w:rPr>
          <w:rFonts w:asciiTheme="minorHAnsi" w:eastAsia="MS Mincho" w:hAnsiTheme="minorHAnsi" w:cstheme="minorHAnsi"/>
          <w:lang w:val="it-IT"/>
        </w:rPr>
        <w:t xml:space="preserve"> attendere l'approvazione individuale della certificazione e possono avviare la loro iniziativa </w:t>
      </w:r>
      <w:r w:rsidR="001B2093" w:rsidRPr="00457B0C">
        <w:rPr>
          <w:rFonts w:asciiTheme="minorHAnsi" w:eastAsia="MS Mincho" w:hAnsiTheme="minorHAnsi" w:cstheme="minorHAnsi"/>
          <w:lang w:val="it-IT"/>
        </w:rPr>
        <w:t xml:space="preserve">di </w:t>
      </w:r>
      <w:r w:rsidRPr="00457B0C">
        <w:rPr>
          <w:rFonts w:asciiTheme="minorHAnsi" w:eastAsia="MS Mincho" w:hAnsiTheme="minorHAnsi" w:cstheme="minorHAnsi"/>
          <w:lang w:val="it-IT"/>
        </w:rPr>
        <w:t>token</w:t>
      </w:r>
      <w:r w:rsidR="001B2093" w:rsidRPr="00457B0C">
        <w:rPr>
          <w:rFonts w:asciiTheme="minorHAnsi" w:eastAsia="MS Mincho" w:hAnsiTheme="minorHAnsi" w:cstheme="minorHAnsi"/>
          <w:lang w:val="it-IT"/>
        </w:rPr>
        <w:t>izzazione</w:t>
      </w:r>
      <w:r w:rsidRPr="00457B0C">
        <w:rPr>
          <w:rFonts w:asciiTheme="minorHAnsi" w:eastAsia="MS Mincho" w:hAnsiTheme="minorHAnsi" w:cstheme="minorHAnsi"/>
          <w:lang w:val="it-IT"/>
        </w:rPr>
        <w:t xml:space="preserve"> in modo rapido e semplice.</w:t>
      </w:r>
    </w:p>
    <w:p w14:paraId="034393D1" w14:textId="77777777" w:rsidR="00D145D5" w:rsidRDefault="00D145D5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lang w:val="it-IT"/>
        </w:rPr>
      </w:pPr>
    </w:p>
    <w:p w14:paraId="10CD5F84" w14:textId="528A5C97" w:rsidR="005D4A6C" w:rsidRPr="00D145D5" w:rsidRDefault="005D4A6C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i/>
          <w:lang w:val="it-IT"/>
        </w:rPr>
      </w:pPr>
      <w:r w:rsidRPr="005D4A6C">
        <w:rPr>
          <w:rFonts w:asciiTheme="minorHAnsi" w:eastAsia="MS Mincho" w:hAnsiTheme="minorHAnsi" w:cstheme="minorHAnsi"/>
          <w:i/>
          <w:lang w:val="it-IT"/>
        </w:rPr>
        <w:t xml:space="preserve">“Come primo </w:t>
      </w:r>
      <w:proofErr w:type="spellStart"/>
      <w:r w:rsidRPr="005D4A6C">
        <w:rPr>
          <w:rFonts w:asciiTheme="minorHAnsi" w:eastAsia="MS Mincho" w:hAnsiTheme="minorHAnsi" w:cstheme="minorHAnsi"/>
          <w:i/>
          <w:lang w:val="it-IT"/>
        </w:rPr>
        <w:t>acqui</w:t>
      </w:r>
      <w:r>
        <w:rPr>
          <w:rFonts w:asciiTheme="minorHAnsi" w:eastAsia="MS Mincho" w:hAnsiTheme="minorHAnsi" w:cstheme="minorHAnsi"/>
          <w:i/>
          <w:lang w:val="it-IT"/>
        </w:rPr>
        <w:t>rer</w:t>
      </w:r>
      <w:proofErr w:type="spellEnd"/>
      <w:r w:rsidRPr="005D4A6C">
        <w:rPr>
          <w:rFonts w:asciiTheme="minorHAnsi" w:eastAsia="MS Mincho" w:hAnsiTheme="minorHAnsi" w:cstheme="minorHAnsi"/>
          <w:i/>
          <w:lang w:val="it-IT"/>
        </w:rPr>
        <w:t xml:space="preserve"> a integrare Visa</w:t>
      </w:r>
      <w:r>
        <w:rPr>
          <w:rFonts w:asciiTheme="minorHAnsi" w:eastAsia="MS Mincho" w:hAnsiTheme="minorHAnsi" w:cstheme="minorHAnsi"/>
          <w:i/>
          <w:lang w:val="it-IT"/>
        </w:rPr>
        <w:t xml:space="preserve"> Token Service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 per i mercati globali, siamo lieti di </w:t>
      </w:r>
      <w:r>
        <w:rPr>
          <w:rFonts w:asciiTheme="minorHAnsi" w:eastAsia="MS Mincho" w:hAnsiTheme="minorHAnsi" w:cstheme="minorHAnsi"/>
          <w:i/>
          <w:lang w:val="it-IT"/>
        </w:rPr>
        <w:t>annunciare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 la nostra disponibilità </w:t>
      </w:r>
      <w:r>
        <w:rPr>
          <w:rFonts w:asciiTheme="minorHAnsi" w:eastAsia="MS Mincho" w:hAnsiTheme="minorHAnsi" w:cstheme="minorHAnsi"/>
          <w:i/>
          <w:lang w:val="it-IT"/>
        </w:rPr>
        <w:t>verso</w:t>
      </w:r>
      <w:r w:rsidR="00D145D5">
        <w:rPr>
          <w:rFonts w:asciiTheme="minorHAnsi" w:eastAsia="MS Mincho" w:hAnsiTheme="minorHAnsi" w:cstheme="minorHAnsi"/>
          <w:i/>
          <w:lang w:val="it-IT"/>
        </w:rPr>
        <w:t xml:space="preserve"> i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 commercianti europei", ha dichiarato </w:t>
      </w:r>
      <w:r w:rsidRPr="005D4A6C">
        <w:rPr>
          <w:rFonts w:asciiTheme="minorHAnsi" w:eastAsia="MS Mincho" w:hAnsiTheme="minorHAnsi" w:cstheme="minorHAnsi"/>
          <w:b/>
          <w:i/>
          <w:lang w:val="it-IT"/>
        </w:rPr>
        <w:t xml:space="preserve">Edgar </w:t>
      </w:r>
      <w:proofErr w:type="spellStart"/>
      <w:r w:rsidRPr="005D4A6C">
        <w:rPr>
          <w:rFonts w:asciiTheme="minorHAnsi" w:eastAsia="MS Mincho" w:hAnsiTheme="minorHAnsi" w:cstheme="minorHAnsi"/>
          <w:b/>
          <w:i/>
          <w:lang w:val="it-IT"/>
        </w:rPr>
        <w:t>Verschuur</w:t>
      </w:r>
      <w:proofErr w:type="spellEnd"/>
      <w:r w:rsidR="00D145D5">
        <w:rPr>
          <w:rFonts w:asciiTheme="minorHAnsi" w:eastAsia="MS Mincho" w:hAnsiTheme="minorHAnsi" w:cstheme="minorHAnsi"/>
          <w:b/>
          <w:i/>
          <w:lang w:val="it-IT"/>
        </w:rPr>
        <w:t>,</w:t>
      </w:r>
      <w:r w:rsidRPr="005D4A6C">
        <w:rPr>
          <w:rFonts w:asciiTheme="minorHAnsi" w:eastAsia="MS Mincho" w:hAnsiTheme="minorHAnsi" w:cstheme="minorHAnsi"/>
          <w:b/>
          <w:i/>
          <w:lang w:val="it-IT"/>
        </w:rPr>
        <w:t xml:space="preserve"> head of global </w:t>
      </w:r>
      <w:proofErr w:type="spellStart"/>
      <w:r w:rsidRPr="005D4A6C">
        <w:rPr>
          <w:rFonts w:asciiTheme="minorHAnsi" w:eastAsia="MS Mincho" w:hAnsiTheme="minorHAnsi" w:cstheme="minorHAnsi"/>
          <w:b/>
          <w:i/>
          <w:lang w:val="it-IT"/>
        </w:rPr>
        <w:t>acquiring</w:t>
      </w:r>
      <w:proofErr w:type="spellEnd"/>
      <w:r w:rsidRPr="005D4A6C">
        <w:rPr>
          <w:rFonts w:asciiTheme="minorHAnsi" w:eastAsia="MS Mincho" w:hAnsiTheme="minorHAnsi" w:cstheme="minorHAnsi"/>
          <w:b/>
          <w:i/>
          <w:lang w:val="it-IT"/>
        </w:rPr>
        <w:t xml:space="preserve">, </w:t>
      </w:r>
      <w:proofErr w:type="spellStart"/>
      <w:r w:rsidRPr="005D4A6C">
        <w:rPr>
          <w:rFonts w:asciiTheme="minorHAnsi" w:eastAsia="MS Mincho" w:hAnsiTheme="minorHAnsi" w:cstheme="minorHAnsi"/>
          <w:b/>
          <w:i/>
          <w:lang w:val="it-IT"/>
        </w:rPr>
        <w:t>Adyen</w:t>
      </w:r>
      <w:proofErr w:type="spellEnd"/>
      <w:r w:rsidRPr="005D4A6C">
        <w:rPr>
          <w:rFonts w:asciiTheme="minorHAnsi" w:eastAsia="MS Mincho" w:hAnsiTheme="minorHAnsi" w:cstheme="minorHAnsi"/>
          <w:b/>
          <w:i/>
          <w:lang w:val="it-IT"/>
        </w:rPr>
        <w:t xml:space="preserve"> </w:t>
      </w:r>
      <w:r w:rsidRPr="005D4A6C">
        <w:rPr>
          <w:rFonts w:asciiTheme="minorHAnsi" w:eastAsia="MS Mincho" w:hAnsiTheme="minorHAnsi" w:cstheme="minorHAnsi"/>
          <w:i/>
          <w:lang w:val="it-IT"/>
        </w:rPr>
        <w:t>"Abbiamo già assistito a una performance</w:t>
      </w:r>
      <w:r>
        <w:rPr>
          <w:rFonts w:asciiTheme="minorHAnsi" w:eastAsia="MS Mincho" w:hAnsiTheme="minorHAnsi" w:cstheme="minorHAnsi"/>
          <w:i/>
          <w:lang w:val="it-IT"/>
        </w:rPr>
        <w:t xml:space="preserve"> significativa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 </w:t>
      </w:r>
      <w:r w:rsidR="00D9492F">
        <w:rPr>
          <w:rFonts w:asciiTheme="minorHAnsi" w:eastAsia="MS Mincho" w:hAnsiTheme="minorHAnsi" w:cstheme="minorHAnsi"/>
          <w:i/>
          <w:lang w:val="it-IT"/>
        </w:rPr>
        <w:t>con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 l'elaborazione di token di rete a livello globale. Grazie alla nostra diretta integrazione </w:t>
      </w:r>
      <w:r>
        <w:rPr>
          <w:rFonts w:asciiTheme="minorHAnsi" w:eastAsia="MS Mincho" w:hAnsiTheme="minorHAnsi" w:cstheme="minorHAnsi"/>
          <w:i/>
          <w:lang w:val="it-IT"/>
        </w:rPr>
        <w:t>d</w:t>
      </w:r>
      <w:r w:rsidR="00D145D5">
        <w:rPr>
          <w:rFonts w:asciiTheme="minorHAnsi" w:eastAsia="MS Mincho" w:hAnsiTheme="minorHAnsi" w:cstheme="minorHAnsi"/>
          <w:i/>
          <w:lang w:val="it-IT"/>
        </w:rPr>
        <w:t>i</w:t>
      </w:r>
      <w:r>
        <w:rPr>
          <w:rFonts w:asciiTheme="minorHAnsi" w:eastAsia="MS Mincho" w:hAnsiTheme="minorHAnsi" w:cstheme="minorHAnsi"/>
          <w:i/>
          <w:lang w:val="it-IT"/>
        </w:rPr>
        <w:t xml:space="preserve"> Visa Token Service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, stiamo </w:t>
      </w:r>
      <w:r w:rsidR="00D145D5">
        <w:rPr>
          <w:rFonts w:asciiTheme="minorHAnsi" w:eastAsia="MS Mincho" w:hAnsiTheme="minorHAnsi" w:cstheme="minorHAnsi"/>
          <w:i/>
          <w:lang w:val="it-IT"/>
        </w:rPr>
        <w:t>offren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do ai nostri commercianti un modo semplice e sicuro per migliorare le credenziali di pagamento memorizzate dei loro </w:t>
      </w:r>
      <w:r w:rsidR="00D145D5">
        <w:rPr>
          <w:rFonts w:asciiTheme="minorHAnsi" w:eastAsia="MS Mincho" w:hAnsiTheme="minorHAnsi" w:cstheme="minorHAnsi"/>
          <w:i/>
          <w:lang w:val="it-IT"/>
        </w:rPr>
        <w:t>clienti</w:t>
      </w:r>
      <w:r w:rsidRPr="005D4A6C">
        <w:rPr>
          <w:rFonts w:asciiTheme="minorHAnsi" w:eastAsia="MS Mincho" w:hAnsiTheme="minorHAnsi" w:cstheme="minorHAnsi"/>
          <w:i/>
          <w:lang w:val="it-IT"/>
        </w:rPr>
        <w:t xml:space="preserve">. Questo non solo aiuta a migliorare i tassi di autorizzazione, ma riduce anche il tasso di abbandono involontario. </w:t>
      </w:r>
      <w:r w:rsidRPr="00D145D5">
        <w:rPr>
          <w:rFonts w:asciiTheme="minorHAnsi" w:eastAsia="MS Mincho" w:hAnsiTheme="minorHAnsi" w:cstheme="minorHAnsi"/>
          <w:i/>
          <w:lang w:val="it-IT"/>
        </w:rPr>
        <w:t>"</w:t>
      </w:r>
    </w:p>
    <w:p w14:paraId="239F6308" w14:textId="77777777" w:rsidR="00FB2188" w:rsidRPr="00D145D5" w:rsidRDefault="00FB2188" w:rsidP="00457B0C">
      <w:pPr>
        <w:autoSpaceDN w:val="0"/>
        <w:contextualSpacing/>
        <w:jc w:val="both"/>
        <w:rPr>
          <w:rFonts w:ascii="Segoe UI" w:eastAsia="MS Mincho" w:hAnsi="Segoe UI" w:cs="Segoe UI"/>
          <w:lang w:val="it-IT"/>
        </w:rPr>
      </w:pPr>
    </w:p>
    <w:p w14:paraId="3BBD9155" w14:textId="129144D9" w:rsidR="00B47649" w:rsidRPr="004828AE" w:rsidRDefault="00B47649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i/>
          <w:iCs/>
          <w:color w:val="000000"/>
          <w:szCs w:val="24"/>
          <w:shd w:val="clear" w:color="auto" w:fill="FFFFFF"/>
          <w:lang w:val="en-GB"/>
        </w:rPr>
      </w:pPr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 xml:space="preserve">Jonathan O’Connor, </w:t>
      </w:r>
      <w:proofErr w:type="spellStart"/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>Chief</w:t>
      </w:r>
      <w:proofErr w:type="spellEnd"/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 xml:space="preserve"> Commercial </w:t>
      </w:r>
      <w:proofErr w:type="spellStart"/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>Officer</w:t>
      </w:r>
      <w:proofErr w:type="spellEnd"/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 xml:space="preserve"> of </w:t>
      </w:r>
      <w:proofErr w:type="spellStart"/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>Secure</w:t>
      </w:r>
      <w:proofErr w:type="spellEnd"/>
      <w:r w:rsidRPr="00D145D5">
        <w:rPr>
          <w:rFonts w:asciiTheme="minorHAnsi" w:eastAsia="MS Mincho" w:hAnsiTheme="minorHAnsi" w:cstheme="minorHAnsi"/>
          <w:b/>
          <w:color w:val="000000"/>
          <w:shd w:val="clear" w:color="auto" w:fill="FFFFFF"/>
          <w:lang w:val="it-IT"/>
        </w:rPr>
        <w:t xml:space="preserve"> Trading Group</w:t>
      </w:r>
      <w:r w:rsidR="00FB2188" w:rsidRPr="00D145D5">
        <w:rPr>
          <w:rFonts w:asciiTheme="minorHAnsi" w:eastAsia="MS Mincho" w:hAnsiTheme="minorHAnsi" w:cstheme="minorHAnsi"/>
          <w:color w:val="000000"/>
          <w:shd w:val="clear" w:color="auto" w:fill="FFFFFF"/>
          <w:lang w:val="it-IT"/>
        </w:rPr>
        <w:t>:</w:t>
      </w:r>
      <w:r w:rsidR="00D145D5">
        <w:rPr>
          <w:rFonts w:asciiTheme="minorHAnsi" w:eastAsia="MS Mincho" w:hAnsiTheme="minorHAnsi" w:cstheme="minorHAnsi"/>
          <w:color w:val="000000"/>
          <w:shd w:val="clear" w:color="auto" w:fill="FFFFFF"/>
          <w:lang w:val="it-IT"/>
        </w:rPr>
        <w:t xml:space="preserve"> </w:t>
      </w:r>
      <w:r w:rsidRP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“</w:t>
      </w:r>
      <w:r w:rsidR="00845BF8" w:rsidRP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L</w:t>
      </w:r>
      <w:r w:rsidR="00EF17B3" w:rsidRP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a</w:t>
      </w:r>
      <w:r w:rsidR="00EF17B3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 xml:space="preserve"> sicurezza dei fondi che elaboriamo per i commercianti è la nostra massima priorità, e Visa Token Service ci aiuterà nel migliorare notevolmente il mod</w:t>
      </w:r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o di ottenerl</w:t>
      </w:r>
      <w:r w:rsid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a</w:t>
      </w:r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. Rimuovendo il punto di frizione della gestione dei dati sensibili sul nostro gateway, siamo in grado di rafforzare ulteriormente i nostri sistemi contro i rischi di frode. Visa è stata a lungo market leader in termini di innovazione d</w:t>
      </w:r>
      <w:r w:rsid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e</w:t>
      </w:r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 xml:space="preserve">i pagamenti, e siamo lieti di beneficiare delle ultime novità nella </w:t>
      </w:r>
      <w:proofErr w:type="spellStart"/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tokenizzazione</w:t>
      </w:r>
      <w:proofErr w:type="spellEnd"/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 xml:space="preserve"> </w:t>
      </w:r>
      <w:r w:rsid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dei dati</w:t>
      </w:r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 xml:space="preserve">. </w:t>
      </w:r>
      <w:r w:rsidR="00845BF8" w:rsidRPr="004828AE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en-GB"/>
        </w:rPr>
        <w:t xml:space="preserve">" </w:t>
      </w:r>
    </w:p>
    <w:p w14:paraId="030E8D2E" w14:textId="77777777" w:rsidR="00FB2188" w:rsidRPr="004828AE" w:rsidRDefault="00FB2188" w:rsidP="00457B0C">
      <w:pPr>
        <w:autoSpaceDN w:val="0"/>
        <w:contextualSpacing/>
        <w:jc w:val="both"/>
        <w:rPr>
          <w:rFonts w:ascii="Segoe UI" w:eastAsia="MS Mincho" w:hAnsi="Segoe UI" w:cs="Segoe UI"/>
          <w:i/>
          <w:iCs/>
          <w:color w:val="000000"/>
          <w:shd w:val="clear" w:color="auto" w:fill="FFFFFF"/>
          <w:lang w:val="en-GB"/>
        </w:rPr>
      </w:pPr>
    </w:p>
    <w:p w14:paraId="730409EC" w14:textId="52715232" w:rsidR="00845BF8" w:rsidRPr="00D145D5" w:rsidRDefault="00B47649" w:rsidP="00457B0C">
      <w:pPr>
        <w:autoSpaceDN w:val="0"/>
        <w:contextualSpacing/>
        <w:jc w:val="both"/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</w:pPr>
      <w:r w:rsidRPr="00D145D5">
        <w:rPr>
          <w:rFonts w:asciiTheme="minorHAnsi" w:eastAsia="MS Mincho" w:hAnsiTheme="minorHAnsi" w:cstheme="minorHAnsi"/>
          <w:b/>
          <w:iCs/>
          <w:color w:val="000000"/>
          <w:shd w:val="clear" w:color="auto" w:fill="FFFFFF"/>
          <w:lang w:val="it-IT"/>
        </w:rPr>
        <w:t xml:space="preserve">Didier </w:t>
      </w:r>
      <w:proofErr w:type="spellStart"/>
      <w:r w:rsidRPr="00D145D5">
        <w:rPr>
          <w:rFonts w:asciiTheme="minorHAnsi" w:eastAsia="MS Mincho" w:hAnsiTheme="minorHAnsi" w:cstheme="minorHAnsi"/>
          <w:b/>
          <w:iCs/>
          <w:color w:val="000000"/>
          <w:shd w:val="clear" w:color="auto" w:fill="FFFFFF"/>
          <w:lang w:val="it-IT"/>
        </w:rPr>
        <w:t>Brouat</w:t>
      </w:r>
      <w:proofErr w:type="spellEnd"/>
      <w:r w:rsidRPr="00D145D5">
        <w:rPr>
          <w:rFonts w:asciiTheme="minorHAnsi" w:eastAsia="MS Mincho" w:hAnsiTheme="minorHAnsi" w:cstheme="minorHAnsi"/>
          <w:b/>
          <w:iCs/>
          <w:color w:val="000000"/>
          <w:shd w:val="clear" w:color="auto" w:fill="FFFFFF"/>
          <w:lang w:val="it-IT"/>
        </w:rPr>
        <w:t>, CCO of MONEXT</w:t>
      </w:r>
      <w:r w:rsidR="00FB2188" w:rsidRPr="00D145D5">
        <w:rPr>
          <w:rFonts w:asciiTheme="minorHAnsi" w:eastAsia="MS Mincho" w:hAnsiTheme="minorHAnsi" w:cstheme="minorHAnsi"/>
          <w:b/>
          <w:iCs/>
          <w:color w:val="000000"/>
          <w:shd w:val="clear" w:color="auto" w:fill="FFFFFF"/>
          <w:lang w:val="it-IT"/>
        </w:rPr>
        <w:t>:</w:t>
      </w:r>
      <w:r w:rsidR="00D145D5">
        <w:rPr>
          <w:rFonts w:asciiTheme="minorHAnsi" w:eastAsia="MS Mincho" w:hAnsiTheme="minorHAnsi" w:cstheme="minorHAnsi"/>
          <w:b/>
          <w:iCs/>
          <w:color w:val="000000"/>
          <w:shd w:val="clear" w:color="auto" w:fill="FFFFFF"/>
          <w:lang w:val="it-IT"/>
        </w:rPr>
        <w:t xml:space="preserve"> </w:t>
      </w:r>
      <w:r w:rsidR="00845BF8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“</w:t>
      </w:r>
      <w:proofErr w:type="spellStart"/>
      <w:r w:rsidR="00F12FDF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Monext</w:t>
      </w:r>
      <w:proofErr w:type="spellEnd"/>
      <w:r w:rsidR="00F12FDF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 xml:space="preserve"> non vede l’ora di offrire la tokenizzazione Visa come prova del nostro impegno a offrire sempre più semplicità, efficienza e protezione sia per i commercianti che per i consumatori</w:t>
      </w:r>
      <w:r w:rsidR="00D145D5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.</w:t>
      </w:r>
      <w:r w:rsidR="00F12FDF" w:rsidRPr="00457B0C">
        <w:rPr>
          <w:rFonts w:asciiTheme="minorHAnsi" w:eastAsia="MS Mincho" w:hAnsiTheme="minorHAnsi" w:cstheme="minorHAnsi"/>
          <w:i/>
          <w:iCs/>
          <w:color w:val="000000"/>
          <w:shd w:val="clear" w:color="auto" w:fill="FFFFFF"/>
          <w:lang w:val="it-IT"/>
        </w:rPr>
        <w:t>”</w:t>
      </w:r>
    </w:p>
    <w:p w14:paraId="303C9C24" w14:textId="77777777" w:rsidR="00FB2188" w:rsidRPr="00F12FDF" w:rsidRDefault="00FB2188" w:rsidP="00457B0C">
      <w:pPr>
        <w:autoSpaceDN w:val="0"/>
        <w:jc w:val="both"/>
        <w:rPr>
          <w:rFonts w:ascii="Segoe UI" w:eastAsia="MS Mincho" w:hAnsi="Segoe UI" w:cs="Segoe UI"/>
          <w:lang w:val="it-IT"/>
        </w:rPr>
      </w:pPr>
    </w:p>
    <w:p w14:paraId="40068352" w14:textId="22F08281" w:rsidR="00A95EBA" w:rsidRPr="00457B0C" w:rsidRDefault="00A95EBA" w:rsidP="00457B0C">
      <w:pPr>
        <w:autoSpaceDN w:val="0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>Visa</w:t>
      </w:r>
      <w:r w:rsidR="00CE2709" w:rsidRPr="00457B0C">
        <w:rPr>
          <w:rFonts w:asciiTheme="minorHAnsi" w:eastAsia="MS Mincho" w:hAnsiTheme="minorHAnsi" w:cstheme="minorHAnsi"/>
          <w:lang w:val="it-IT"/>
        </w:rPr>
        <w:t xml:space="preserve"> Token Service</w:t>
      </w:r>
      <w:r w:rsidRPr="00457B0C">
        <w:rPr>
          <w:rFonts w:asciiTheme="minorHAnsi" w:eastAsia="MS Mincho" w:hAnsiTheme="minorHAnsi" w:cstheme="minorHAnsi"/>
          <w:lang w:val="it-IT"/>
        </w:rPr>
        <w:t xml:space="preserve"> sostituisce le informazioni </w:t>
      </w:r>
      <w:r w:rsidR="00CE2709" w:rsidRPr="00457B0C">
        <w:rPr>
          <w:rFonts w:asciiTheme="minorHAnsi" w:eastAsia="MS Mincho" w:hAnsiTheme="minorHAnsi" w:cstheme="minorHAnsi"/>
          <w:lang w:val="it-IT"/>
        </w:rPr>
        <w:t>de</w:t>
      </w:r>
      <w:r w:rsidRPr="00457B0C">
        <w:rPr>
          <w:rFonts w:asciiTheme="minorHAnsi" w:eastAsia="MS Mincho" w:hAnsiTheme="minorHAnsi" w:cstheme="minorHAnsi"/>
          <w:lang w:val="it-IT"/>
        </w:rPr>
        <w:t>ll'account utente</w:t>
      </w:r>
      <w:r w:rsidR="00CE2709" w:rsidRPr="00457B0C">
        <w:rPr>
          <w:rFonts w:asciiTheme="minorHAnsi" w:eastAsia="MS Mincho" w:hAnsiTheme="minorHAnsi" w:cstheme="minorHAnsi"/>
          <w:lang w:val="it-IT"/>
        </w:rPr>
        <w:t>,</w:t>
      </w:r>
      <w:r w:rsidRPr="00457B0C">
        <w:rPr>
          <w:rFonts w:asciiTheme="minorHAnsi" w:eastAsia="MS Mincho" w:hAnsiTheme="minorHAnsi" w:cstheme="minorHAnsi"/>
          <w:lang w:val="it-IT"/>
        </w:rPr>
        <w:t xml:space="preserve"> come il numero di conto primario (PAN) e le informazioni di scadenza</w:t>
      </w:r>
      <w:r w:rsidR="00CE2709" w:rsidRPr="00457B0C">
        <w:rPr>
          <w:rFonts w:asciiTheme="minorHAnsi" w:eastAsia="MS Mincho" w:hAnsiTheme="minorHAnsi" w:cstheme="minorHAnsi"/>
          <w:lang w:val="it-IT"/>
        </w:rPr>
        <w:t>,</w:t>
      </w:r>
      <w:r w:rsidRPr="00457B0C">
        <w:rPr>
          <w:rFonts w:asciiTheme="minorHAnsi" w:eastAsia="MS Mincho" w:hAnsiTheme="minorHAnsi" w:cstheme="minorHAnsi"/>
          <w:lang w:val="it-IT"/>
        </w:rPr>
        <w:t xml:space="preserve"> con un identificat</w:t>
      </w:r>
      <w:r w:rsidR="001B2093" w:rsidRPr="00457B0C">
        <w:rPr>
          <w:rFonts w:asciiTheme="minorHAnsi" w:eastAsia="MS Mincho" w:hAnsiTheme="minorHAnsi" w:cstheme="minorHAnsi"/>
          <w:lang w:val="it-IT"/>
        </w:rPr>
        <w:t>ivo</w:t>
      </w:r>
      <w:r w:rsidRPr="00457B0C">
        <w:rPr>
          <w:rFonts w:asciiTheme="minorHAnsi" w:eastAsia="MS Mincho" w:hAnsiTheme="minorHAnsi" w:cstheme="minorHAnsi"/>
          <w:lang w:val="it-IT"/>
        </w:rPr>
        <w:t xml:space="preserve"> digitale o "token" univoco, in modo che i dati sensibili non vengano mai condivisi. Inoltre, i token possono essere limitati per funzionare solo con un commerciante specifico, aggiungendo un ulteriore livello di sicurezza ai pagamenti digitali. Per i consumatori, </w:t>
      </w:r>
      <w:r w:rsidR="001B2093" w:rsidRPr="00457B0C">
        <w:rPr>
          <w:rFonts w:asciiTheme="minorHAnsi" w:eastAsia="MS Mincho" w:hAnsiTheme="minorHAnsi" w:cstheme="minorHAnsi"/>
          <w:lang w:val="it-IT"/>
        </w:rPr>
        <w:t>ciò</w:t>
      </w:r>
      <w:r w:rsidRPr="00457B0C">
        <w:rPr>
          <w:rFonts w:asciiTheme="minorHAnsi" w:eastAsia="MS Mincho" w:hAnsiTheme="minorHAnsi" w:cstheme="minorHAnsi"/>
          <w:lang w:val="it-IT"/>
        </w:rPr>
        <w:t xml:space="preserve"> consente un'esperienza di pagamento più sicura e conveniente, mentre per i commercianti riduce il numero di </w:t>
      </w:r>
      <w:r w:rsidR="001B2093" w:rsidRPr="00457B0C">
        <w:rPr>
          <w:rFonts w:asciiTheme="minorHAnsi" w:eastAsia="MS Mincho" w:hAnsiTheme="minorHAnsi" w:cstheme="minorHAnsi"/>
          <w:lang w:val="it-IT"/>
        </w:rPr>
        <w:t>acquisti che non vanno a buon fine</w:t>
      </w:r>
      <w:r w:rsidR="00662F9C" w:rsidRPr="00457B0C">
        <w:rPr>
          <w:rFonts w:asciiTheme="minorHAnsi" w:eastAsia="MS Mincho" w:hAnsiTheme="minorHAnsi" w:cstheme="minorHAnsi"/>
          <w:lang w:val="it-IT"/>
        </w:rPr>
        <w:t>,</w:t>
      </w:r>
      <w:r w:rsidRPr="00457B0C">
        <w:rPr>
          <w:rFonts w:asciiTheme="minorHAnsi" w:eastAsia="MS Mincho" w:hAnsiTheme="minorHAnsi" w:cstheme="minorHAnsi"/>
          <w:lang w:val="it-IT"/>
        </w:rPr>
        <w:t xml:space="preserve"> in quanto la transazione non può essere </w:t>
      </w:r>
      <w:r w:rsidR="001B2093" w:rsidRPr="00457B0C">
        <w:rPr>
          <w:rFonts w:asciiTheme="minorHAnsi" w:eastAsia="MS Mincho" w:hAnsiTheme="minorHAnsi" w:cstheme="minorHAnsi"/>
          <w:lang w:val="it-IT"/>
        </w:rPr>
        <w:t>rifiutata</w:t>
      </w:r>
      <w:r w:rsidRPr="00457B0C">
        <w:rPr>
          <w:rFonts w:asciiTheme="minorHAnsi" w:eastAsia="MS Mincho" w:hAnsiTheme="minorHAnsi" w:cstheme="minorHAnsi"/>
          <w:lang w:val="it-IT"/>
        </w:rPr>
        <w:t xml:space="preserve"> </w:t>
      </w:r>
      <w:r w:rsidR="001B2093" w:rsidRPr="00457B0C">
        <w:rPr>
          <w:rFonts w:asciiTheme="minorHAnsi" w:eastAsia="MS Mincho" w:hAnsiTheme="minorHAnsi" w:cstheme="minorHAnsi"/>
          <w:lang w:val="it-IT"/>
        </w:rPr>
        <w:t>per</w:t>
      </w:r>
      <w:r w:rsidRPr="00457B0C">
        <w:rPr>
          <w:rFonts w:asciiTheme="minorHAnsi" w:eastAsia="MS Mincho" w:hAnsiTheme="minorHAnsi" w:cstheme="minorHAnsi"/>
          <w:lang w:val="it-IT"/>
        </w:rPr>
        <w:t xml:space="preserve"> credenziali di pagamento scadute</w:t>
      </w:r>
      <w:r w:rsidR="001B2093" w:rsidRPr="00457B0C">
        <w:rPr>
          <w:rFonts w:asciiTheme="minorHAnsi" w:eastAsia="MS Mincho" w:hAnsiTheme="minorHAnsi" w:cstheme="minorHAnsi"/>
          <w:lang w:val="it-IT"/>
        </w:rPr>
        <w:t>.</w:t>
      </w:r>
    </w:p>
    <w:p w14:paraId="265A26FB" w14:textId="77777777" w:rsidR="00FB2188" w:rsidRPr="00A95EBA" w:rsidRDefault="00FB2188" w:rsidP="00457B0C">
      <w:pPr>
        <w:autoSpaceDN w:val="0"/>
        <w:jc w:val="both"/>
        <w:rPr>
          <w:rFonts w:ascii="Segoe UI" w:eastAsia="MS Mincho" w:hAnsi="Segoe UI" w:cs="Segoe UI"/>
          <w:lang w:val="it-IT"/>
        </w:rPr>
      </w:pPr>
    </w:p>
    <w:p w14:paraId="0F2B8E7B" w14:textId="640D7780" w:rsidR="00B54872" w:rsidRPr="00457B0C" w:rsidRDefault="00B54872" w:rsidP="00457B0C">
      <w:pPr>
        <w:autoSpaceDN w:val="0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 xml:space="preserve">Oltre alla riduzione del rischio di frode, i consumatori </w:t>
      </w:r>
      <w:r w:rsidR="001B2093" w:rsidRPr="00457B0C">
        <w:rPr>
          <w:rFonts w:asciiTheme="minorHAnsi" w:eastAsia="MS Mincho" w:hAnsiTheme="minorHAnsi" w:cstheme="minorHAnsi"/>
          <w:lang w:val="it-IT"/>
        </w:rPr>
        <w:t>ve</w:t>
      </w:r>
      <w:r w:rsidRPr="00457B0C">
        <w:rPr>
          <w:rFonts w:asciiTheme="minorHAnsi" w:eastAsia="MS Mincho" w:hAnsiTheme="minorHAnsi" w:cstheme="minorHAnsi"/>
          <w:lang w:val="it-IT"/>
        </w:rPr>
        <w:t>dranno una serie di vantaggi aggiuntivi dalla tokenizzazione d</w:t>
      </w:r>
      <w:r w:rsidR="001B2093" w:rsidRPr="00457B0C">
        <w:rPr>
          <w:rFonts w:asciiTheme="minorHAnsi" w:eastAsia="MS Mincho" w:hAnsiTheme="minorHAnsi" w:cstheme="minorHAnsi"/>
          <w:lang w:val="it-IT"/>
        </w:rPr>
        <w:t>e</w:t>
      </w:r>
      <w:r w:rsidRPr="00457B0C">
        <w:rPr>
          <w:rFonts w:asciiTheme="minorHAnsi" w:eastAsia="MS Mincho" w:hAnsiTheme="minorHAnsi" w:cstheme="minorHAnsi"/>
          <w:lang w:val="it-IT"/>
        </w:rPr>
        <w:t xml:space="preserve">i </w:t>
      </w:r>
      <w:r w:rsidR="001B2093" w:rsidRPr="00457B0C">
        <w:rPr>
          <w:rFonts w:asciiTheme="minorHAnsi" w:eastAsia="MS Mincho" w:hAnsiTheme="minorHAnsi" w:cstheme="minorHAnsi"/>
          <w:lang w:val="it-IT"/>
        </w:rPr>
        <w:t>dati</w:t>
      </w:r>
      <w:r w:rsidRPr="00457B0C">
        <w:rPr>
          <w:rFonts w:asciiTheme="minorHAnsi" w:eastAsia="MS Mincho" w:hAnsiTheme="minorHAnsi" w:cstheme="minorHAnsi"/>
          <w:lang w:val="it-IT"/>
        </w:rPr>
        <w:t>, tra cui:</w:t>
      </w:r>
    </w:p>
    <w:p w14:paraId="775FFD4D" w14:textId="3BC4A5FB" w:rsidR="00B54872" w:rsidRPr="00457B0C" w:rsidRDefault="00B54872" w:rsidP="00457B0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 xml:space="preserve">Informazioni </w:t>
      </w:r>
      <w:r w:rsidR="00662F9C" w:rsidRPr="00457B0C">
        <w:rPr>
          <w:rFonts w:asciiTheme="minorHAnsi" w:eastAsia="MS Mincho" w:hAnsiTheme="minorHAnsi" w:cstheme="minorHAnsi"/>
          <w:lang w:val="it-IT"/>
        </w:rPr>
        <w:t>dinamiche de</w:t>
      </w:r>
      <w:r w:rsidRPr="00457B0C">
        <w:rPr>
          <w:rFonts w:asciiTheme="minorHAnsi" w:eastAsia="MS Mincho" w:hAnsiTheme="minorHAnsi" w:cstheme="minorHAnsi"/>
          <w:lang w:val="it-IT"/>
        </w:rPr>
        <w:t xml:space="preserve">lle credenziali: i consumatori non devono più accedere e aggiornare i loro dettagli di pagamento quando la loro carta scade. </w:t>
      </w:r>
      <w:r w:rsidR="001B2093" w:rsidRPr="00457B0C">
        <w:rPr>
          <w:rFonts w:asciiTheme="minorHAnsi" w:eastAsia="MS Mincho" w:hAnsiTheme="minorHAnsi" w:cstheme="minorHAnsi"/>
          <w:lang w:val="it-IT"/>
        </w:rPr>
        <w:t>L</w:t>
      </w:r>
      <w:r w:rsidRPr="00457B0C">
        <w:rPr>
          <w:rFonts w:asciiTheme="minorHAnsi" w:eastAsia="MS Mincho" w:hAnsiTheme="minorHAnsi" w:cstheme="minorHAnsi"/>
          <w:lang w:val="it-IT"/>
        </w:rPr>
        <w:t>e credenziali di pagamento possono essere aggiornate senza problemi dall'emittente in background, con conseguente riduzione dei</w:t>
      </w:r>
      <w:r w:rsidR="00662F9C" w:rsidRPr="00457B0C">
        <w:rPr>
          <w:rFonts w:asciiTheme="minorHAnsi" w:eastAsia="MS Mincho" w:hAnsiTheme="minorHAnsi" w:cstheme="minorHAnsi"/>
          <w:lang w:val="it-IT"/>
        </w:rPr>
        <w:t xml:space="preserve"> rifiuti</w:t>
      </w:r>
      <w:r w:rsidRPr="00457B0C">
        <w:rPr>
          <w:rFonts w:asciiTheme="minorHAnsi" w:eastAsia="MS Mincho" w:hAnsiTheme="minorHAnsi" w:cstheme="minorHAnsi"/>
          <w:lang w:val="it-IT"/>
        </w:rPr>
        <w:t xml:space="preserve"> e un'esperienza di pagamento senza</w:t>
      </w:r>
      <w:r w:rsidR="007C65FD" w:rsidRPr="00457B0C">
        <w:rPr>
          <w:rFonts w:asciiTheme="minorHAnsi" w:eastAsia="MS Mincho" w:hAnsiTheme="minorHAnsi" w:cstheme="minorHAnsi"/>
          <w:lang w:val="it-IT"/>
        </w:rPr>
        <w:t xml:space="preserve"> ostacoli</w:t>
      </w:r>
      <w:r w:rsidRPr="00457B0C">
        <w:rPr>
          <w:rFonts w:asciiTheme="minorHAnsi" w:eastAsia="MS Mincho" w:hAnsiTheme="minorHAnsi" w:cstheme="minorHAnsi"/>
          <w:lang w:val="it-IT"/>
        </w:rPr>
        <w:t xml:space="preserve">. Per i commercianti ciò significa </w:t>
      </w:r>
      <w:r w:rsidR="00662F9C" w:rsidRPr="00457B0C">
        <w:rPr>
          <w:rFonts w:asciiTheme="minorHAnsi" w:eastAsia="MS Mincho" w:hAnsiTheme="minorHAnsi" w:cstheme="minorHAnsi"/>
          <w:lang w:val="it-IT"/>
        </w:rPr>
        <w:t>non doversi</w:t>
      </w:r>
      <w:r w:rsidRPr="00457B0C">
        <w:rPr>
          <w:rFonts w:asciiTheme="minorHAnsi" w:eastAsia="MS Mincho" w:hAnsiTheme="minorHAnsi" w:cstheme="minorHAnsi"/>
          <w:lang w:val="it-IT"/>
        </w:rPr>
        <w:t xml:space="preserve"> più preoccupar</w:t>
      </w:r>
      <w:r w:rsidR="00662F9C" w:rsidRPr="00457B0C">
        <w:rPr>
          <w:rFonts w:asciiTheme="minorHAnsi" w:eastAsia="MS Mincho" w:hAnsiTheme="minorHAnsi" w:cstheme="minorHAnsi"/>
          <w:lang w:val="it-IT"/>
        </w:rPr>
        <w:t>e</w:t>
      </w:r>
      <w:r w:rsidRPr="00457B0C">
        <w:rPr>
          <w:rFonts w:asciiTheme="minorHAnsi" w:eastAsia="MS Mincho" w:hAnsiTheme="minorHAnsi" w:cstheme="minorHAnsi"/>
          <w:lang w:val="it-IT"/>
        </w:rPr>
        <w:t xml:space="preserve"> della </w:t>
      </w:r>
      <w:r w:rsidR="00B24374" w:rsidRPr="00457B0C">
        <w:rPr>
          <w:rFonts w:asciiTheme="minorHAnsi" w:eastAsia="MS Mincho" w:hAnsiTheme="minorHAnsi" w:cstheme="minorHAnsi"/>
          <w:lang w:val="it-IT"/>
        </w:rPr>
        <w:t>perdita</w:t>
      </w:r>
      <w:r w:rsidRPr="00457B0C">
        <w:rPr>
          <w:rFonts w:asciiTheme="minorHAnsi" w:eastAsia="MS Mincho" w:hAnsiTheme="minorHAnsi" w:cstheme="minorHAnsi"/>
          <w:lang w:val="it-IT"/>
        </w:rPr>
        <w:t xml:space="preserve"> di cicli di pagamento o di </w:t>
      </w:r>
      <w:r w:rsidR="00662F9C" w:rsidRPr="00457B0C">
        <w:rPr>
          <w:rFonts w:asciiTheme="minorHAnsi" w:eastAsia="MS Mincho" w:hAnsiTheme="minorHAnsi" w:cstheme="minorHAnsi"/>
          <w:lang w:val="it-IT"/>
        </w:rPr>
        <w:t>transazioni rifiutate</w:t>
      </w:r>
      <w:r w:rsidRPr="00457B0C">
        <w:rPr>
          <w:rFonts w:asciiTheme="minorHAnsi" w:eastAsia="MS Mincho" w:hAnsiTheme="minorHAnsi" w:cstheme="minorHAnsi"/>
          <w:lang w:val="it-IT"/>
        </w:rPr>
        <w:t xml:space="preserve"> da credenziali obsolete.</w:t>
      </w:r>
    </w:p>
    <w:p w14:paraId="368AA7E9" w14:textId="6DFDAE7D" w:rsidR="00B54872" w:rsidRPr="00457B0C" w:rsidRDefault="00D47594" w:rsidP="00457B0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>Full-</w:t>
      </w:r>
      <w:proofErr w:type="spellStart"/>
      <w:r w:rsidRPr="00457B0C">
        <w:rPr>
          <w:rFonts w:asciiTheme="minorHAnsi" w:eastAsia="MS Mincho" w:hAnsiTheme="minorHAnsi" w:cstheme="minorHAnsi"/>
          <w:lang w:val="it-IT"/>
        </w:rPr>
        <w:t>colour</w:t>
      </w:r>
      <w:proofErr w:type="spellEnd"/>
      <w:r w:rsidRPr="00457B0C">
        <w:rPr>
          <w:rFonts w:asciiTheme="minorHAnsi" w:eastAsia="MS Mincho" w:hAnsiTheme="minorHAnsi" w:cstheme="minorHAnsi"/>
          <w:lang w:val="it-IT"/>
        </w:rPr>
        <w:t xml:space="preserve"> card art: 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quando un token viene </w:t>
      </w:r>
      <w:r w:rsidRPr="00457B0C">
        <w:rPr>
          <w:rFonts w:asciiTheme="minorHAnsi" w:eastAsia="MS Mincho" w:hAnsiTheme="minorHAnsi" w:cstheme="minorHAnsi"/>
          <w:lang w:val="it-IT"/>
        </w:rPr>
        <w:t>registrato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 nel</w:t>
      </w:r>
      <w:r w:rsidRPr="00457B0C">
        <w:rPr>
          <w:rFonts w:asciiTheme="minorHAnsi" w:eastAsia="MS Mincho" w:hAnsiTheme="minorHAnsi" w:cstheme="minorHAnsi"/>
          <w:lang w:val="it-IT"/>
        </w:rPr>
        <w:t>l’esperienza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 di pagamento del commerciante, V</w:t>
      </w:r>
      <w:r w:rsidR="00B24374" w:rsidRPr="00457B0C">
        <w:rPr>
          <w:rFonts w:asciiTheme="minorHAnsi" w:eastAsia="MS Mincho" w:hAnsiTheme="minorHAnsi" w:cstheme="minorHAnsi"/>
          <w:lang w:val="it-IT"/>
        </w:rPr>
        <w:t xml:space="preserve">isa </w:t>
      </w:r>
      <w:r w:rsidR="00B54872" w:rsidRPr="00457B0C">
        <w:rPr>
          <w:rFonts w:asciiTheme="minorHAnsi" w:eastAsia="MS Mincho" w:hAnsiTheme="minorHAnsi" w:cstheme="minorHAnsi"/>
          <w:lang w:val="it-IT"/>
        </w:rPr>
        <w:t>T</w:t>
      </w:r>
      <w:r w:rsidR="00B24374" w:rsidRPr="00457B0C">
        <w:rPr>
          <w:rFonts w:asciiTheme="minorHAnsi" w:eastAsia="MS Mincho" w:hAnsiTheme="minorHAnsi" w:cstheme="minorHAnsi"/>
          <w:lang w:val="it-IT"/>
        </w:rPr>
        <w:t xml:space="preserve">oken </w:t>
      </w:r>
      <w:r w:rsidR="00B54872" w:rsidRPr="00457B0C">
        <w:rPr>
          <w:rFonts w:asciiTheme="minorHAnsi" w:eastAsia="MS Mincho" w:hAnsiTheme="minorHAnsi" w:cstheme="minorHAnsi"/>
          <w:lang w:val="it-IT"/>
        </w:rPr>
        <w:t>S</w:t>
      </w:r>
      <w:r w:rsidR="00B24374" w:rsidRPr="00457B0C">
        <w:rPr>
          <w:rFonts w:asciiTheme="minorHAnsi" w:eastAsia="MS Mincho" w:hAnsiTheme="minorHAnsi" w:cstheme="minorHAnsi"/>
          <w:lang w:val="it-IT"/>
        </w:rPr>
        <w:t>ervice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 può abilitare la visualizzazione delle carte. Ciò fornisce ai</w:t>
      </w:r>
      <w:r w:rsidR="00B54872" w:rsidRPr="005503CF">
        <w:rPr>
          <w:rFonts w:ascii="Segoe UI" w:eastAsia="MS Mincho" w:hAnsi="Segoe UI" w:cs="Segoe UI"/>
          <w:lang w:val="it-IT"/>
        </w:rPr>
        <w:t xml:space="preserve"> 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consumatori una conferma visiva che la carta corretta </w:t>
      </w:r>
      <w:r w:rsidRPr="00457B0C">
        <w:rPr>
          <w:rFonts w:asciiTheme="minorHAnsi" w:eastAsia="MS Mincho" w:hAnsiTheme="minorHAnsi" w:cstheme="minorHAnsi"/>
          <w:lang w:val="it-IT"/>
        </w:rPr>
        <w:t>sia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 stata caricata, creando un'esperienza piacevole e di fiducia</w:t>
      </w:r>
      <w:r w:rsidR="00B24374" w:rsidRPr="00457B0C">
        <w:rPr>
          <w:rFonts w:asciiTheme="minorHAnsi" w:eastAsia="MS Mincho" w:hAnsiTheme="minorHAnsi" w:cstheme="minorHAnsi"/>
          <w:lang w:val="it-IT"/>
        </w:rPr>
        <w:t xml:space="preserve"> e</w:t>
      </w:r>
      <w:r w:rsidR="00B54872" w:rsidRPr="00457B0C">
        <w:rPr>
          <w:rFonts w:asciiTheme="minorHAnsi" w:eastAsia="MS Mincho" w:hAnsiTheme="minorHAnsi" w:cstheme="minorHAnsi"/>
          <w:lang w:val="it-IT"/>
        </w:rPr>
        <w:t xml:space="preserve"> riducendo l'abbandono del carrello.</w:t>
      </w:r>
    </w:p>
    <w:p w14:paraId="6EBE41FF" w14:textId="75EFA5C8" w:rsidR="00B54872" w:rsidRPr="00457B0C" w:rsidRDefault="00B54872" w:rsidP="00457B0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MS Mincho" w:hAnsiTheme="minorHAnsi" w:cstheme="minorHAnsi"/>
          <w:lang w:val="it-IT"/>
        </w:rPr>
      </w:pPr>
      <w:r w:rsidRPr="00457B0C">
        <w:rPr>
          <w:rFonts w:asciiTheme="minorHAnsi" w:eastAsia="MS Mincho" w:hAnsiTheme="minorHAnsi" w:cstheme="minorHAnsi"/>
          <w:lang w:val="it-IT"/>
        </w:rPr>
        <w:t xml:space="preserve">Supporto del marketplace: quando </w:t>
      </w:r>
      <w:r w:rsidR="00377F87" w:rsidRPr="00457B0C">
        <w:rPr>
          <w:rFonts w:asciiTheme="minorHAnsi" w:eastAsia="MS Mincho" w:hAnsiTheme="minorHAnsi" w:cstheme="minorHAnsi"/>
          <w:lang w:val="it-IT"/>
        </w:rPr>
        <w:t>il</w:t>
      </w:r>
      <w:r w:rsidRPr="00457B0C">
        <w:rPr>
          <w:rFonts w:asciiTheme="minorHAnsi" w:eastAsia="MS Mincho" w:hAnsiTheme="minorHAnsi" w:cstheme="minorHAnsi"/>
          <w:lang w:val="it-IT"/>
        </w:rPr>
        <w:t xml:space="preserve"> marketplace di </w:t>
      </w:r>
      <w:r w:rsidR="00377F87" w:rsidRPr="00457B0C">
        <w:rPr>
          <w:rFonts w:asciiTheme="minorHAnsi" w:eastAsia="MS Mincho" w:hAnsiTheme="minorHAnsi" w:cstheme="minorHAnsi"/>
          <w:lang w:val="it-IT"/>
        </w:rPr>
        <w:t xml:space="preserve">un </w:t>
      </w:r>
      <w:r w:rsidRPr="00457B0C">
        <w:rPr>
          <w:rFonts w:asciiTheme="minorHAnsi" w:eastAsia="MS Mincho" w:hAnsiTheme="minorHAnsi" w:cstheme="minorHAnsi"/>
          <w:lang w:val="it-IT"/>
        </w:rPr>
        <w:t xml:space="preserve">e-commerce </w:t>
      </w:r>
      <w:r w:rsidR="00B24374" w:rsidRPr="00457B0C">
        <w:rPr>
          <w:rFonts w:asciiTheme="minorHAnsi" w:eastAsia="MS Mincho" w:hAnsiTheme="minorHAnsi" w:cstheme="minorHAnsi"/>
          <w:lang w:val="it-IT"/>
        </w:rPr>
        <w:t>aderisce a</w:t>
      </w:r>
      <w:r w:rsidRPr="00457B0C">
        <w:rPr>
          <w:rFonts w:asciiTheme="minorHAnsi" w:eastAsia="MS Mincho" w:hAnsiTheme="minorHAnsi" w:cstheme="minorHAnsi"/>
          <w:lang w:val="it-IT"/>
        </w:rPr>
        <w:t xml:space="preserve"> Visa Token Service, può richiedere e archiviare token per i clienti che possono quindi essere utilizzati </w:t>
      </w:r>
      <w:r w:rsidR="00B24374" w:rsidRPr="00457B0C">
        <w:rPr>
          <w:rFonts w:asciiTheme="minorHAnsi" w:eastAsia="MS Mincho" w:hAnsiTheme="minorHAnsi" w:cstheme="minorHAnsi"/>
          <w:lang w:val="it-IT"/>
        </w:rPr>
        <w:t>dagl</w:t>
      </w:r>
      <w:r w:rsidRPr="00457B0C">
        <w:rPr>
          <w:rFonts w:asciiTheme="minorHAnsi" w:eastAsia="MS Mincho" w:hAnsiTheme="minorHAnsi" w:cstheme="minorHAnsi"/>
          <w:lang w:val="it-IT"/>
        </w:rPr>
        <w:t xml:space="preserve">i </w:t>
      </w:r>
      <w:r w:rsidR="00B24374" w:rsidRPr="00457B0C">
        <w:rPr>
          <w:rFonts w:asciiTheme="minorHAnsi" w:eastAsia="MS Mincho" w:hAnsiTheme="minorHAnsi" w:cstheme="minorHAnsi"/>
          <w:lang w:val="it-IT"/>
        </w:rPr>
        <w:t>altri commercianti affiliati a</w:t>
      </w:r>
      <w:r w:rsidRPr="00457B0C">
        <w:rPr>
          <w:rFonts w:asciiTheme="minorHAnsi" w:eastAsia="MS Mincho" w:hAnsiTheme="minorHAnsi" w:cstheme="minorHAnsi"/>
          <w:lang w:val="it-IT"/>
        </w:rPr>
        <w:t>l marketplace.</w:t>
      </w:r>
    </w:p>
    <w:p w14:paraId="0C35C67E" w14:textId="31E2B3EF" w:rsidR="00B54872" w:rsidRPr="00D145D5" w:rsidRDefault="007C0CFA" w:rsidP="00457B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eastAsia="MS Mincho" w:cs="Calibri"/>
          <w:lang w:val="it-IT"/>
        </w:rPr>
      </w:pPr>
      <w:r w:rsidRPr="00457B0C">
        <w:rPr>
          <w:rFonts w:eastAsia="MS Mincho" w:cs="Calibri"/>
          <w:lang w:val="it-IT"/>
        </w:rPr>
        <w:lastRenderedPageBreak/>
        <w:t>Ser</w:t>
      </w:r>
      <w:r w:rsidR="006F1E0E" w:rsidRPr="00457B0C">
        <w:rPr>
          <w:rFonts w:eastAsia="MS Mincho" w:cs="Calibri"/>
          <w:lang w:val="it-IT"/>
        </w:rPr>
        <w:t>vizi di f</w:t>
      </w:r>
      <w:r w:rsidR="00B54872" w:rsidRPr="00457B0C">
        <w:rPr>
          <w:rFonts w:eastAsia="MS Mincho" w:cs="Calibri"/>
          <w:lang w:val="it-IT"/>
        </w:rPr>
        <w:t>e</w:t>
      </w:r>
      <w:r w:rsidR="006F1E0E" w:rsidRPr="00457B0C">
        <w:rPr>
          <w:rFonts w:eastAsia="MS Mincho" w:cs="Calibri"/>
          <w:lang w:val="it-IT"/>
        </w:rPr>
        <w:t>de</w:t>
      </w:r>
      <w:r w:rsidR="00B54872" w:rsidRPr="00457B0C">
        <w:rPr>
          <w:rFonts w:eastAsia="MS Mincho" w:cs="Calibri"/>
          <w:lang w:val="it-IT"/>
        </w:rPr>
        <w:t xml:space="preserve">ltà </w:t>
      </w:r>
      <w:r w:rsidRPr="00457B0C">
        <w:rPr>
          <w:rFonts w:eastAsia="MS Mincho" w:cs="Calibri"/>
          <w:lang w:val="it-IT"/>
        </w:rPr>
        <w:t>e</w:t>
      </w:r>
      <w:r w:rsidR="00B54872" w:rsidRPr="00457B0C">
        <w:rPr>
          <w:rFonts w:eastAsia="MS Mincho" w:cs="Calibri"/>
          <w:lang w:val="it-IT"/>
        </w:rPr>
        <w:t xml:space="preserve"> valore aggiunto: i token </w:t>
      </w:r>
      <w:r w:rsidR="00B24374" w:rsidRPr="00457B0C">
        <w:rPr>
          <w:rFonts w:eastAsia="MS Mincho" w:cs="Calibri"/>
          <w:lang w:val="it-IT"/>
        </w:rPr>
        <w:t xml:space="preserve">di </w:t>
      </w:r>
      <w:r w:rsidR="00B54872" w:rsidRPr="00457B0C">
        <w:rPr>
          <w:rFonts w:eastAsia="MS Mincho" w:cs="Calibri"/>
          <w:lang w:val="it-IT"/>
        </w:rPr>
        <w:t>V</w:t>
      </w:r>
      <w:r w:rsidR="00B24374" w:rsidRPr="00457B0C">
        <w:rPr>
          <w:rFonts w:eastAsia="MS Mincho" w:cs="Calibri"/>
          <w:lang w:val="it-IT"/>
        </w:rPr>
        <w:t xml:space="preserve">isa </w:t>
      </w:r>
      <w:r w:rsidR="00B54872" w:rsidRPr="00457B0C">
        <w:rPr>
          <w:rFonts w:eastAsia="MS Mincho" w:cs="Calibri"/>
          <w:lang w:val="it-IT"/>
        </w:rPr>
        <w:t>T</w:t>
      </w:r>
      <w:r w:rsidR="00B24374" w:rsidRPr="00457B0C">
        <w:rPr>
          <w:rFonts w:eastAsia="MS Mincho" w:cs="Calibri"/>
          <w:lang w:val="it-IT"/>
        </w:rPr>
        <w:t xml:space="preserve">oken </w:t>
      </w:r>
      <w:r w:rsidR="00B54872" w:rsidRPr="00457B0C">
        <w:rPr>
          <w:rFonts w:eastAsia="MS Mincho" w:cs="Calibri"/>
          <w:lang w:val="it-IT"/>
        </w:rPr>
        <w:t>S</w:t>
      </w:r>
      <w:r w:rsidR="00B24374" w:rsidRPr="00457B0C">
        <w:rPr>
          <w:rFonts w:eastAsia="MS Mincho" w:cs="Calibri"/>
          <w:lang w:val="it-IT"/>
        </w:rPr>
        <w:t>ervice</w:t>
      </w:r>
      <w:r w:rsidR="00B54872" w:rsidRPr="00457B0C">
        <w:rPr>
          <w:rFonts w:eastAsia="MS Mincho" w:cs="Calibri"/>
          <w:lang w:val="it-IT"/>
        </w:rPr>
        <w:t xml:space="preserve"> possono ora essere collegati a un identificat</w:t>
      </w:r>
      <w:r w:rsidR="00D145D5">
        <w:rPr>
          <w:rFonts w:eastAsia="MS Mincho" w:cs="Calibri"/>
          <w:lang w:val="it-IT"/>
        </w:rPr>
        <w:t>ivo</w:t>
      </w:r>
      <w:r w:rsidR="00B54872" w:rsidRPr="00457B0C">
        <w:rPr>
          <w:rFonts w:eastAsia="MS Mincho" w:cs="Calibri"/>
          <w:lang w:val="it-IT"/>
        </w:rPr>
        <w:t xml:space="preserve"> </w:t>
      </w:r>
      <w:r w:rsidR="00D145D5">
        <w:rPr>
          <w:rFonts w:eastAsia="MS Mincho" w:cs="Calibri"/>
          <w:lang w:val="it-IT"/>
        </w:rPr>
        <w:t>univoco</w:t>
      </w:r>
      <w:r w:rsidR="006F1E0E" w:rsidRPr="00457B0C">
        <w:rPr>
          <w:rFonts w:eastAsia="MS Mincho" w:cs="Calibri"/>
          <w:lang w:val="it-IT"/>
        </w:rPr>
        <w:t>,</w:t>
      </w:r>
      <w:r w:rsidR="00B54872" w:rsidRPr="00457B0C">
        <w:rPr>
          <w:rFonts w:eastAsia="MS Mincho" w:cs="Calibri"/>
          <w:lang w:val="it-IT"/>
        </w:rPr>
        <w:t xml:space="preserve"> relativo a</w:t>
      </w:r>
      <w:r w:rsidR="00D145D5">
        <w:rPr>
          <w:rFonts w:eastAsia="MS Mincho" w:cs="Calibri"/>
          <w:lang w:val="it-IT"/>
        </w:rPr>
        <w:t>ll’</w:t>
      </w:r>
      <w:r w:rsidR="00B54872" w:rsidRPr="00457B0C">
        <w:rPr>
          <w:rFonts w:eastAsia="MS Mincho" w:cs="Calibri"/>
          <w:lang w:val="it-IT"/>
        </w:rPr>
        <w:t>account di pagamento</w:t>
      </w:r>
      <w:r w:rsidR="006F1E0E" w:rsidRPr="00457B0C">
        <w:rPr>
          <w:rFonts w:eastAsia="MS Mincho" w:cs="Calibri"/>
          <w:lang w:val="it-IT"/>
        </w:rPr>
        <w:t>,</w:t>
      </w:r>
      <w:r w:rsidR="00B54872" w:rsidRPr="00457B0C">
        <w:rPr>
          <w:rFonts w:eastAsia="MS Mincho" w:cs="Calibri"/>
          <w:lang w:val="it-IT"/>
        </w:rPr>
        <w:t xml:space="preserve"> senza comprometter</w:t>
      </w:r>
      <w:r w:rsidR="00D145D5">
        <w:rPr>
          <w:rFonts w:eastAsia="MS Mincho" w:cs="Calibri"/>
          <w:lang w:val="it-IT"/>
        </w:rPr>
        <w:t>n</w:t>
      </w:r>
      <w:r w:rsidR="00B54872" w:rsidRPr="00457B0C">
        <w:rPr>
          <w:rFonts w:eastAsia="MS Mincho" w:cs="Calibri"/>
          <w:lang w:val="it-IT"/>
        </w:rPr>
        <w:t>e le informazion</w:t>
      </w:r>
      <w:r w:rsidR="00D145D5">
        <w:rPr>
          <w:rFonts w:eastAsia="MS Mincho" w:cs="Calibri"/>
          <w:lang w:val="it-IT"/>
        </w:rPr>
        <w:t>i</w:t>
      </w:r>
      <w:r w:rsidR="00B54872" w:rsidRPr="00457B0C">
        <w:rPr>
          <w:rFonts w:eastAsia="MS Mincho" w:cs="Calibri"/>
          <w:lang w:val="it-IT"/>
        </w:rPr>
        <w:t>. Questo identificat</w:t>
      </w:r>
      <w:r w:rsidR="00B24374" w:rsidRPr="00457B0C">
        <w:rPr>
          <w:rFonts w:eastAsia="MS Mincho" w:cs="Calibri"/>
          <w:lang w:val="it-IT"/>
        </w:rPr>
        <w:t>ivo</w:t>
      </w:r>
      <w:r w:rsidR="00B54872" w:rsidRPr="00457B0C">
        <w:rPr>
          <w:rFonts w:eastAsia="MS Mincho" w:cs="Calibri"/>
          <w:lang w:val="it-IT"/>
        </w:rPr>
        <w:t>, denominato</w:t>
      </w:r>
      <w:r w:rsidR="00B24374" w:rsidRPr="00457B0C">
        <w:rPr>
          <w:rFonts w:eastAsia="MS Mincho" w:cs="Calibri"/>
          <w:lang w:val="it-IT"/>
        </w:rPr>
        <w:t xml:space="preserve"> account di pagamento di </w:t>
      </w:r>
      <w:r w:rsidR="00B54872" w:rsidRPr="00457B0C">
        <w:rPr>
          <w:rFonts w:eastAsia="MS Mincho" w:cs="Calibri"/>
          <w:lang w:val="it-IT"/>
        </w:rPr>
        <w:t>riferimento (</w:t>
      </w:r>
      <w:r w:rsidR="00B24374" w:rsidRPr="00457B0C">
        <w:rPr>
          <w:rFonts w:eastAsia="MS Mincho" w:cs="Calibri"/>
          <w:lang w:val="it-IT"/>
        </w:rPr>
        <w:t xml:space="preserve">Payment Account Reference - </w:t>
      </w:r>
      <w:r w:rsidR="00B54872" w:rsidRPr="00457B0C">
        <w:rPr>
          <w:rFonts w:eastAsia="MS Mincho" w:cs="Calibri"/>
          <w:lang w:val="it-IT"/>
        </w:rPr>
        <w:t xml:space="preserve">PAR), rende più facile e più sicuro per i commercianti offrire vantaggi come </w:t>
      </w:r>
      <w:r w:rsidR="006F1E0E" w:rsidRPr="00457B0C">
        <w:rPr>
          <w:rFonts w:eastAsia="MS Mincho" w:cs="Calibri"/>
          <w:lang w:val="it-IT"/>
        </w:rPr>
        <w:t xml:space="preserve">punti </w:t>
      </w:r>
      <w:r w:rsidR="00B54872" w:rsidRPr="00457B0C">
        <w:rPr>
          <w:rFonts w:eastAsia="MS Mincho" w:cs="Calibri"/>
          <w:lang w:val="it-IT"/>
        </w:rPr>
        <w:t xml:space="preserve">fedeltà, sconti e altri </w:t>
      </w:r>
      <w:r w:rsidR="00B54872" w:rsidRPr="00D145D5">
        <w:rPr>
          <w:rFonts w:eastAsia="MS Mincho" w:cs="Calibri"/>
          <w:lang w:val="it-IT"/>
        </w:rPr>
        <w:t>servizi</w:t>
      </w:r>
      <w:r w:rsidR="00D145D5" w:rsidRPr="00D145D5">
        <w:rPr>
          <w:rFonts w:eastAsia="MS Mincho" w:cs="Calibri"/>
          <w:lang w:val="it-IT"/>
        </w:rPr>
        <w:t xml:space="preserve"> se il cliente aderisce all’iniziativa. </w:t>
      </w:r>
    </w:p>
    <w:p w14:paraId="379ED25A" w14:textId="4E576ACB" w:rsidR="00B54872" w:rsidRPr="003B4AEB" w:rsidRDefault="00B54872" w:rsidP="00457B0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eastAsia="MS Mincho" w:cs="Calibri"/>
          <w:lang w:val="it-IT"/>
        </w:rPr>
      </w:pPr>
      <w:r w:rsidRPr="00457B0C">
        <w:rPr>
          <w:rFonts w:eastAsia="MS Mincho" w:cs="Calibri"/>
          <w:lang w:val="it-IT"/>
        </w:rPr>
        <w:t xml:space="preserve">Caricamento semplificato delle </w:t>
      </w:r>
      <w:r w:rsidR="0025492D" w:rsidRPr="00457B0C">
        <w:rPr>
          <w:rFonts w:eastAsia="MS Mincho" w:cs="Calibri"/>
          <w:lang w:val="it-IT"/>
        </w:rPr>
        <w:t>carte</w:t>
      </w:r>
      <w:r w:rsidRPr="00457B0C">
        <w:rPr>
          <w:rFonts w:eastAsia="MS Mincho" w:cs="Calibri"/>
          <w:lang w:val="it-IT"/>
        </w:rPr>
        <w:t xml:space="preserve">: </w:t>
      </w:r>
      <w:r w:rsidR="0025492D" w:rsidRPr="00457B0C">
        <w:rPr>
          <w:rFonts w:eastAsia="MS Mincho" w:cs="Calibri"/>
          <w:lang w:val="it-IT"/>
        </w:rPr>
        <w:t xml:space="preserve">il </w:t>
      </w:r>
      <w:r w:rsidRPr="00457B0C">
        <w:rPr>
          <w:rFonts w:eastAsia="MS Mincho" w:cs="Calibri"/>
          <w:lang w:val="it-IT"/>
        </w:rPr>
        <w:t xml:space="preserve">Network Hub </w:t>
      </w:r>
      <w:proofErr w:type="spellStart"/>
      <w:r w:rsidRPr="00457B0C">
        <w:rPr>
          <w:rFonts w:eastAsia="MS Mincho" w:cs="Calibri"/>
          <w:lang w:val="it-IT"/>
        </w:rPr>
        <w:t>Push</w:t>
      </w:r>
      <w:proofErr w:type="spellEnd"/>
      <w:r w:rsidRPr="00457B0C">
        <w:rPr>
          <w:rFonts w:eastAsia="MS Mincho" w:cs="Calibri"/>
          <w:lang w:val="it-IT"/>
        </w:rPr>
        <w:t xml:space="preserve"> Provisioning, una funzionalità </w:t>
      </w:r>
      <w:r w:rsidR="0025492D" w:rsidRPr="00457B0C">
        <w:rPr>
          <w:rFonts w:eastAsia="MS Mincho" w:cs="Calibri"/>
          <w:lang w:val="it-IT"/>
        </w:rPr>
        <w:t>d</w:t>
      </w:r>
      <w:r w:rsidR="00B24374" w:rsidRPr="00457B0C">
        <w:rPr>
          <w:rFonts w:eastAsia="MS Mincho" w:cs="Calibri"/>
          <w:lang w:val="it-IT"/>
        </w:rPr>
        <w:t>i</w:t>
      </w:r>
      <w:r w:rsidR="00072D59" w:rsidRPr="00457B0C">
        <w:rPr>
          <w:rFonts w:eastAsia="MS Mincho" w:cs="Calibri"/>
          <w:lang w:val="it-IT"/>
        </w:rPr>
        <w:t xml:space="preserve"> </w:t>
      </w:r>
      <w:r w:rsidRPr="00457B0C">
        <w:rPr>
          <w:rFonts w:eastAsia="MS Mincho" w:cs="Calibri"/>
          <w:lang w:val="it-IT"/>
        </w:rPr>
        <w:t>V</w:t>
      </w:r>
      <w:r w:rsidR="00B24374" w:rsidRPr="00457B0C">
        <w:rPr>
          <w:rFonts w:eastAsia="MS Mincho" w:cs="Calibri"/>
          <w:lang w:val="it-IT"/>
        </w:rPr>
        <w:t xml:space="preserve">isa </w:t>
      </w:r>
      <w:r w:rsidRPr="00457B0C">
        <w:rPr>
          <w:rFonts w:eastAsia="MS Mincho" w:cs="Calibri"/>
          <w:lang w:val="it-IT"/>
        </w:rPr>
        <w:t>T</w:t>
      </w:r>
      <w:r w:rsidR="00B24374" w:rsidRPr="00457B0C">
        <w:rPr>
          <w:rFonts w:eastAsia="MS Mincho" w:cs="Calibri"/>
          <w:lang w:val="it-IT"/>
        </w:rPr>
        <w:t xml:space="preserve">oken </w:t>
      </w:r>
      <w:r w:rsidRPr="00457B0C">
        <w:rPr>
          <w:rFonts w:eastAsia="MS Mincho" w:cs="Calibri"/>
          <w:lang w:val="it-IT"/>
        </w:rPr>
        <w:t>S</w:t>
      </w:r>
      <w:r w:rsidR="00B24374" w:rsidRPr="00457B0C">
        <w:rPr>
          <w:rFonts w:eastAsia="MS Mincho" w:cs="Calibri"/>
          <w:lang w:val="it-IT"/>
        </w:rPr>
        <w:t>ervice</w:t>
      </w:r>
      <w:r w:rsidRPr="00457B0C">
        <w:rPr>
          <w:rFonts w:eastAsia="MS Mincho" w:cs="Calibri"/>
          <w:lang w:val="it-IT"/>
        </w:rPr>
        <w:t xml:space="preserve">, consente ai consumatori di aggiungere facilmente credenziali di pagamento tramite un token Visa sicuro ai portafogli </w:t>
      </w:r>
      <w:r w:rsidR="00072D59" w:rsidRPr="00457B0C">
        <w:rPr>
          <w:rFonts w:eastAsia="MS Mincho" w:cs="Calibri"/>
          <w:lang w:val="it-IT"/>
        </w:rPr>
        <w:t xml:space="preserve">dei </w:t>
      </w:r>
      <w:r w:rsidRPr="00457B0C">
        <w:rPr>
          <w:rFonts w:eastAsia="MS Mincho" w:cs="Calibri"/>
          <w:lang w:val="it-IT"/>
        </w:rPr>
        <w:t>commercia</w:t>
      </w:r>
      <w:r w:rsidR="00072D59" w:rsidRPr="00457B0C">
        <w:rPr>
          <w:rFonts w:eastAsia="MS Mincho" w:cs="Calibri"/>
          <w:lang w:val="it-IT"/>
        </w:rPr>
        <w:t>nti</w:t>
      </w:r>
      <w:r w:rsidRPr="00457B0C">
        <w:rPr>
          <w:rFonts w:eastAsia="MS Mincho" w:cs="Calibri"/>
          <w:lang w:val="it-IT"/>
        </w:rPr>
        <w:t xml:space="preserve"> direttamente dall'applicazione di mobile banking. </w:t>
      </w:r>
      <w:r w:rsidRPr="003B4AEB">
        <w:rPr>
          <w:rFonts w:eastAsia="MS Mincho" w:cs="Calibri"/>
          <w:lang w:val="it-IT"/>
        </w:rPr>
        <w:t>Ciò elimina la necessità per il titolare della carta di aver</w:t>
      </w:r>
      <w:r w:rsidR="003B4AEB" w:rsidRPr="003B4AEB">
        <w:rPr>
          <w:rFonts w:eastAsia="MS Mincho" w:cs="Calibri"/>
          <w:lang w:val="it-IT"/>
        </w:rPr>
        <w:t xml:space="preserve">la </w:t>
      </w:r>
      <w:r w:rsidRPr="003B4AEB">
        <w:rPr>
          <w:rFonts w:eastAsia="MS Mincho" w:cs="Calibri"/>
          <w:lang w:val="it-IT"/>
        </w:rPr>
        <w:t xml:space="preserve">a portata di mano per </w:t>
      </w:r>
      <w:r w:rsidR="003B4AEB" w:rsidRPr="003B4AEB">
        <w:rPr>
          <w:rFonts w:eastAsia="MS Mincho" w:cs="Calibri"/>
          <w:lang w:val="it-IT"/>
        </w:rPr>
        <w:t>fornire</w:t>
      </w:r>
      <w:r w:rsidRPr="003B4AEB">
        <w:rPr>
          <w:rFonts w:eastAsia="MS Mincho" w:cs="Calibri"/>
          <w:lang w:val="it-IT"/>
        </w:rPr>
        <w:t xml:space="preserve"> manualmente </w:t>
      </w:r>
      <w:r w:rsidR="003B4AEB" w:rsidRPr="003B4AEB">
        <w:rPr>
          <w:rFonts w:eastAsia="MS Mincho" w:cs="Calibri"/>
          <w:lang w:val="it-IT"/>
        </w:rPr>
        <w:t>i dati</w:t>
      </w:r>
      <w:r w:rsidRPr="003B4AEB">
        <w:rPr>
          <w:rFonts w:eastAsia="MS Mincho" w:cs="Calibri"/>
          <w:lang w:val="it-IT"/>
        </w:rPr>
        <w:t xml:space="preserve"> al commerciante, creando un'esperienza miglior</w:t>
      </w:r>
      <w:r w:rsidR="00072D59" w:rsidRPr="003B4AEB">
        <w:rPr>
          <w:rFonts w:eastAsia="MS Mincho" w:cs="Calibri"/>
          <w:lang w:val="it-IT"/>
        </w:rPr>
        <w:t>e</w:t>
      </w:r>
      <w:r w:rsidRPr="003B4AEB">
        <w:rPr>
          <w:rFonts w:eastAsia="MS Mincho" w:cs="Calibri"/>
          <w:lang w:val="it-IT"/>
        </w:rPr>
        <w:t xml:space="preserve"> e più sicura.</w:t>
      </w:r>
    </w:p>
    <w:p w14:paraId="78D6148A" w14:textId="42366166" w:rsidR="00D9492F" w:rsidRPr="003B4AEB" w:rsidRDefault="00B54872" w:rsidP="003E24AF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eastAsia="MS Mincho" w:cs="Calibri"/>
          <w:lang w:val="it-IT"/>
        </w:rPr>
      </w:pPr>
      <w:r w:rsidRPr="003B4AEB">
        <w:rPr>
          <w:rFonts w:eastAsia="MS Mincho" w:cs="Calibri"/>
          <w:lang w:val="it-IT"/>
        </w:rPr>
        <w:t>IOT Commerce: la tokenizzazione fornirà anche una maggiore sicurezza in futuro</w:t>
      </w:r>
      <w:r w:rsidR="00CB694A" w:rsidRPr="003B4AEB">
        <w:rPr>
          <w:rFonts w:eastAsia="MS Mincho" w:cs="Calibri"/>
          <w:lang w:val="it-IT"/>
        </w:rPr>
        <w:t>,</w:t>
      </w:r>
      <w:r w:rsidRPr="003B4AEB">
        <w:rPr>
          <w:rFonts w:eastAsia="MS Mincho" w:cs="Calibri"/>
          <w:lang w:val="it-IT"/>
        </w:rPr>
        <w:t xml:space="preserve"> quando le credenziali di pagamento v</w:t>
      </w:r>
      <w:r w:rsidR="00CB694A" w:rsidRPr="003B4AEB">
        <w:rPr>
          <w:rFonts w:eastAsia="MS Mincho" w:cs="Calibri"/>
          <w:lang w:val="it-IT"/>
        </w:rPr>
        <w:t>erranno</w:t>
      </w:r>
      <w:r w:rsidRPr="003B4AEB">
        <w:rPr>
          <w:rFonts w:eastAsia="MS Mincho" w:cs="Calibri"/>
          <w:lang w:val="it-IT"/>
        </w:rPr>
        <w:t xml:space="preserve"> utilizzate </w:t>
      </w:r>
      <w:r w:rsidR="00072D59" w:rsidRPr="003B4AEB">
        <w:rPr>
          <w:rFonts w:eastAsia="MS Mincho" w:cs="Calibri"/>
          <w:lang w:val="it-IT"/>
        </w:rPr>
        <w:t>in modalità</w:t>
      </w:r>
      <w:r w:rsidRPr="003B4AEB">
        <w:rPr>
          <w:rFonts w:eastAsia="MS Mincho" w:cs="Calibri"/>
          <w:lang w:val="it-IT"/>
        </w:rPr>
        <w:t xml:space="preserve"> IOT </w:t>
      </w:r>
      <w:r w:rsidR="003B4AEB" w:rsidRPr="003B4AEB">
        <w:rPr>
          <w:rFonts w:eastAsia="MS Mincho" w:cs="Calibri"/>
          <w:lang w:val="it-IT"/>
        </w:rPr>
        <w:t>da</w:t>
      </w:r>
      <w:r w:rsidRPr="003B4AEB">
        <w:rPr>
          <w:rFonts w:eastAsia="MS Mincho" w:cs="Calibri"/>
          <w:lang w:val="it-IT"/>
        </w:rPr>
        <w:t xml:space="preserve"> auto, occhiali intelligenti, elettrodomestici </w:t>
      </w:r>
      <w:r w:rsidR="00072D59" w:rsidRPr="003B4AEB">
        <w:rPr>
          <w:rFonts w:eastAsia="MS Mincho" w:cs="Calibri"/>
          <w:lang w:val="it-IT"/>
        </w:rPr>
        <w:t>connessi</w:t>
      </w:r>
      <w:r w:rsidRPr="003B4AEB">
        <w:rPr>
          <w:rFonts w:eastAsia="MS Mincho" w:cs="Calibri"/>
          <w:lang w:val="it-IT"/>
        </w:rPr>
        <w:t>, ecc.</w:t>
      </w:r>
    </w:p>
    <w:p w14:paraId="3C4EDF85" w14:textId="77777777" w:rsidR="0018402D" w:rsidRDefault="0018402D" w:rsidP="003E24AF">
      <w:pPr>
        <w:rPr>
          <w:rFonts w:ascii="Segoe UI" w:hAnsi="Segoe UI" w:cs="Segoe UI"/>
          <w:lang w:val="it-IT"/>
        </w:rPr>
      </w:pPr>
    </w:p>
    <w:p w14:paraId="3428E727" w14:textId="77777777" w:rsidR="00B54872" w:rsidRPr="00B54872" w:rsidRDefault="00B54872" w:rsidP="003E24AF">
      <w:pPr>
        <w:rPr>
          <w:rFonts w:ascii="Segoe UI" w:hAnsi="Segoe UI" w:cs="Segoe UI"/>
          <w:lang w:val="it-IT"/>
        </w:rPr>
      </w:pPr>
    </w:p>
    <w:p w14:paraId="7B48FF23" w14:textId="77777777" w:rsidR="00810283" w:rsidRPr="00CD04C2" w:rsidRDefault="00810283" w:rsidP="00810283">
      <w:pPr>
        <w:jc w:val="center"/>
        <w:rPr>
          <w:rFonts w:ascii="Segoe UI" w:hAnsi="Segoe UI" w:cs="Segoe UI"/>
          <w:lang w:val="it-IT"/>
        </w:rPr>
      </w:pPr>
      <w:r w:rsidRPr="00CD04C2">
        <w:rPr>
          <w:rFonts w:ascii="Segoe UI" w:hAnsi="Segoe UI" w:cs="Segoe UI"/>
          <w:lang w:val="it-IT"/>
        </w:rPr>
        <w:t xml:space="preserve"># # # </w:t>
      </w:r>
    </w:p>
    <w:p w14:paraId="3A70C8BE" w14:textId="77777777" w:rsidR="003E24AF" w:rsidRPr="00CD04C2" w:rsidRDefault="003E24AF">
      <w:pPr>
        <w:rPr>
          <w:lang w:val="it-IT"/>
        </w:rPr>
      </w:pPr>
    </w:p>
    <w:p w14:paraId="3B929B28" w14:textId="02572128" w:rsidR="00CD04C2" w:rsidRPr="00E31E7F" w:rsidRDefault="00CD04C2" w:rsidP="00960998">
      <w:pPr>
        <w:rPr>
          <w:rFonts w:ascii="Segoe UI" w:hAnsi="Segoe UI" w:cs="Segoe UI"/>
          <w:lang w:val="it-IT"/>
        </w:rPr>
      </w:pPr>
    </w:p>
    <w:p w14:paraId="0E218414" w14:textId="77777777" w:rsidR="00CD04C2" w:rsidRPr="00CD04C2" w:rsidRDefault="00CD04C2" w:rsidP="00960998">
      <w:pPr>
        <w:rPr>
          <w:rFonts w:ascii="Segoe UI" w:hAnsi="Segoe UI" w:cs="Segoe UI"/>
          <w:b/>
          <w:lang w:val="it-IT"/>
        </w:rPr>
      </w:pPr>
      <w:r w:rsidRPr="00CD04C2">
        <w:rPr>
          <w:rFonts w:ascii="Segoe UI" w:hAnsi="Segoe UI" w:cs="Segoe UI"/>
          <w:b/>
          <w:lang w:val="it-IT"/>
        </w:rPr>
        <w:t xml:space="preserve">Visa </w:t>
      </w:r>
    </w:p>
    <w:p w14:paraId="639FA3EA" w14:textId="6C1B1CF7" w:rsidR="00CD04C2" w:rsidRDefault="00CD04C2" w:rsidP="00CD04C2">
      <w:pPr>
        <w:jc w:val="both"/>
        <w:rPr>
          <w:rFonts w:asciiTheme="minorHAnsi" w:hAnsiTheme="minorHAnsi" w:cstheme="minorHAnsi"/>
          <w:lang w:val="it-IT"/>
        </w:rPr>
      </w:pPr>
      <w:r w:rsidRPr="00CD04C2">
        <w:rPr>
          <w:rFonts w:asciiTheme="minorHAnsi" w:hAnsiTheme="minorHAnsi" w:cstheme="minorHAnsi"/>
          <w:lang w:val="it-IT"/>
        </w:rPr>
        <w:t xml:space="preserve">Visa </w:t>
      </w:r>
      <w:proofErr w:type="spellStart"/>
      <w:r w:rsidRPr="00CD04C2">
        <w:rPr>
          <w:rFonts w:asciiTheme="minorHAnsi" w:hAnsiTheme="minorHAnsi" w:cstheme="minorHAnsi"/>
          <w:lang w:val="it-IT"/>
        </w:rPr>
        <w:t>Inc</w:t>
      </w:r>
      <w:proofErr w:type="spellEnd"/>
      <w:r w:rsidRPr="00CD04C2">
        <w:rPr>
          <w:rFonts w:asciiTheme="minorHAnsi" w:hAnsiTheme="minorHAnsi" w:cstheme="minorHAnsi"/>
          <w:lang w:val="it-IT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 Per maggiori informazioni, visita </w:t>
      </w:r>
      <w:hyperlink r:id="rId9" w:history="1">
        <w:r w:rsidRPr="004C5C53">
          <w:rPr>
            <w:rStyle w:val="Collegamentoipertestuale"/>
            <w:rFonts w:asciiTheme="minorHAnsi" w:hAnsiTheme="minorHAnsi" w:cstheme="minorHAnsi"/>
            <w:lang w:val="it-IT"/>
          </w:rPr>
          <w:t>https://vision.visaeurope.com/,</w:t>
        </w:r>
      </w:hyperlink>
      <w:r w:rsidRPr="00CD04C2">
        <w:rPr>
          <w:rFonts w:asciiTheme="minorHAnsi" w:hAnsiTheme="minorHAnsi" w:cstheme="minorHAnsi"/>
          <w:lang w:val="it-IT"/>
        </w:rPr>
        <w:t xml:space="preserve"> e seguici su @</w:t>
      </w:r>
      <w:proofErr w:type="spellStart"/>
      <w:r w:rsidRPr="00CD04C2">
        <w:rPr>
          <w:rFonts w:asciiTheme="minorHAnsi" w:hAnsiTheme="minorHAnsi" w:cstheme="minorHAnsi"/>
          <w:lang w:val="it-IT"/>
        </w:rPr>
        <w:t>VisaNewsEurope</w:t>
      </w:r>
      <w:bookmarkStart w:id="0" w:name="_GoBack"/>
      <w:bookmarkEnd w:id="0"/>
      <w:proofErr w:type="spellEnd"/>
      <w:r w:rsidRPr="00CD04C2">
        <w:rPr>
          <w:rFonts w:asciiTheme="minorHAnsi" w:hAnsiTheme="minorHAnsi" w:cstheme="minorHAnsi"/>
          <w:lang w:val="it-IT"/>
        </w:rPr>
        <w:t>.</w:t>
      </w:r>
    </w:p>
    <w:p w14:paraId="0D1E634C" w14:textId="00386D25" w:rsidR="005D1FFC" w:rsidRDefault="005D1FFC" w:rsidP="00CD04C2">
      <w:pPr>
        <w:jc w:val="both"/>
        <w:rPr>
          <w:rFonts w:asciiTheme="minorHAnsi" w:hAnsiTheme="minorHAnsi" w:cstheme="minorHAnsi"/>
          <w:lang w:val="it-IT"/>
        </w:rPr>
      </w:pPr>
    </w:p>
    <w:p w14:paraId="0FBFE58F" w14:textId="77777777" w:rsidR="00771013" w:rsidRDefault="00771013" w:rsidP="00CD04C2">
      <w:pPr>
        <w:jc w:val="both"/>
        <w:rPr>
          <w:rFonts w:asciiTheme="minorHAnsi" w:hAnsiTheme="minorHAnsi" w:cstheme="minorHAnsi"/>
          <w:lang w:val="it-IT"/>
        </w:rPr>
      </w:pPr>
    </w:p>
    <w:p w14:paraId="6FCF7B55" w14:textId="2618F437" w:rsidR="00771013" w:rsidRPr="00771013" w:rsidRDefault="00771013" w:rsidP="00771013">
      <w:pPr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Contatti ufficio stampa</w:t>
      </w:r>
      <w:r w:rsidRPr="00771013">
        <w:rPr>
          <w:rFonts w:asciiTheme="minorHAnsi" w:hAnsiTheme="minorHAnsi" w:cstheme="minorHAnsi"/>
          <w:b/>
          <w:lang w:val="it-IT"/>
        </w:rPr>
        <w:t xml:space="preserve">: </w:t>
      </w:r>
    </w:p>
    <w:p w14:paraId="54C230CB" w14:textId="77777777" w:rsidR="003B4AEB" w:rsidRPr="004828AE" w:rsidRDefault="003B4AEB" w:rsidP="003B4AEB">
      <w:pPr>
        <w:rPr>
          <w:rFonts w:asciiTheme="minorHAnsi" w:hAnsiTheme="minorHAnsi" w:cstheme="minorHAnsi"/>
          <w:sz w:val="20"/>
          <w:shd w:val="clear" w:color="auto" w:fill="FFFFFF"/>
          <w:lang w:val="it-IT"/>
        </w:rPr>
      </w:pPr>
      <w:r w:rsidRPr="003B4AEB"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Elisa Pantaleo                      e-mail: </w:t>
      </w:r>
      <w:hyperlink r:id="rId10" w:history="1">
        <w:r w:rsidRPr="003B4AEB">
          <w:rPr>
            <w:rStyle w:val="Collegamentoipertestuale"/>
            <w:rFonts w:asciiTheme="minorHAnsi" w:hAnsiTheme="minorHAnsi" w:cstheme="minorHAnsi"/>
            <w:sz w:val="20"/>
            <w:shd w:val="clear" w:color="auto" w:fill="FFFFFF"/>
            <w:lang w:val="it-IT"/>
          </w:rPr>
          <w:t>epantaleo@dagcom.com</w:t>
        </w:r>
      </w:hyperlink>
      <w:r w:rsidRPr="003B4AEB"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            Tel: +39 02 89054158</w:t>
      </w:r>
    </w:p>
    <w:p w14:paraId="51334845" w14:textId="0B48BE7B" w:rsidR="00771013" w:rsidRPr="003B4AEB" w:rsidRDefault="004828AE" w:rsidP="00771013">
      <w:pPr>
        <w:rPr>
          <w:rFonts w:ascii="Segoe UI" w:hAnsi="Segoe UI" w:cs="Segoe UI"/>
          <w:sz w:val="20"/>
          <w:shd w:val="clear" w:color="auto" w:fill="FFFFFF"/>
          <w:lang w:val="it-IT"/>
        </w:rPr>
      </w:pPr>
      <w:r w:rsidRPr="003B4AEB"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Francesca Conti                   e-mail: </w:t>
      </w:r>
      <w:hyperlink r:id="rId11" w:history="1">
        <w:r w:rsidRPr="003B4AEB">
          <w:rPr>
            <w:rStyle w:val="Collegamentoipertestuale"/>
            <w:rFonts w:asciiTheme="minorHAnsi" w:hAnsiTheme="minorHAnsi" w:cstheme="minorHAnsi"/>
            <w:sz w:val="20"/>
            <w:shd w:val="clear" w:color="auto" w:fill="FFFFFF"/>
            <w:lang w:val="it-IT"/>
          </w:rPr>
          <w:t>fconti@dagcom.com</w:t>
        </w:r>
      </w:hyperlink>
      <w:r w:rsidRPr="003B4AEB"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                   Tel: +39 02 89054163</w:t>
      </w:r>
    </w:p>
    <w:p w14:paraId="7FB0913A" w14:textId="0E79DD9D" w:rsidR="003B4AEB" w:rsidRPr="004828AE" w:rsidRDefault="003B4AEB" w:rsidP="003B4AEB">
      <w:pPr>
        <w:ind w:right="4"/>
        <w:jc w:val="both"/>
        <w:rPr>
          <w:rFonts w:asciiTheme="minorHAnsi" w:hAnsiTheme="minorHAnsi" w:cstheme="minorHAnsi"/>
          <w:sz w:val="20"/>
          <w:shd w:val="clear" w:color="auto" w:fill="FFFFFF"/>
          <w:lang w:val="it-IT"/>
        </w:rPr>
      </w:pPr>
      <w:r w:rsidRPr="004828AE">
        <w:rPr>
          <w:rFonts w:asciiTheme="minorHAnsi" w:hAnsiTheme="minorHAnsi" w:cstheme="minorHAnsi"/>
          <w:sz w:val="20"/>
          <w:shd w:val="clear" w:color="auto" w:fill="FFFFFF"/>
          <w:lang w:val="it-IT"/>
        </w:rPr>
        <w:t>Barbara D’Incecco</w:t>
      </w:r>
      <w:r w:rsidRPr="004828AE">
        <w:rPr>
          <w:rFonts w:asciiTheme="minorHAnsi" w:hAnsiTheme="minorHAnsi" w:cstheme="minorHAnsi"/>
          <w:sz w:val="20"/>
          <w:shd w:val="clear" w:color="auto" w:fill="FFFFFF"/>
          <w:lang w:val="it-IT"/>
        </w:rPr>
        <w:tab/>
        <w:t xml:space="preserve">e-mail: </w:t>
      </w:r>
      <w:hyperlink r:id="rId12" w:history="1">
        <w:r w:rsidRPr="00AD1837">
          <w:rPr>
            <w:rStyle w:val="Collegamentoipertestuale"/>
            <w:rFonts w:asciiTheme="minorHAnsi" w:hAnsiTheme="minorHAnsi" w:cstheme="minorHAnsi"/>
            <w:sz w:val="20"/>
            <w:shd w:val="clear" w:color="auto" w:fill="FFFFFF"/>
            <w:lang w:val="it-IT"/>
          </w:rPr>
          <w:t>bdincecco@dagcom.com</w:t>
        </w:r>
      </w:hyperlink>
      <w:r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    </w:t>
      </w:r>
      <w:r w:rsidRPr="004828AE"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     </w:t>
      </w:r>
      <w:r>
        <w:rPr>
          <w:rFonts w:asciiTheme="minorHAnsi" w:hAnsiTheme="minorHAnsi" w:cstheme="minorHAnsi"/>
          <w:sz w:val="20"/>
          <w:shd w:val="clear" w:color="auto" w:fill="FFFFFF"/>
          <w:lang w:val="it-IT"/>
        </w:rPr>
        <w:t xml:space="preserve"> </w:t>
      </w:r>
      <w:r w:rsidRPr="004828AE">
        <w:rPr>
          <w:rFonts w:asciiTheme="minorHAnsi" w:hAnsiTheme="minorHAnsi" w:cstheme="minorHAnsi"/>
          <w:sz w:val="20"/>
          <w:shd w:val="clear" w:color="auto" w:fill="FFFFFF"/>
          <w:lang w:val="it-IT"/>
        </w:rPr>
        <w:t>Tel: +39 02 89054160</w:t>
      </w:r>
    </w:p>
    <w:p w14:paraId="65BEB45E" w14:textId="77777777" w:rsidR="003B4AEB" w:rsidRPr="004828AE" w:rsidRDefault="003B4AEB">
      <w:pPr>
        <w:rPr>
          <w:rFonts w:asciiTheme="minorHAnsi" w:hAnsiTheme="minorHAnsi" w:cstheme="minorHAnsi"/>
          <w:sz w:val="20"/>
          <w:shd w:val="clear" w:color="auto" w:fill="FFFFFF"/>
          <w:lang w:val="it-IT"/>
        </w:rPr>
      </w:pPr>
    </w:p>
    <w:sectPr w:rsidR="003B4AEB" w:rsidRPr="00482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629F0" w14:textId="77777777" w:rsidR="00D17586" w:rsidRDefault="00D17586" w:rsidP="00137879">
      <w:r>
        <w:separator/>
      </w:r>
    </w:p>
  </w:endnote>
  <w:endnote w:type="continuationSeparator" w:id="0">
    <w:p w14:paraId="5AB1EAA0" w14:textId="77777777" w:rsidR="00D17586" w:rsidRDefault="00D17586" w:rsidP="0013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2D814" w14:textId="77777777" w:rsidR="00D17586" w:rsidRDefault="00D17586" w:rsidP="00137879">
      <w:r>
        <w:separator/>
      </w:r>
    </w:p>
  </w:footnote>
  <w:footnote w:type="continuationSeparator" w:id="0">
    <w:p w14:paraId="2D47C9F7" w14:textId="77777777" w:rsidR="00D17586" w:rsidRDefault="00D17586" w:rsidP="00137879">
      <w:r>
        <w:continuationSeparator/>
      </w:r>
    </w:p>
  </w:footnote>
  <w:footnote w:id="1">
    <w:p w14:paraId="67147C7A" w14:textId="5E60C8B1" w:rsidR="00D560E4" w:rsidRPr="00D560E4" w:rsidRDefault="00D560E4" w:rsidP="00D560E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D560E4">
        <w:rPr>
          <w:lang w:val="en-GB"/>
        </w:rPr>
        <w:t xml:space="preserve">Statista, "Digital Market Outlook", </w:t>
      </w:r>
      <w:proofErr w:type="spellStart"/>
      <w:r w:rsidRPr="00D560E4">
        <w:rPr>
          <w:lang w:val="en-GB"/>
        </w:rPr>
        <w:t>febbraio</w:t>
      </w:r>
      <w:proofErr w:type="spellEnd"/>
      <w:r w:rsidRPr="00D560E4">
        <w:rPr>
          <w:lang w:val="en-GB"/>
        </w:rPr>
        <w:t xml:space="preserve"> 2019. </w:t>
      </w:r>
      <w:r w:rsidRPr="00D560E4">
        <w:rPr>
          <w:lang w:val="it-IT"/>
        </w:rPr>
        <w:t xml:space="preserve">I </w:t>
      </w:r>
      <w:r>
        <w:rPr>
          <w:lang w:val="it-IT"/>
        </w:rPr>
        <w:t>settori</w:t>
      </w:r>
      <w:r w:rsidRPr="00D560E4">
        <w:rPr>
          <w:lang w:val="it-IT"/>
        </w:rPr>
        <w:t xml:space="preserve"> e-commerce inclusi comprendono</w:t>
      </w:r>
      <w:r>
        <w:rPr>
          <w:lang w:val="it-IT"/>
        </w:rPr>
        <w:t xml:space="preserve"> m</w:t>
      </w:r>
      <w:r w:rsidRPr="00D560E4">
        <w:rPr>
          <w:lang w:val="it-IT"/>
        </w:rPr>
        <w:t xml:space="preserve">oda, </w:t>
      </w:r>
      <w:r>
        <w:rPr>
          <w:lang w:val="it-IT"/>
        </w:rPr>
        <w:t>e</w:t>
      </w:r>
      <w:r w:rsidRPr="00D560E4">
        <w:rPr>
          <w:lang w:val="it-IT"/>
        </w:rPr>
        <w:t xml:space="preserve">lettronica e </w:t>
      </w:r>
      <w:r>
        <w:rPr>
          <w:lang w:val="it-IT"/>
        </w:rPr>
        <w:t>m</w:t>
      </w:r>
      <w:r w:rsidRPr="00D560E4">
        <w:rPr>
          <w:lang w:val="it-IT"/>
        </w:rPr>
        <w:t xml:space="preserve">edia, </w:t>
      </w:r>
      <w:r>
        <w:rPr>
          <w:lang w:val="it-IT"/>
        </w:rPr>
        <w:t>c</w:t>
      </w:r>
      <w:r w:rsidRPr="00D560E4">
        <w:rPr>
          <w:lang w:val="it-IT"/>
        </w:rPr>
        <w:t xml:space="preserve">ibo e </w:t>
      </w:r>
      <w:r>
        <w:rPr>
          <w:lang w:val="it-IT"/>
        </w:rPr>
        <w:t>c</w:t>
      </w:r>
      <w:r w:rsidRPr="00D560E4">
        <w:rPr>
          <w:lang w:val="it-IT"/>
        </w:rPr>
        <w:t xml:space="preserve">ura personale, </w:t>
      </w:r>
      <w:r>
        <w:rPr>
          <w:lang w:val="it-IT"/>
        </w:rPr>
        <w:t>arredamento</w:t>
      </w:r>
      <w:r w:rsidRPr="00D560E4">
        <w:rPr>
          <w:lang w:val="it-IT"/>
        </w:rPr>
        <w:t xml:space="preserve"> ed </w:t>
      </w:r>
      <w:r>
        <w:rPr>
          <w:lang w:val="it-IT"/>
        </w:rPr>
        <w:t>e</w:t>
      </w:r>
      <w:r w:rsidRPr="00D560E4">
        <w:rPr>
          <w:lang w:val="it-IT"/>
        </w:rPr>
        <w:t>lettrodomestici</w:t>
      </w:r>
      <w:r>
        <w:rPr>
          <w:lang w:val="it-IT"/>
        </w:rPr>
        <w:t>,</w:t>
      </w:r>
      <w:r w:rsidRPr="00D560E4">
        <w:rPr>
          <w:lang w:val="it-IT"/>
        </w:rPr>
        <w:t xml:space="preserve"> </w:t>
      </w:r>
      <w:r>
        <w:rPr>
          <w:lang w:val="it-IT"/>
        </w:rPr>
        <w:t>g</w:t>
      </w:r>
      <w:r w:rsidRPr="00D560E4">
        <w:rPr>
          <w:lang w:val="it-IT"/>
        </w:rPr>
        <w:t xml:space="preserve">iocattoli, </w:t>
      </w:r>
      <w:r w:rsidR="00895DC6">
        <w:rPr>
          <w:lang w:val="it-IT"/>
        </w:rPr>
        <w:t>h</w:t>
      </w:r>
      <w:r w:rsidRPr="00D560E4">
        <w:rPr>
          <w:lang w:val="it-IT"/>
        </w:rPr>
        <w:t>obby e fai-da-te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5DE"/>
    <w:multiLevelType w:val="hybridMultilevel"/>
    <w:tmpl w:val="C93A4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44467"/>
    <w:multiLevelType w:val="hybridMultilevel"/>
    <w:tmpl w:val="E1AE7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C5D"/>
    <w:multiLevelType w:val="hybridMultilevel"/>
    <w:tmpl w:val="BAD8A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C63DF9"/>
    <w:multiLevelType w:val="hybridMultilevel"/>
    <w:tmpl w:val="2B3E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736F0"/>
    <w:multiLevelType w:val="hybridMultilevel"/>
    <w:tmpl w:val="B60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B1A"/>
    <w:multiLevelType w:val="hybridMultilevel"/>
    <w:tmpl w:val="EBB64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6968"/>
    <w:multiLevelType w:val="hybridMultilevel"/>
    <w:tmpl w:val="F64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30"/>
    <w:rsid w:val="00001194"/>
    <w:rsid w:val="00021B5A"/>
    <w:rsid w:val="00026204"/>
    <w:rsid w:val="00035D21"/>
    <w:rsid w:val="00052233"/>
    <w:rsid w:val="0006608F"/>
    <w:rsid w:val="00067FC4"/>
    <w:rsid w:val="00072D59"/>
    <w:rsid w:val="000738A6"/>
    <w:rsid w:val="0008631C"/>
    <w:rsid w:val="00093889"/>
    <w:rsid w:val="000A21CA"/>
    <w:rsid w:val="000C066F"/>
    <w:rsid w:val="000D4934"/>
    <w:rsid w:val="000F53FC"/>
    <w:rsid w:val="00102AE8"/>
    <w:rsid w:val="00111BE5"/>
    <w:rsid w:val="00121DFF"/>
    <w:rsid w:val="00137879"/>
    <w:rsid w:val="00147E9E"/>
    <w:rsid w:val="00176094"/>
    <w:rsid w:val="001762A8"/>
    <w:rsid w:val="0018402D"/>
    <w:rsid w:val="001A2056"/>
    <w:rsid w:val="001B2093"/>
    <w:rsid w:val="001C22EA"/>
    <w:rsid w:val="001C38A0"/>
    <w:rsid w:val="001C53FF"/>
    <w:rsid w:val="001C5B30"/>
    <w:rsid w:val="001C7BF1"/>
    <w:rsid w:val="001D146A"/>
    <w:rsid w:val="001E75BD"/>
    <w:rsid w:val="001F625D"/>
    <w:rsid w:val="002125E7"/>
    <w:rsid w:val="00220563"/>
    <w:rsid w:val="0022757B"/>
    <w:rsid w:val="002449B1"/>
    <w:rsid w:val="00245788"/>
    <w:rsid w:val="00252C42"/>
    <w:rsid w:val="0025492D"/>
    <w:rsid w:val="00260CEE"/>
    <w:rsid w:val="00265290"/>
    <w:rsid w:val="0026596C"/>
    <w:rsid w:val="00267685"/>
    <w:rsid w:val="00270830"/>
    <w:rsid w:val="00287745"/>
    <w:rsid w:val="00287C00"/>
    <w:rsid w:val="00287DA5"/>
    <w:rsid w:val="0029694E"/>
    <w:rsid w:val="002A6824"/>
    <w:rsid w:val="002B6899"/>
    <w:rsid w:val="002D04BE"/>
    <w:rsid w:val="002F53C1"/>
    <w:rsid w:val="003034EB"/>
    <w:rsid w:val="00324854"/>
    <w:rsid w:val="0033178D"/>
    <w:rsid w:val="00337B83"/>
    <w:rsid w:val="00353FC0"/>
    <w:rsid w:val="00377F87"/>
    <w:rsid w:val="003A4C20"/>
    <w:rsid w:val="003B4303"/>
    <w:rsid w:val="003B4AEB"/>
    <w:rsid w:val="003B6915"/>
    <w:rsid w:val="003C03B8"/>
    <w:rsid w:val="003C5F92"/>
    <w:rsid w:val="003C6890"/>
    <w:rsid w:val="003D103E"/>
    <w:rsid w:val="003D1CF5"/>
    <w:rsid w:val="003E0861"/>
    <w:rsid w:val="003E24AF"/>
    <w:rsid w:val="003F1EEE"/>
    <w:rsid w:val="003F2AF6"/>
    <w:rsid w:val="003F3CBB"/>
    <w:rsid w:val="00400C55"/>
    <w:rsid w:val="004011DF"/>
    <w:rsid w:val="004141F1"/>
    <w:rsid w:val="00435B59"/>
    <w:rsid w:val="004533C8"/>
    <w:rsid w:val="00457B0C"/>
    <w:rsid w:val="00466F23"/>
    <w:rsid w:val="004673AD"/>
    <w:rsid w:val="00467E08"/>
    <w:rsid w:val="00470DBC"/>
    <w:rsid w:val="004828AE"/>
    <w:rsid w:val="00483C6B"/>
    <w:rsid w:val="0048447E"/>
    <w:rsid w:val="004B5823"/>
    <w:rsid w:val="004C03FE"/>
    <w:rsid w:val="004C5C53"/>
    <w:rsid w:val="005042D0"/>
    <w:rsid w:val="00547389"/>
    <w:rsid w:val="005503CF"/>
    <w:rsid w:val="00552799"/>
    <w:rsid w:val="00571C99"/>
    <w:rsid w:val="00574147"/>
    <w:rsid w:val="00592AA6"/>
    <w:rsid w:val="005A5C34"/>
    <w:rsid w:val="005A63A6"/>
    <w:rsid w:val="005D1FFC"/>
    <w:rsid w:val="005D4A6C"/>
    <w:rsid w:val="005D769B"/>
    <w:rsid w:val="005E17AC"/>
    <w:rsid w:val="005E67AB"/>
    <w:rsid w:val="005F09AA"/>
    <w:rsid w:val="005F405F"/>
    <w:rsid w:val="005F7336"/>
    <w:rsid w:val="006001B6"/>
    <w:rsid w:val="006012D7"/>
    <w:rsid w:val="00604CA8"/>
    <w:rsid w:val="00621470"/>
    <w:rsid w:val="00625430"/>
    <w:rsid w:val="00633AA7"/>
    <w:rsid w:val="00653659"/>
    <w:rsid w:val="00662F9C"/>
    <w:rsid w:val="0066405B"/>
    <w:rsid w:val="00673EDA"/>
    <w:rsid w:val="006955E0"/>
    <w:rsid w:val="006974D8"/>
    <w:rsid w:val="006E0EC2"/>
    <w:rsid w:val="006E1517"/>
    <w:rsid w:val="006E7336"/>
    <w:rsid w:val="006F1E0E"/>
    <w:rsid w:val="006F1E95"/>
    <w:rsid w:val="00722682"/>
    <w:rsid w:val="0072762C"/>
    <w:rsid w:val="00741395"/>
    <w:rsid w:val="00765E90"/>
    <w:rsid w:val="00771013"/>
    <w:rsid w:val="007A2C3F"/>
    <w:rsid w:val="007A64EE"/>
    <w:rsid w:val="007A7561"/>
    <w:rsid w:val="007B3E2D"/>
    <w:rsid w:val="007B54C9"/>
    <w:rsid w:val="007C0CFA"/>
    <w:rsid w:val="007C65FD"/>
    <w:rsid w:val="007F14F7"/>
    <w:rsid w:val="0080457D"/>
    <w:rsid w:val="00810283"/>
    <w:rsid w:val="00821657"/>
    <w:rsid w:val="0083215F"/>
    <w:rsid w:val="00845BF8"/>
    <w:rsid w:val="0085657C"/>
    <w:rsid w:val="00856A59"/>
    <w:rsid w:val="008714E8"/>
    <w:rsid w:val="00885F8C"/>
    <w:rsid w:val="00886177"/>
    <w:rsid w:val="0089264E"/>
    <w:rsid w:val="00895DC6"/>
    <w:rsid w:val="008A6D50"/>
    <w:rsid w:val="008B5ACA"/>
    <w:rsid w:val="008B7C14"/>
    <w:rsid w:val="008B7E17"/>
    <w:rsid w:val="008D1D9F"/>
    <w:rsid w:val="008D5B47"/>
    <w:rsid w:val="008D6EA0"/>
    <w:rsid w:val="008D7FCF"/>
    <w:rsid w:val="008E38F9"/>
    <w:rsid w:val="008F645F"/>
    <w:rsid w:val="00900DA2"/>
    <w:rsid w:val="0092147C"/>
    <w:rsid w:val="0094025A"/>
    <w:rsid w:val="00957219"/>
    <w:rsid w:val="00960998"/>
    <w:rsid w:val="009759C2"/>
    <w:rsid w:val="00982073"/>
    <w:rsid w:val="00995F97"/>
    <w:rsid w:val="00996673"/>
    <w:rsid w:val="009A413A"/>
    <w:rsid w:val="009B3144"/>
    <w:rsid w:val="009C04D3"/>
    <w:rsid w:val="009D41D8"/>
    <w:rsid w:val="009D475E"/>
    <w:rsid w:val="009F344A"/>
    <w:rsid w:val="00A05416"/>
    <w:rsid w:val="00A2384E"/>
    <w:rsid w:val="00A248E9"/>
    <w:rsid w:val="00A27756"/>
    <w:rsid w:val="00A37296"/>
    <w:rsid w:val="00A457C9"/>
    <w:rsid w:val="00A50110"/>
    <w:rsid w:val="00A60826"/>
    <w:rsid w:val="00A7306B"/>
    <w:rsid w:val="00A95EBA"/>
    <w:rsid w:val="00A962F1"/>
    <w:rsid w:val="00AA3890"/>
    <w:rsid w:val="00AC093A"/>
    <w:rsid w:val="00AC58E2"/>
    <w:rsid w:val="00AD00F6"/>
    <w:rsid w:val="00B03471"/>
    <w:rsid w:val="00B06A97"/>
    <w:rsid w:val="00B14A85"/>
    <w:rsid w:val="00B17E52"/>
    <w:rsid w:val="00B2076B"/>
    <w:rsid w:val="00B224E4"/>
    <w:rsid w:val="00B226D2"/>
    <w:rsid w:val="00B24374"/>
    <w:rsid w:val="00B413BF"/>
    <w:rsid w:val="00B46D71"/>
    <w:rsid w:val="00B47649"/>
    <w:rsid w:val="00B54872"/>
    <w:rsid w:val="00B71FAC"/>
    <w:rsid w:val="00B7561B"/>
    <w:rsid w:val="00B9688F"/>
    <w:rsid w:val="00BF0A70"/>
    <w:rsid w:val="00BF43BD"/>
    <w:rsid w:val="00BF59F3"/>
    <w:rsid w:val="00C0365B"/>
    <w:rsid w:val="00C1156B"/>
    <w:rsid w:val="00C15A6A"/>
    <w:rsid w:val="00C16140"/>
    <w:rsid w:val="00C32A36"/>
    <w:rsid w:val="00C436E5"/>
    <w:rsid w:val="00C47C57"/>
    <w:rsid w:val="00C50A62"/>
    <w:rsid w:val="00C559C0"/>
    <w:rsid w:val="00C7368F"/>
    <w:rsid w:val="00C8432A"/>
    <w:rsid w:val="00C94CFD"/>
    <w:rsid w:val="00C963C3"/>
    <w:rsid w:val="00CB694A"/>
    <w:rsid w:val="00CC7CA8"/>
    <w:rsid w:val="00CD04C2"/>
    <w:rsid w:val="00CE2709"/>
    <w:rsid w:val="00D02DAD"/>
    <w:rsid w:val="00D06530"/>
    <w:rsid w:val="00D06A8D"/>
    <w:rsid w:val="00D10D21"/>
    <w:rsid w:val="00D145D5"/>
    <w:rsid w:val="00D1565D"/>
    <w:rsid w:val="00D17586"/>
    <w:rsid w:val="00D239D3"/>
    <w:rsid w:val="00D34943"/>
    <w:rsid w:val="00D4228D"/>
    <w:rsid w:val="00D47594"/>
    <w:rsid w:val="00D4764A"/>
    <w:rsid w:val="00D560E4"/>
    <w:rsid w:val="00D5664B"/>
    <w:rsid w:val="00D630E4"/>
    <w:rsid w:val="00D7364D"/>
    <w:rsid w:val="00D84AEE"/>
    <w:rsid w:val="00D90C78"/>
    <w:rsid w:val="00D9492F"/>
    <w:rsid w:val="00D95209"/>
    <w:rsid w:val="00DA1BF8"/>
    <w:rsid w:val="00DB10A2"/>
    <w:rsid w:val="00DB7554"/>
    <w:rsid w:val="00DC2F01"/>
    <w:rsid w:val="00DC3FC6"/>
    <w:rsid w:val="00DC509F"/>
    <w:rsid w:val="00E02CD1"/>
    <w:rsid w:val="00E163D8"/>
    <w:rsid w:val="00E31E7F"/>
    <w:rsid w:val="00E33EF0"/>
    <w:rsid w:val="00E629CE"/>
    <w:rsid w:val="00E637F3"/>
    <w:rsid w:val="00E71663"/>
    <w:rsid w:val="00E73BAE"/>
    <w:rsid w:val="00E80054"/>
    <w:rsid w:val="00E866FB"/>
    <w:rsid w:val="00EA357E"/>
    <w:rsid w:val="00EB4342"/>
    <w:rsid w:val="00EB5DE7"/>
    <w:rsid w:val="00EC4934"/>
    <w:rsid w:val="00EC6885"/>
    <w:rsid w:val="00ED1668"/>
    <w:rsid w:val="00ED5DC3"/>
    <w:rsid w:val="00EF17B3"/>
    <w:rsid w:val="00EF4B75"/>
    <w:rsid w:val="00F058C3"/>
    <w:rsid w:val="00F10F0C"/>
    <w:rsid w:val="00F12FDF"/>
    <w:rsid w:val="00F20823"/>
    <w:rsid w:val="00F262E1"/>
    <w:rsid w:val="00F26730"/>
    <w:rsid w:val="00F32245"/>
    <w:rsid w:val="00F44DE1"/>
    <w:rsid w:val="00F6058E"/>
    <w:rsid w:val="00F62644"/>
    <w:rsid w:val="00F854CF"/>
    <w:rsid w:val="00F86B85"/>
    <w:rsid w:val="00FB0C19"/>
    <w:rsid w:val="00FB2188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1B91"/>
  <w15:chartTrackingRefBased/>
  <w15:docId w15:val="{57C095FA-5CEB-4106-AD03-6B18995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730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rsid w:val="00F26730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F26730"/>
    <w:rPr>
      <w:color w:val="0563C1"/>
      <w:u w:val="single"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locked/>
    <w:rsid w:val="00F26730"/>
    <w:rPr>
      <w:rFonts w:ascii="Calibri" w:hAnsi="Calibri" w:cs="Times New Roman"/>
    </w:rPr>
  </w:style>
  <w:style w:type="paragraph" w:customStyle="1" w:styleId="VisaHeadline">
    <w:name w:val="Visa Headline"/>
    <w:rsid w:val="00F26730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Documentname">
    <w:name w:val="Visa Document name"/>
    <w:rsid w:val="00F26730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character" w:customStyle="1" w:styleId="s22">
    <w:name w:val="s22"/>
    <w:basedOn w:val="Carpredefinitoparagrafo"/>
    <w:rsid w:val="00F26730"/>
  </w:style>
  <w:style w:type="paragraph" w:styleId="NormaleWeb">
    <w:name w:val="Normal (Web)"/>
    <w:basedOn w:val="Normale"/>
    <w:uiPriority w:val="99"/>
    <w:semiHidden/>
    <w:unhideWhenUsed/>
    <w:rsid w:val="00F267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D1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166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1668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1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1668"/>
    <w:rPr>
      <w:rFonts w:ascii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6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66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ED5DC3"/>
  </w:style>
  <w:style w:type="paragraph" w:customStyle="1" w:styleId="stylesecondleveltextbold">
    <w:name w:val="stylesecondleveltextbold"/>
    <w:basedOn w:val="Normale"/>
    <w:rsid w:val="003E24AF"/>
    <w:pPr>
      <w:spacing w:after="160" w:line="280" w:lineRule="atLeast"/>
      <w:ind w:left="360" w:hanging="360"/>
    </w:pPr>
    <w:rPr>
      <w:rFonts w:ascii="Segoe UI" w:hAnsi="Segoe UI" w:cs="Segoe UI"/>
      <w:b/>
      <w:bCs/>
      <w:color w:val="75787B"/>
      <w:lang w:eastAsia="zh-T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78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7879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7879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2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2C3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4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5C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4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dincecco@dagco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conti@dagco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pantaleo@dag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on.visaeurope.com/error?aspxerrorpath=/,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EF10-8B14-43D4-A381-3F4AB01D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Inc.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Harris-Maines, Katie</dc:creator>
  <cp:keywords/>
  <dc:description/>
  <cp:lastModifiedBy>dag36</cp:lastModifiedBy>
  <cp:revision>31</cp:revision>
  <dcterms:created xsi:type="dcterms:W3CDTF">2019-05-15T13:22:00Z</dcterms:created>
  <dcterms:modified xsi:type="dcterms:W3CDTF">2019-05-21T09:58:00Z</dcterms:modified>
</cp:coreProperties>
</file>