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217258" w:rsidRDefault="008A4C37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>
        <w:rPr>
          <w:bCs/>
          <w:color w:val="000000"/>
          <w:sz w:val="28"/>
          <w:szCs w:val="28"/>
          <w:lang w:val="sv-SE"/>
        </w:rPr>
        <w:t>E60-80/900 (serie 1279)</w:t>
      </w:r>
    </w:p>
    <w:p w:rsidR="008A4C37" w:rsidRPr="008A4C37" w:rsidRDefault="008A4C37" w:rsidP="008A4C37">
      <w:pPr>
        <w:pStyle w:val="Liststycke"/>
        <w:numPr>
          <w:ilvl w:val="0"/>
          <w:numId w:val="3"/>
        </w:numPr>
        <w:ind w:right="75"/>
        <w:jc w:val="both"/>
        <w:rPr>
          <w:rFonts w:ascii="LindeDaxOffice" w:hAnsi="LindeDaxOffice"/>
          <w:bCs/>
          <w:color w:val="000000"/>
          <w:sz w:val="28"/>
          <w:szCs w:val="28"/>
          <w:lang w:val="sv-SE"/>
        </w:rPr>
      </w:pPr>
      <w:r w:rsidRPr="008A4C37">
        <w:rPr>
          <w:rFonts w:ascii="LindeDaxOffice" w:hAnsi="LindeDaxOffice"/>
          <w:bCs/>
          <w:color w:val="000000"/>
          <w:sz w:val="28"/>
          <w:szCs w:val="28"/>
          <w:lang w:val="sv-SE"/>
        </w:rPr>
        <w:t>Lindes första elmotviktstruck upp till 8 ton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</w:p>
    <w:p w:rsidR="00D3058F" w:rsidRDefault="008A4C37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 </w:t>
      </w:r>
    </w:p>
    <w:p w:rsidR="00D3058F" w:rsidRP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D3058F" w:rsidRDefault="008A4C3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Här är Lindes första elektriska truck upp till 8 ton. En modell som kommer att göra succé med sin tysta gång, sin fantastiska sikt – och framför allt – sina låga driftkostnader.</w:t>
      </w:r>
    </w:p>
    <w:p w:rsidR="008A4C37" w:rsidRDefault="008A4C3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00220C" w:rsidRDefault="008A4C3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Truckarna har klassens bästa sikt tack vare en bakruta i pansarglas. </w:t>
      </w:r>
    </w:p>
    <w:p w:rsidR="0000220C" w:rsidRDefault="008A4C3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De går tyst och smidigt, </w:t>
      </w:r>
      <w:r w:rsidR="0000220C">
        <w:rPr>
          <w:bCs/>
          <w:color w:val="000000"/>
          <w:sz w:val="22"/>
          <w:szCs w:val="22"/>
          <w:lang w:val="sv-SE"/>
        </w:rPr>
        <w:t xml:space="preserve">vilket är </w:t>
      </w:r>
      <w:r>
        <w:rPr>
          <w:bCs/>
          <w:color w:val="000000"/>
          <w:sz w:val="22"/>
          <w:szCs w:val="22"/>
          <w:lang w:val="sv-SE"/>
        </w:rPr>
        <w:t xml:space="preserve">en stor fördel för både förare och omgivning. </w:t>
      </w:r>
    </w:p>
    <w:p w:rsidR="0000220C" w:rsidRDefault="0000220C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00220C" w:rsidRDefault="008A4C3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Truckarna har ett stort </w:t>
      </w:r>
      <w:r w:rsidR="0000220C">
        <w:rPr>
          <w:bCs/>
          <w:color w:val="000000"/>
          <w:sz w:val="22"/>
          <w:szCs w:val="22"/>
          <w:lang w:val="sv-SE"/>
        </w:rPr>
        <w:t xml:space="preserve">batteri och fyra underhållsfria elmotorer, två för drift (2x11 kW) och två för lyft (2x21 kW). </w:t>
      </w:r>
    </w:p>
    <w:p w:rsidR="0000220C" w:rsidRDefault="0000220C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Driftkostnaderna är mycket låga, tack vare låg förbrukning och långa serviceintervaller.</w:t>
      </w:r>
    </w:p>
    <w:p w:rsidR="0000220C" w:rsidRDefault="0000220C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8A4C37" w:rsidRDefault="0000220C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bookmarkStart w:id="0" w:name="_GoBack"/>
      <w:bookmarkEnd w:id="0"/>
      <w:r>
        <w:rPr>
          <w:bCs/>
          <w:color w:val="000000"/>
          <w:sz w:val="22"/>
          <w:szCs w:val="22"/>
          <w:lang w:val="sv-SE"/>
        </w:rPr>
        <w:t>En truck som verkligen är anpassad för framtiden, då reglerna för utsläpp kommer att bli allt tuffare.</w:t>
      </w:r>
    </w:p>
    <w:p w:rsidR="0000220C" w:rsidRDefault="0000220C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0E4A26" w:rsidRPr="003E1C9A" w:rsidRDefault="000E4A26" w:rsidP="000E4A26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0E4A26" w:rsidRPr="003E1C9A" w:rsidRDefault="000E4A26" w:rsidP="000E4A26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0E4A26" w:rsidRPr="00630F45" w:rsidRDefault="000E4A26" w:rsidP="000E4A26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abstractNum w:abstractNumId="2">
    <w:nsid w:val="029C3A2E"/>
    <w:multiLevelType w:val="hybridMultilevel"/>
    <w:tmpl w:val="AF863926"/>
    <w:lvl w:ilvl="0" w:tplc="B5C4B6CE">
      <w:numFmt w:val="bullet"/>
      <w:lvlText w:val="-"/>
      <w:lvlJc w:val="left"/>
      <w:pPr>
        <w:ind w:left="720" w:hanging="360"/>
      </w:pPr>
      <w:rPr>
        <w:rFonts w:ascii="LindeDaxOffice" w:eastAsia="Times New Roman" w:hAnsi="LindeDaxOffice" w:cs="LindeDaxOffic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0220C"/>
    <w:rsid w:val="00087191"/>
    <w:rsid w:val="000941C1"/>
    <w:rsid w:val="000A7A2E"/>
    <w:rsid w:val="000E4A26"/>
    <w:rsid w:val="001C0A43"/>
    <w:rsid w:val="00217258"/>
    <w:rsid w:val="00232B65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A4C37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D3058F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4BF6-5551-4DA5-9F9E-53C88EA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2</cp:revision>
  <cp:lastPrinted>2014-07-01T07:56:00Z</cp:lastPrinted>
  <dcterms:created xsi:type="dcterms:W3CDTF">2014-07-01T08:00:00Z</dcterms:created>
  <dcterms:modified xsi:type="dcterms:W3CDTF">2014-07-01T08:00:00Z</dcterms:modified>
</cp:coreProperties>
</file>