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D3" w:rsidRDefault="007106D3" w:rsidP="007106D3">
      <w:pPr>
        <w:jc w:val="right"/>
        <w:rPr>
          <w:lang w:eastAsia="sv-SE"/>
        </w:rPr>
      </w:pPr>
      <w:r>
        <w:rPr>
          <w:lang w:eastAsia="sv-SE"/>
        </w:rPr>
        <w:t>Stockholm 2018-02-06</w:t>
      </w:r>
    </w:p>
    <w:p w:rsidR="007106D3" w:rsidRPr="007106D3" w:rsidRDefault="007106D3" w:rsidP="007106D3">
      <w:pPr>
        <w:pStyle w:val="Rubrik1"/>
        <w:rPr>
          <w:rFonts w:eastAsia="Times New Roman"/>
          <w:lang w:eastAsia="sv-SE"/>
        </w:rPr>
      </w:pPr>
      <w:r w:rsidRPr="007106D3">
        <w:rPr>
          <w:rFonts w:eastAsia="Times New Roman"/>
          <w:lang w:eastAsia="sv-SE"/>
        </w:rPr>
        <w:t>Så här använder svenskar solskyddsmedel</w:t>
      </w:r>
    </w:p>
    <w:p w:rsidR="007106D3" w:rsidRDefault="007106D3" w:rsidP="007106D3">
      <w:pPr>
        <w:rPr>
          <w:lang w:eastAsia="sv-SE"/>
        </w:rPr>
      </w:pPr>
    </w:p>
    <w:p w:rsidR="007106D3" w:rsidRPr="007106D3" w:rsidRDefault="007106D3" w:rsidP="007106D3">
      <w:pPr>
        <w:rPr>
          <w:lang w:eastAsia="sv-SE"/>
        </w:rPr>
      </w:pPr>
      <w:r w:rsidRPr="007106D3">
        <w:rPr>
          <w:lang w:eastAsia="sv-SE"/>
        </w:rPr>
        <w:t xml:space="preserve">Branschföreningen Kosmetik- och hygienföretagen har låtit opinions- och marknadsundersökningsföretaget </w:t>
      </w:r>
      <w:proofErr w:type="spellStart"/>
      <w:r w:rsidRPr="007106D3">
        <w:rPr>
          <w:lang w:eastAsia="sv-SE"/>
        </w:rPr>
        <w:t>You</w:t>
      </w:r>
      <w:r w:rsidR="007B5A92">
        <w:rPr>
          <w:lang w:eastAsia="sv-SE"/>
        </w:rPr>
        <w:t>G</w:t>
      </w:r>
      <w:bookmarkStart w:id="0" w:name="_GoBack"/>
      <w:bookmarkEnd w:id="0"/>
      <w:r w:rsidRPr="007106D3">
        <w:rPr>
          <w:lang w:eastAsia="sv-SE"/>
        </w:rPr>
        <w:t>ov</w:t>
      </w:r>
      <w:proofErr w:type="spellEnd"/>
      <w:r w:rsidRPr="007106D3">
        <w:rPr>
          <w:lang w:eastAsia="sv-SE"/>
        </w:rPr>
        <w:t xml:space="preserve"> (1) ställa ett antal frågor till svenskar om vanor kring solskyddsmedel. Så här svarade de lite drygt tusen tillfrågade:</w:t>
      </w:r>
    </w:p>
    <w:p w:rsidR="007106D3" w:rsidRPr="007106D3" w:rsidRDefault="007106D3" w:rsidP="007106D3">
      <w:pPr>
        <w:pStyle w:val="Liststycke"/>
        <w:numPr>
          <w:ilvl w:val="0"/>
          <w:numId w:val="2"/>
        </w:numPr>
        <w:rPr>
          <w:lang w:eastAsia="sv-SE"/>
        </w:rPr>
      </w:pPr>
      <w:r w:rsidRPr="007106D3">
        <w:rPr>
          <w:lang w:eastAsia="sv-SE"/>
        </w:rPr>
        <w:t>60 procent smörjer in sig innan de går ut för en heldag på stranden, vilket också är i enlighet med officiella rekommendationen </w:t>
      </w:r>
      <w:r w:rsidRPr="007106D3">
        <w:rPr>
          <w:b/>
          <w:bCs/>
          <w:i/>
          <w:iCs/>
          <w:lang w:eastAsia="sv-SE"/>
        </w:rPr>
        <w:t>”Applicera solskyddsmedlet innan du går ut i solen.”</w:t>
      </w:r>
      <w:r w:rsidRPr="007106D3">
        <w:rPr>
          <w:lang w:eastAsia="sv-SE"/>
        </w:rPr>
        <w:br/>
      </w:r>
      <w:proofErr w:type="spellStart"/>
      <w:r w:rsidRPr="007106D3">
        <w:rPr>
          <w:lang w:eastAsia="sv-SE"/>
        </w:rPr>
        <w:t>KoHF</w:t>
      </w:r>
      <w:proofErr w:type="spellEnd"/>
      <w:r w:rsidRPr="007106D3">
        <w:rPr>
          <w:lang w:eastAsia="sv-SE"/>
        </w:rPr>
        <w:t xml:space="preserve"> tycker att det är oroande att så många, speciellt män, inte skyddar sig med solskyddsmedel.</w:t>
      </w:r>
      <w:r w:rsidRPr="007106D3">
        <w:rPr>
          <w:lang w:eastAsia="sv-SE"/>
        </w:rPr>
        <w:br/>
        <w:t>Vi frågade inte specifikt om andra typer av skydd, till exempel kläder och solhatt, men konsensusuppfattningen är att man bör komplettera sitt skydd med solskyddsmedel.</w:t>
      </w:r>
    </w:p>
    <w:p w:rsidR="007106D3" w:rsidRPr="007106D3" w:rsidRDefault="007106D3" w:rsidP="007106D3">
      <w:pPr>
        <w:pStyle w:val="Liststycke"/>
        <w:numPr>
          <w:ilvl w:val="0"/>
          <w:numId w:val="2"/>
        </w:numPr>
        <w:rPr>
          <w:lang w:eastAsia="sv-SE"/>
        </w:rPr>
      </w:pPr>
      <w:r w:rsidRPr="007106D3">
        <w:rPr>
          <w:lang w:eastAsia="sv-SE"/>
        </w:rPr>
        <w:t xml:space="preserve">36 procent applicerar solskyddsmedel endast en gång under hela dagen. För att behålla ett gott skydd, speciellt när man solbadar, bör man </w:t>
      </w:r>
      <w:proofErr w:type="spellStart"/>
      <w:r w:rsidRPr="007106D3">
        <w:rPr>
          <w:lang w:eastAsia="sv-SE"/>
        </w:rPr>
        <w:t>återapplicera</w:t>
      </w:r>
      <w:proofErr w:type="spellEnd"/>
      <w:r w:rsidRPr="007106D3">
        <w:rPr>
          <w:lang w:eastAsia="sv-SE"/>
        </w:rPr>
        <w:t xml:space="preserve"> solskyddet.</w:t>
      </w:r>
      <w:r w:rsidRPr="007106D3">
        <w:rPr>
          <w:lang w:eastAsia="sv-SE"/>
        </w:rPr>
        <w:br/>
      </w:r>
      <w:r w:rsidRPr="007106D3">
        <w:rPr>
          <w:b/>
          <w:bCs/>
          <w:i/>
          <w:iCs/>
          <w:lang w:eastAsia="sv-SE"/>
        </w:rPr>
        <w:t>”Applicera medlet ofta så att du är skyddad hela tiden, särskilt när du svettas eller när du har badat och torkat dig.”</w:t>
      </w:r>
      <w:r w:rsidRPr="007106D3">
        <w:rPr>
          <w:lang w:eastAsia="sv-SE"/>
        </w:rPr>
        <w:t>, säger myndigheternas rekommendation</w:t>
      </w:r>
      <w:r w:rsidR="00685114">
        <w:rPr>
          <w:lang w:eastAsia="sv-SE"/>
        </w:rPr>
        <w:t>.</w:t>
      </w:r>
    </w:p>
    <w:p w:rsidR="007106D3" w:rsidRPr="007106D3" w:rsidRDefault="007106D3" w:rsidP="007106D3">
      <w:pPr>
        <w:pStyle w:val="Liststycke"/>
        <w:numPr>
          <w:ilvl w:val="0"/>
          <w:numId w:val="2"/>
        </w:numPr>
        <w:rPr>
          <w:lang w:eastAsia="sv-SE"/>
        </w:rPr>
      </w:pPr>
      <w:r w:rsidRPr="007106D3">
        <w:rPr>
          <w:lang w:eastAsia="sv-SE"/>
        </w:rPr>
        <w:t>Svenska solbadare tycker om lotion och kräm, använder oftast mellan SPF 15 och 50 och använder gärna en kombinationsprodukt för alla exponerade hudytor.</w:t>
      </w:r>
    </w:p>
    <w:p w:rsidR="007106D3" w:rsidRPr="007106D3" w:rsidRDefault="007106D3" w:rsidP="007106D3">
      <w:pPr>
        <w:pStyle w:val="Liststycke"/>
        <w:numPr>
          <w:ilvl w:val="0"/>
          <w:numId w:val="2"/>
        </w:numPr>
        <w:rPr>
          <w:lang w:eastAsia="sv-SE"/>
        </w:rPr>
      </w:pPr>
      <w:r w:rsidRPr="007106D3">
        <w:rPr>
          <w:lang w:eastAsia="sv-SE"/>
        </w:rPr>
        <w:t>46 procent av de tillfrågade har förstått att solskyddsmedel inte är till för att du ska vistas längre i solen.</w:t>
      </w:r>
    </w:p>
    <w:p w:rsidR="007106D3" w:rsidRPr="007106D3" w:rsidRDefault="007106D3" w:rsidP="007106D3">
      <w:pPr>
        <w:pStyle w:val="Liststycke"/>
        <w:numPr>
          <w:ilvl w:val="0"/>
          <w:numId w:val="2"/>
        </w:numPr>
        <w:rPr>
          <w:lang w:eastAsia="sv-SE"/>
        </w:rPr>
      </w:pPr>
      <w:r w:rsidRPr="007106D3">
        <w:rPr>
          <w:lang w:eastAsia="sv-SE"/>
        </w:rPr>
        <w:t>63 procent av de tillfrågade använder en barnanpassad solskyddsprodukt för att skydda sina barn, och majoriteten använder hög eller mycket hög solskyddsfaktor</w:t>
      </w:r>
    </w:p>
    <w:p w:rsidR="007106D3" w:rsidRPr="007106D3" w:rsidRDefault="007106D3" w:rsidP="007106D3">
      <w:pPr>
        <w:rPr>
          <w:lang w:eastAsia="sv-SE"/>
        </w:rPr>
      </w:pPr>
      <w:r w:rsidRPr="007106D3">
        <w:rPr>
          <w:lang w:eastAsia="sv-SE"/>
        </w:rPr>
        <w:t> </w:t>
      </w:r>
    </w:p>
    <w:p w:rsidR="007106D3" w:rsidRPr="007106D3" w:rsidRDefault="007106D3" w:rsidP="007106D3">
      <w:pPr>
        <w:pStyle w:val="Rubrik3"/>
        <w:rPr>
          <w:rFonts w:eastAsia="Times New Roman"/>
          <w:lang w:eastAsia="sv-SE"/>
        </w:rPr>
      </w:pPr>
      <w:r w:rsidRPr="007106D3">
        <w:rPr>
          <w:rFonts w:eastAsia="Times New Roman"/>
          <w:lang w:eastAsia="sv-SE"/>
        </w:rPr>
        <w:t>LÄNKAR</w:t>
      </w:r>
    </w:p>
    <w:p w:rsidR="007106D3" w:rsidRPr="007106D3" w:rsidRDefault="007B5A92" w:rsidP="007106D3">
      <w:pPr>
        <w:rPr>
          <w:lang w:eastAsia="sv-SE"/>
        </w:rPr>
      </w:pPr>
      <w:hyperlink r:id="rId7" w:history="1">
        <w:r w:rsidR="007106D3" w:rsidRPr="007106D3">
          <w:rPr>
            <w:color w:val="EE3B43"/>
            <w:u w:val="single"/>
            <w:lang w:eastAsia="sv-SE"/>
          </w:rPr>
          <w:t>Sammanfattande presentation av enkätsvaren</w:t>
        </w:r>
      </w:hyperlink>
    </w:p>
    <w:p w:rsidR="007106D3" w:rsidRPr="007106D3" w:rsidRDefault="007B5A92" w:rsidP="007106D3">
      <w:pPr>
        <w:rPr>
          <w:lang w:eastAsia="sv-SE"/>
        </w:rPr>
      </w:pPr>
      <w:hyperlink r:id="rId8" w:tgtFrame="_blank" w:history="1">
        <w:r w:rsidR="007106D3" w:rsidRPr="007106D3">
          <w:rPr>
            <w:color w:val="EE3B43"/>
            <w:u w:val="single"/>
            <w:lang w:eastAsia="sv-SE"/>
          </w:rPr>
          <w:t>Bakgrundsdata</w:t>
        </w:r>
      </w:hyperlink>
    </w:p>
    <w:p w:rsidR="007106D3" w:rsidRDefault="007106D3" w:rsidP="007106D3">
      <w:pPr>
        <w:rPr>
          <w:i/>
          <w:iCs/>
          <w:lang w:eastAsia="sv-SE"/>
        </w:rPr>
      </w:pPr>
    </w:p>
    <w:p w:rsidR="00853B9C" w:rsidRPr="00FE5442" w:rsidRDefault="007106D3" w:rsidP="00DF3174">
      <w:pPr>
        <w:rPr>
          <w:lang w:eastAsia="sv-SE"/>
        </w:rPr>
      </w:pPr>
      <w:r w:rsidRPr="007106D3">
        <w:rPr>
          <w:i/>
          <w:iCs/>
          <w:lang w:eastAsia="sv-SE"/>
        </w:rPr>
        <w:t xml:space="preserve">1) Undersökningen är genomförd av opinions- och marknadsundersökningsföretaget </w:t>
      </w:r>
      <w:proofErr w:type="spellStart"/>
      <w:r w:rsidRPr="007106D3">
        <w:rPr>
          <w:i/>
          <w:iCs/>
          <w:lang w:eastAsia="sv-SE"/>
        </w:rPr>
        <w:t>YouGov</w:t>
      </w:r>
      <w:proofErr w:type="spellEnd"/>
      <w:r w:rsidRPr="007106D3">
        <w:rPr>
          <w:i/>
          <w:iCs/>
          <w:lang w:eastAsia="sv-SE"/>
        </w:rPr>
        <w:t xml:space="preserve">. Under perioden </w:t>
      </w:r>
      <w:proofErr w:type="gramStart"/>
      <w:r w:rsidRPr="007106D3">
        <w:rPr>
          <w:i/>
          <w:iCs/>
          <w:lang w:eastAsia="sv-SE"/>
        </w:rPr>
        <w:t>23-25</w:t>
      </w:r>
      <w:proofErr w:type="gramEnd"/>
      <w:r w:rsidRPr="007106D3">
        <w:rPr>
          <w:i/>
          <w:iCs/>
          <w:lang w:eastAsia="sv-SE"/>
        </w:rPr>
        <w:t xml:space="preserve"> januari 2018 har sammanlagt 1014 intervjuer via internet genomförts med män och kvinnor 18+ år i Sverige.</w:t>
      </w:r>
    </w:p>
    <w:p w:rsidR="007106D3" w:rsidRDefault="007106D3" w:rsidP="008C5398">
      <w:pPr>
        <w:tabs>
          <w:tab w:val="left" w:pos="1695"/>
        </w:tabs>
      </w:pPr>
    </w:p>
    <w:p w:rsidR="007106D3" w:rsidRDefault="007106D3" w:rsidP="008C5398">
      <w:pPr>
        <w:tabs>
          <w:tab w:val="left" w:pos="1695"/>
        </w:tabs>
      </w:pPr>
      <w:r>
        <w:t xml:space="preserve">Kontakt: </w:t>
      </w:r>
    </w:p>
    <w:p w:rsidR="003C5B60" w:rsidRDefault="007B5A92" w:rsidP="008C5398">
      <w:pPr>
        <w:tabs>
          <w:tab w:val="left" w:pos="1695"/>
        </w:tabs>
      </w:pPr>
      <w:hyperlink r:id="rId9" w:history="1">
        <w:r w:rsidR="007106D3" w:rsidRPr="00911103">
          <w:rPr>
            <w:rStyle w:val="Hyperlnk"/>
          </w:rPr>
          <w:t>peter.jansson@ktf.se</w:t>
        </w:r>
      </w:hyperlink>
      <w:r w:rsidR="007106D3">
        <w:t xml:space="preserve"> sakkunnig, 0046 708 25 08 48</w:t>
      </w:r>
      <w:r w:rsidR="008C5398">
        <w:tab/>
      </w:r>
    </w:p>
    <w:p w:rsidR="007106D3" w:rsidRPr="008C5398" w:rsidRDefault="007B5A92" w:rsidP="008C5398">
      <w:pPr>
        <w:tabs>
          <w:tab w:val="left" w:pos="1695"/>
        </w:tabs>
      </w:pPr>
      <w:hyperlink r:id="rId10" w:history="1">
        <w:r w:rsidR="007106D3" w:rsidRPr="00911103">
          <w:rPr>
            <w:rStyle w:val="Hyperlnk"/>
          </w:rPr>
          <w:t>olof.holmer@ktf.se</w:t>
        </w:r>
      </w:hyperlink>
      <w:r w:rsidR="007106D3">
        <w:t xml:space="preserve"> VD, 0046 709 50 70 19</w:t>
      </w:r>
    </w:p>
    <w:sectPr w:rsidR="007106D3" w:rsidRPr="008C5398" w:rsidSect="003C5B60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6D3" w:rsidRDefault="007106D3" w:rsidP="003C5B60">
      <w:pPr>
        <w:spacing w:after="0" w:line="240" w:lineRule="auto"/>
      </w:pPr>
      <w:r>
        <w:separator/>
      </w:r>
    </w:p>
  </w:endnote>
  <w:endnote w:type="continuationSeparator" w:id="0">
    <w:p w:rsidR="007106D3" w:rsidRDefault="007106D3" w:rsidP="003C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1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90"/>
      <w:gridCol w:w="2230"/>
      <w:gridCol w:w="607"/>
      <w:gridCol w:w="1894"/>
      <w:gridCol w:w="799"/>
      <w:gridCol w:w="1026"/>
    </w:tblGrid>
    <w:tr w:rsidR="008C5398" w:rsidRPr="008C5398" w:rsidTr="003C5B60">
      <w:trPr>
        <w:trHeight w:hRule="exact" w:val="227"/>
      </w:trPr>
      <w:tc>
        <w:tcPr>
          <w:tcW w:w="1560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b/>
              <w:color w:val="7F7F7F" w:themeColor="text1" w:themeTint="80"/>
              <w:sz w:val="14"/>
              <w:lang w:val="en-GB"/>
            </w:rPr>
            <w:t>BESÖKSADRESS</w:t>
          </w:r>
        </w:p>
      </w:tc>
      <w:tc>
        <w:tcPr>
          <w:tcW w:w="990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color w:val="7F7F7F" w:themeColor="text1" w:themeTint="80"/>
              <w:sz w:val="14"/>
              <w:lang w:val="en-GB"/>
            </w:rPr>
            <w:t>-</w:t>
          </w:r>
        </w:p>
      </w:tc>
      <w:tc>
        <w:tcPr>
          <w:tcW w:w="2230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b/>
              <w:color w:val="7F7F7F" w:themeColor="text1" w:themeTint="80"/>
              <w:sz w:val="14"/>
              <w:lang w:val="en-GB"/>
            </w:rPr>
            <w:t>POSTADRESS</w:t>
          </w:r>
        </w:p>
      </w:tc>
      <w:tc>
        <w:tcPr>
          <w:tcW w:w="607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color w:val="7F7F7F" w:themeColor="text1" w:themeTint="80"/>
              <w:sz w:val="14"/>
              <w:lang w:val="en-GB"/>
            </w:rPr>
            <w:t>-</w:t>
          </w:r>
        </w:p>
      </w:tc>
      <w:tc>
        <w:tcPr>
          <w:tcW w:w="1894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b/>
              <w:color w:val="7F7F7F" w:themeColor="text1" w:themeTint="80"/>
              <w:sz w:val="14"/>
              <w:lang w:val="en-GB"/>
            </w:rPr>
            <w:t>TELEFON</w:t>
          </w:r>
        </w:p>
      </w:tc>
      <w:tc>
        <w:tcPr>
          <w:tcW w:w="799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color w:val="7F7F7F" w:themeColor="text1" w:themeTint="80"/>
              <w:sz w:val="14"/>
              <w:lang w:val="en-GB"/>
            </w:rPr>
            <w:t>-</w:t>
          </w:r>
        </w:p>
      </w:tc>
      <w:tc>
        <w:tcPr>
          <w:tcW w:w="1026" w:type="dxa"/>
          <w:tcBorders>
            <w:top w:val="single" w:sz="4" w:space="0" w:color="auto"/>
          </w:tcBorders>
        </w:tcPr>
        <w:p w:rsidR="003C5B60" w:rsidRPr="008C5398" w:rsidRDefault="003C5B60" w:rsidP="003C5B60">
          <w:pPr>
            <w:spacing w:after="0" w:line="240" w:lineRule="auto"/>
            <w:rPr>
              <w:b/>
              <w:color w:val="7F7F7F" w:themeColor="text1" w:themeTint="80"/>
              <w:sz w:val="36"/>
            </w:rPr>
          </w:pPr>
          <w:r w:rsidRPr="008C5398">
            <w:rPr>
              <w:b/>
              <w:color w:val="7F7F7F" w:themeColor="text1" w:themeTint="80"/>
              <w:sz w:val="14"/>
              <w:lang w:val="en-GB"/>
            </w:rPr>
            <w:t>WEBB</w:t>
          </w:r>
        </w:p>
      </w:tc>
    </w:tr>
    <w:tr w:rsidR="003C5B60" w:rsidTr="003C5B60">
      <w:trPr>
        <w:trHeight w:hRule="exact" w:val="227"/>
      </w:trPr>
      <w:tc>
        <w:tcPr>
          <w:tcW w:w="1560" w:type="dxa"/>
        </w:tcPr>
        <w:p w:rsidR="003C5B60" w:rsidRDefault="003C5B60" w:rsidP="003C5B60">
          <w:pPr>
            <w:spacing w:after="0" w:line="240" w:lineRule="auto"/>
            <w:rPr>
              <w:b/>
              <w:color w:val="44546A" w:themeColor="text2"/>
              <w:sz w:val="14"/>
              <w:lang w:val="en-GB"/>
            </w:rPr>
          </w:pPr>
          <w:proofErr w:type="spellStart"/>
          <w:r w:rsidRPr="00A05503">
            <w:rPr>
              <w:color w:val="7F7F7F" w:themeColor="text1" w:themeTint="80"/>
              <w:sz w:val="14"/>
              <w:lang w:val="en-GB"/>
            </w:rPr>
            <w:t>Storgatan</w:t>
          </w:r>
          <w:proofErr w:type="spellEnd"/>
          <w:r w:rsidRPr="00A05503">
            <w:rPr>
              <w:color w:val="7F7F7F" w:themeColor="text1" w:themeTint="80"/>
              <w:sz w:val="14"/>
              <w:lang w:val="en-GB"/>
            </w:rPr>
            <w:t xml:space="preserve"> 19</w:t>
          </w:r>
        </w:p>
      </w:tc>
      <w:tc>
        <w:tcPr>
          <w:tcW w:w="990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Box 5501</w:t>
          </w:r>
        </w:p>
      </w:tc>
      <w:tc>
        <w:tcPr>
          <w:tcW w:w="607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+46 8 783 82 40</w:t>
          </w:r>
        </w:p>
      </w:tc>
      <w:tc>
        <w:tcPr>
          <w:tcW w:w="799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026" w:type="dxa"/>
        </w:tcPr>
        <w:p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www</w:t>
          </w:r>
          <w:r>
            <w:rPr>
              <w:color w:val="7F7F7F" w:themeColor="text1" w:themeTint="80"/>
              <w:sz w:val="14"/>
              <w:lang w:val="en-GB"/>
            </w:rPr>
            <w:t>.kohf.se</w:t>
          </w:r>
        </w:p>
      </w:tc>
    </w:tr>
    <w:tr w:rsidR="003C5B60" w:rsidTr="003C5B60">
      <w:trPr>
        <w:trHeight w:hRule="exact" w:val="227"/>
      </w:trPr>
      <w:tc>
        <w:tcPr>
          <w:tcW w:w="1560" w:type="dxa"/>
        </w:tcPr>
        <w:p w:rsidR="003C5B60" w:rsidRPr="00A05503" w:rsidRDefault="003C5B60" w:rsidP="003C5B60">
          <w:pPr>
            <w:spacing w:after="0" w:line="240" w:lineRule="auto"/>
            <w:rPr>
              <w:color w:val="7F7F7F" w:themeColor="text1" w:themeTint="80"/>
              <w:sz w:val="14"/>
              <w:lang w:val="en-GB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Stockholm</w:t>
          </w:r>
        </w:p>
      </w:tc>
      <w:tc>
        <w:tcPr>
          <w:tcW w:w="990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3C5B60" w:rsidRDefault="003C5B60" w:rsidP="003C5B60">
          <w:pPr>
            <w:spacing w:after="0"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SE-114 85 Stockholm</w:t>
          </w:r>
        </w:p>
      </w:tc>
      <w:tc>
        <w:tcPr>
          <w:tcW w:w="607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799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026" w:type="dxa"/>
        </w:tcPr>
        <w:p w:rsidR="003C5B60" w:rsidRPr="00A757D6" w:rsidRDefault="003C5B60" w:rsidP="003C5B60">
          <w:pPr>
            <w:spacing w:after="0"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</w:tr>
  </w:tbl>
  <w:p w:rsidR="003C5B60" w:rsidRPr="00264276" w:rsidRDefault="003C5B60" w:rsidP="003C5B60">
    <w:pPr>
      <w:pStyle w:val="Sidfot"/>
      <w:rPr>
        <w:color w:val="7F7F7F" w:themeColor="text1" w:themeTint="80"/>
        <w:sz w:val="2"/>
        <w:szCs w:val="2"/>
      </w:rPr>
    </w:pPr>
  </w:p>
  <w:p w:rsidR="003C5B60" w:rsidRDefault="003C5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6D3" w:rsidRDefault="007106D3" w:rsidP="003C5B60">
      <w:pPr>
        <w:spacing w:after="0" w:line="240" w:lineRule="auto"/>
      </w:pPr>
      <w:r>
        <w:separator/>
      </w:r>
    </w:p>
  </w:footnote>
  <w:footnote w:type="continuationSeparator" w:id="0">
    <w:p w:rsidR="007106D3" w:rsidRDefault="007106D3" w:rsidP="003C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60" w:rsidRDefault="008C5398">
    <w:pPr>
      <w:pStyle w:val="Sidhuvud"/>
    </w:pPr>
    <w:r w:rsidRPr="00114913">
      <w:rPr>
        <w:noProof/>
        <w:sz w:val="32"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D8630E" wp14:editId="4B5CC163">
              <wp:simplePos x="0" y="0"/>
              <wp:positionH relativeFrom="column">
                <wp:posOffset>-2002155</wp:posOffset>
              </wp:positionH>
              <wp:positionV relativeFrom="page">
                <wp:posOffset>1188085</wp:posOffset>
              </wp:positionV>
              <wp:extent cx="9144000" cy="68400"/>
              <wp:effectExtent l="0" t="0" r="0" b="8255"/>
              <wp:wrapNone/>
              <wp:docPr id="9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49802" id="Rektangel 8" o:spid="_x0000_s1026" style="position:absolute;margin-left:-157.65pt;margin-top:93.55pt;width:10in;height: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" fillcolor="#bfbfbf [2412]" stroked="f" strokeweight=".5pt">
              <w10:wrap anchory="page"/>
            </v:rect>
          </w:pict>
        </mc:Fallback>
      </mc:AlternateContent>
    </w:r>
    <w:r w:rsidR="003C5B60">
      <w:rPr>
        <w:noProof/>
        <w:lang w:eastAsia="sv-SE"/>
      </w:rPr>
      <w:drawing>
        <wp:inline distT="0" distB="0" distL="0" distR="0">
          <wp:extent cx="1281937" cy="612685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HF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37" cy="6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0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6819"/>
    </w:tblGrid>
    <w:tr w:rsidR="003C5B60" w:rsidRPr="00317469" w:rsidTr="00447B11">
      <w:trPr>
        <w:trHeight w:val="113"/>
      </w:trPr>
      <w:tc>
        <w:tcPr>
          <w:tcW w:w="3261" w:type="dxa"/>
        </w:tcPr>
        <w:p w:rsidR="003C5B60" w:rsidRPr="00317469" w:rsidRDefault="003C5B60" w:rsidP="003C5B60">
          <w:pPr>
            <w:pStyle w:val="Ingetavstnd"/>
            <w:rPr>
              <w:rFonts w:ascii="Cambria" w:eastAsia="MS Mincho" w:hAnsi="Cambria" w:cs="Times New Roman"/>
              <w:noProof/>
              <w:sz w:val="16"/>
              <w:lang w:val="en-US"/>
            </w:rPr>
          </w:pPr>
        </w:p>
      </w:tc>
      <w:tc>
        <w:tcPr>
          <w:tcW w:w="6819" w:type="dxa"/>
        </w:tcPr>
        <w:p w:rsidR="003C5B60" w:rsidRPr="00020A55" w:rsidRDefault="003C5B60" w:rsidP="003C5B60">
          <w:pPr>
            <w:tabs>
              <w:tab w:val="center" w:pos="4147"/>
              <w:tab w:val="right" w:pos="8306"/>
            </w:tabs>
            <w:spacing w:after="0" w:line="240" w:lineRule="auto"/>
            <w:ind w:right="127"/>
            <w:jc w:val="right"/>
            <w:rPr>
              <w:color w:val="104776"/>
              <w:sz w:val="16"/>
              <w:lang w:val="en-US"/>
            </w:rPr>
          </w:pPr>
        </w:p>
      </w:tc>
    </w:tr>
  </w:tbl>
  <w:p w:rsidR="003C5B60" w:rsidRPr="003C5B60" w:rsidRDefault="008C5398" w:rsidP="003C5B60">
    <w:pPr>
      <w:pStyle w:val="Ingetavstnd"/>
      <w:rPr>
        <w:sz w:val="32"/>
      </w:rPr>
    </w:pPr>
    <w:r w:rsidRPr="003C5B60">
      <w:rPr>
        <w:rFonts w:ascii="Calibri" w:eastAsia="Calibri" w:hAnsi="Calibri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E1280" wp14:editId="29287139">
              <wp:simplePos x="0" y="0"/>
              <wp:positionH relativeFrom="column">
                <wp:posOffset>-2002155</wp:posOffset>
              </wp:positionH>
              <wp:positionV relativeFrom="page">
                <wp:posOffset>1261745</wp:posOffset>
              </wp:positionV>
              <wp:extent cx="9144000" cy="68400"/>
              <wp:effectExtent l="0" t="0" r="0" b="8255"/>
              <wp:wrapNone/>
              <wp:docPr id="3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rgbClr val="E52439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7573" id="Rektangel 12" o:spid="_x0000_s1026" style="position:absolute;margin-left:-157.65pt;margin-top:99.35pt;width:10in;height: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" fillcolor="#e52439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14C4"/>
    <w:multiLevelType w:val="hybridMultilevel"/>
    <w:tmpl w:val="CE22A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734B"/>
    <w:multiLevelType w:val="multilevel"/>
    <w:tmpl w:val="A83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D3"/>
    <w:rsid w:val="000F52DF"/>
    <w:rsid w:val="001733ED"/>
    <w:rsid w:val="003C5B60"/>
    <w:rsid w:val="00685114"/>
    <w:rsid w:val="007106D3"/>
    <w:rsid w:val="007B5A92"/>
    <w:rsid w:val="008530BF"/>
    <w:rsid w:val="00853B9C"/>
    <w:rsid w:val="008C5398"/>
    <w:rsid w:val="00B00288"/>
    <w:rsid w:val="00B82D6F"/>
    <w:rsid w:val="00D641B4"/>
    <w:rsid w:val="00DF3174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4CD2F"/>
  <w15:chartTrackingRefBased/>
  <w15:docId w15:val="{94F92EDF-02D9-4627-9578-1D7C0561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5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5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E54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E54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000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E54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C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5B60"/>
  </w:style>
  <w:style w:type="paragraph" w:styleId="Sidfot">
    <w:name w:val="footer"/>
    <w:basedOn w:val="Normal"/>
    <w:link w:val="SidfotChar"/>
    <w:unhideWhenUsed/>
    <w:rsid w:val="003C5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3C5B60"/>
  </w:style>
  <w:style w:type="paragraph" w:styleId="Ingetavstnd">
    <w:name w:val="No Spacing"/>
    <w:link w:val="IngetavstndChar"/>
    <w:uiPriority w:val="1"/>
    <w:qFormat/>
    <w:rsid w:val="003C5B60"/>
    <w:pPr>
      <w:spacing w:after="0" w:line="240" w:lineRule="auto"/>
    </w:pPr>
    <w:rPr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C5B60"/>
    <w:rPr>
      <w:lang w:eastAsia="sv-SE"/>
    </w:rPr>
  </w:style>
  <w:style w:type="table" w:styleId="Tabellrutnt">
    <w:name w:val="Table Grid"/>
    <w:basedOn w:val="Normaltabell"/>
    <w:uiPriority w:val="59"/>
    <w:rsid w:val="003C5B60"/>
    <w:pPr>
      <w:spacing w:after="200" w:line="276" w:lineRule="auto"/>
    </w:pPr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E544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E5442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E5442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E544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rsid w:val="00FE5442"/>
    <w:rPr>
      <w:rFonts w:asciiTheme="majorHAnsi" w:eastAsiaTheme="majorEastAsia" w:hAnsiTheme="majorHAnsi" w:cstheme="majorBidi"/>
      <w:color w:val="FF0000"/>
    </w:rPr>
  </w:style>
  <w:style w:type="character" w:customStyle="1" w:styleId="Rubrik6Char">
    <w:name w:val="Rubrik 6 Char"/>
    <w:basedOn w:val="Standardstycketeckensnitt"/>
    <w:link w:val="Rubrik6"/>
    <w:uiPriority w:val="9"/>
    <w:rsid w:val="00FE5442"/>
    <w:rPr>
      <w:rFonts w:asciiTheme="majorHAnsi" w:eastAsiaTheme="majorEastAsia" w:hAnsiTheme="majorHAnsi" w:cstheme="majorBidi"/>
      <w:color w:val="C00000"/>
    </w:rPr>
  </w:style>
  <w:style w:type="paragraph" w:styleId="Normalwebb">
    <w:name w:val="Normal (Web)"/>
    <w:basedOn w:val="Normal"/>
    <w:uiPriority w:val="99"/>
    <w:semiHidden/>
    <w:unhideWhenUsed/>
    <w:rsid w:val="0071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106D3"/>
    <w:rPr>
      <w:b/>
      <w:bCs/>
    </w:rPr>
  </w:style>
  <w:style w:type="character" w:styleId="Betoning">
    <w:name w:val="Emphasis"/>
    <w:basedOn w:val="Standardstycketeckensnitt"/>
    <w:uiPriority w:val="20"/>
    <w:qFormat/>
    <w:rsid w:val="007106D3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7106D3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106D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106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hf.se/s/KTF-Utbildning_Yougov_Solvanor_2018-02-06_bakgrundsdat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hf.se/s/KTF-Utbildning_solseminarium_2018-02-06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of.holmer@ktf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jansson@ktf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nsliet\It%20&amp;%20Data\Mallar\KOFH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KOFH</Template>
  <TotalTime>1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Jansson</dc:creator>
  <cp:keywords/>
  <dc:description/>
  <cp:lastModifiedBy>Anna Melvås</cp:lastModifiedBy>
  <cp:revision>3</cp:revision>
  <cp:lastPrinted>2017-01-27T08:36:00Z</cp:lastPrinted>
  <dcterms:created xsi:type="dcterms:W3CDTF">2018-02-06T12:58:00Z</dcterms:created>
  <dcterms:modified xsi:type="dcterms:W3CDTF">2018-02-06T12:58:00Z</dcterms:modified>
</cp:coreProperties>
</file>