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43A" w:rsidRPr="00A4343A" w:rsidRDefault="00A4343A" w:rsidP="002964BC">
      <w:pPr>
        <w:rPr>
          <w:rFonts w:ascii="Arial" w:hAnsi="Arial" w:cs="Arial"/>
          <w:b/>
          <w:sz w:val="22"/>
          <w:szCs w:val="22"/>
          <w:u w:val="single"/>
        </w:rPr>
      </w:pPr>
      <w:r w:rsidRPr="00A4343A">
        <w:rPr>
          <w:rFonts w:ascii="Arial" w:hAnsi="Arial" w:cs="Arial"/>
          <w:b/>
          <w:sz w:val="22"/>
          <w:szCs w:val="22"/>
          <w:u w:val="single"/>
        </w:rPr>
        <w:t xml:space="preserve">Der </w:t>
      </w:r>
      <w:proofErr w:type="spellStart"/>
      <w:r w:rsidRPr="00A4343A">
        <w:rPr>
          <w:rFonts w:ascii="Arial" w:hAnsi="Arial" w:cs="Arial"/>
          <w:b/>
          <w:sz w:val="22"/>
          <w:szCs w:val="22"/>
          <w:u w:val="single"/>
        </w:rPr>
        <w:t>GarantieBrief</w:t>
      </w:r>
      <w:proofErr w:type="spellEnd"/>
      <w:r w:rsidRPr="00A4343A">
        <w:rPr>
          <w:rFonts w:ascii="Arial" w:hAnsi="Arial" w:cs="Arial"/>
          <w:b/>
          <w:sz w:val="22"/>
          <w:szCs w:val="22"/>
          <w:u w:val="single"/>
        </w:rPr>
        <w:t xml:space="preserve"> der SIGNAL IDUNA</w:t>
      </w:r>
    </w:p>
    <w:p w:rsidR="00A4343A" w:rsidRPr="00A4343A" w:rsidRDefault="00E52F17" w:rsidP="002964BC">
      <w:pPr>
        <w:rPr>
          <w:rFonts w:ascii="Arial" w:hAnsi="Arial" w:cs="Arial"/>
          <w:b/>
          <w:sz w:val="28"/>
          <w:szCs w:val="28"/>
        </w:rPr>
      </w:pPr>
      <w:r>
        <w:rPr>
          <w:rFonts w:ascii="Arial" w:hAnsi="Arial" w:cs="Arial"/>
          <w:b/>
          <w:sz w:val="28"/>
          <w:szCs w:val="28"/>
        </w:rPr>
        <w:t>Niedrigzinsen austricksen</w:t>
      </w:r>
    </w:p>
    <w:p w:rsidR="00A4343A" w:rsidRDefault="00A4343A" w:rsidP="002964BC">
      <w:pPr>
        <w:rPr>
          <w:rFonts w:ascii="Arial" w:hAnsi="Arial" w:cs="Arial"/>
          <w:b/>
          <w:sz w:val="22"/>
          <w:szCs w:val="22"/>
        </w:rPr>
      </w:pPr>
    </w:p>
    <w:p w:rsidR="00B40726" w:rsidRPr="005E68B8" w:rsidRDefault="007E02A6" w:rsidP="002964BC">
      <w:pPr>
        <w:rPr>
          <w:rFonts w:ascii="Arial" w:hAnsi="Arial" w:cs="Arial"/>
          <w:b/>
          <w:sz w:val="22"/>
          <w:szCs w:val="22"/>
        </w:rPr>
      </w:pPr>
      <w:r>
        <w:rPr>
          <w:rFonts w:ascii="Arial" w:hAnsi="Arial" w:cs="Arial"/>
          <w:b/>
          <w:sz w:val="22"/>
          <w:szCs w:val="22"/>
        </w:rPr>
        <w:t>(</w:t>
      </w:r>
      <w:r w:rsidR="00464631">
        <w:rPr>
          <w:rFonts w:ascii="Arial" w:hAnsi="Arial" w:cs="Arial"/>
          <w:b/>
          <w:sz w:val="22"/>
          <w:szCs w:val="22"/>
        </w:rPr>
        <w:t>März/April</w:t>
      </w:r>
      <w:bookmarkStart w:id="0" w:name="_GoBack"/>
      <w:bookmarkEnd w:id="0"/>
      <w:r>
        <w:rPr>
          <w:rFonts w:ascii="Arial" w:hAnsi="Arial" w:cs="Arial"/>
          <w:b/>
          <w:sz w:val="22"/>
          <w:szCs w:val="22"/>
        </w:rPr>
        <w:t xml:space="preserve"> 2020) </w:t>
      </w:r>
      <w:r w:rsidR="005E68B8" w:rsidRPr="005E68B8">
        <w:rPr>
          <w:rFonts w:ascii="Arial" w:hAnsi="Arial" w:cs="Arial"/>
          <w:b/>
          <w:sz w:val="22"/>
          <w:szCs w:val="22"/>
        </w:rPr>
        <w:t xml:space="preserve">Die </w:t>
      </w:r>
      <w:r w:rsidR="001F7DF9">
        <w:rPr>
          <w:rFonts w:ascii="Arial" w:hAnsi="Arial" w:cs="Arial"/>
          <w:b/>
          <w:sz w:val="22"/>
          <w:szCs w:val="22"/>
        </w:rPr>
        <w:t xml:space="preserve">dauerhaft </w:t>
      </w:r>
      <w:r w:rsidR="005E68B8" w:rsidRPr="005E68B8">
        <w:rPr>
          <w:rFonts w:ascii="Arial" w:hAnsi="Arial" w:cs="Arial"/>
          <w:b/>
          <w:sz w:val="22"/>
          <w:szCs w:val="22"/>
        </w:rPr>
        <w:t xml:space="preserve">niedrigen Zinsen machen es Sparern nicht </w:t>
      </w:r>
      <w:r w:rsidR="001F7DF9">
        <w:rPr>
          <w:rFonts w:ascii="Arial" w:hAnsi="Arial" w:cs="Arial"/>
          <w:b/>
          <w:sz w:val="22"/>
          <w:szCs w:val="22"/>
        </w:rPr>
        <w:t>leicht</w:t>
      </w:r>
      <w:r w:rsidR="005E68B8" w:rsidRPr="005E68B8">
        <w:rPr>
          <w:rFonts w:ascii="Arial" w:hAnsi="Arial" w:cs="Arial"/>
          <w:b/>
          <w:sz w:val="22"/>
          <w:szCs w:val="22"/>
        </w:rPr>
        <w:t>, eine Anlageentsche</w:t>
      </w:r>
      <w:r w:rsidR="002279D2">
        <w:rPr>
          <w:rFonts w:ascii="Arial" w:hAnsi="Arial" w:cs="Arial"/>
          <w:b/>
          <w:sz w:val="22"/>
          <w:szCs w:val="22"/>
        </w:rPr>
        <w:t>idung zu treffen</w:t>
      </w:r>
      <w:r w:rsidR="005E68B8" w:rsidRPr="005E68B8">
        <w:rPr>
          <w:rFonts w:ascii="Arial" w:hAnsi="Arial" w:cs="Arial"/>
          <w:b/>
          <w:sz w:val="22"/>
          <w:szCs w:val="22"/>
        </w:rPr>
        <w:t xml:space="preserve">. Mit dem </w:t>
      </w:r>
      <w:proofErr w:type="spellStart"/>
      <w:r w:rsidR="005E68B8" w:rsidRPr="005E68B8">
        <w:rPr>
          <w:rFonts w:ascii="Arial" w:hAnsi="Arial" w:cs="Arial"/>
          <w:b/>
          <w:sz w:val="22"/>
          <w:szCs w:val="22"/>
        </w:rPr>
        <w:t>GarantieBrief</w:t>
      </w:r>
      <w:proofErr w:type="spellEnd"/>
      <w:r w:rsidR="005E68B8" w:rsidRPr="005E68B8">
        <w:rPr>
          <w:rFonts w:ascii="Arial" w:hAnsi="Arial" w:cs="Arial"/>
          <w:b/>
          <w:sz w:val="22"/>
          <w:szCs w:val="22"/>
        </w:rPr>
        <w:t xml:space="preserve"> bietet die SIGNAL IDUNA </w:t>
      </w:r>
      <w:r w:rsidR="001F7DF9">
        <w:rPr>
          <w:rFonts w:ascii="Arial" w:hAnsi="Arial" w:cs="Arial"/>
          <w:b/>
          <w:sz w:val="22"/>
          <w:szCs w:val="22"/>
        </w:rPr>
        <w:t xml:space="preserve">hier </w:t>
      </w:r>
      <w:r w:rsidR="005E68B8" w:rsidRPr="005E68B8">
        <w:rPr>
          <w:rFonts w:ascii="Arial" w:hAnsi="Arial" w:cs="Arial"/>
          <w:b/>
          <w:sz w:val="22"/>
          <w:szCs w:val="22"/>
        </w:rPr>
        <w:t xml:space="preserve">eine </w:t>
      </w:r>
      <w:r w:rsidR="001F7DF9">
        <w:rPr>
          <w:rFonts w:ascii="Arial" w:hAnsi="Arial" w:cs="Arial"/>
          <w:b/>
          <w:sz w:val="22"/>
          <w:szCs w:val="22"/>
        </w:rPr>
        <w:t>M</w:t>
      </w:r>
      <w:r w:rsidR="005E68B8" w:rsidRPr="005E68B8">
        <w:rPr>
          <w:rFonts w:ascii="Arial" w:hAnsi="Arial" w:cs="Arial"/>
          <w:b/>
          <w:sz w:val="22"/>
          <w:szCs w:val="22"/>
        </w:rPr>
        <w:t>öglichkeit</w:t>
      </w:r>
      <w:r w:rsidR="001F7DF9">
        <w:rPr>
          <w:rFonts w:ascii="Arial" w:hAnsi="Arial" w:cs="Arial"/>
          <w:b/>
          <w:sz w:val="22"/>
          <w:szCs w:val="22"/>
        </w:rPr>
        <w:t xml:space="preserve">, die </w:t>
      </w:r>
      <w:r w:rsidR="002279D2">
        <w:rPr>
          <w:rFonts w:ascii="Arial" w:hAnsi="Arial" w:cs="Arial"/>
          <w:b/>
          <w:sz w:val="22"/>
          <w:szCs w:val="22"/>
        </w:rPr>
        <w:t xml:space="preserve">auch </w:t>
      </w:r>
      <w:r w:rsidR="005E68B8" w:rsidRPr="005E68B8">
        <w:rPr>
          <w:rFonts w:ascii="Arial" w:hAnsi="Arial" w:cs="Arial"/>
          <w:b/>
          <w:sz w:val="22"/>
          <w:szCs w:val="22"/>
        </w:rPr>
        <w:t>in der Niedrigzinsphase</w:t>
      </w:r>
      <w:r w:rsidR="001F7DF9">
        <w:rPr>
          <w:rFonts w:ascii="Arial" w:hAnsi="Arial" w:cs="Arial"/>
          <w:b/>
          <w:sz w:val="22"/>
          <w:szCs w:val="22"/>
        </w:rPr>
        <w:t xml:space="preserve"> greift</w:t>
      </w:r>
      <w:r w:rsidR="005E68B8" w:rsidRPr="005E68B8">
        <w:rPr>
          <w:rFonts w:ascii="Arial" w:hAnsi="Arial" w:cs="Arial"/>
          <w:b/>
          <w:sz w:val="22"/>
          <w:szCs w:val="22"/>
        </w:rPr>
        <w:t xml:space="preserve">. </w:t>
      </w:r>
    </w:p>
    <w:p w:rsidR="005E68B8" w:rsidRDefault="005E68B8" w:rsidP="002964BC">
      <w:pPr>
        <w:rPr>
          <w:rFonts w:ascii="Arial" w:hAnsi="Arial" w:cs="Arial"/>
          <w:sz w:val="22"/>
          <w:szCs w:val="22"/>
        </w:rPr>
      </w:pPr>
    </w:p>
    <w:p w:rsidR="005E68B8" w:rsidRPr="005E68B8" w:rsidRDefault="005E68B8" w:rsidP="002964BC">
      <w:pPr>
        <w:rPr>
          <w:rFonts w:ascii="Arial" w:hAnsi="Arial" w:cs="Arial"/>
          <w:sz w:val="22"/>
          <w:szCs w:val="22"/>
        </w:rPr>
      </w:pPr>
      <w:r>
        <w:rPr>
          <w:rFonts w:ascii="Arial" w:hAnsi="Arial" w:cs="Arial"/>
          <w:sz w:val="22"/>
          <w:szCs w:val="22"/>
        </w:rPr>
        <w:t xml:space="preserve">Rund 40 Prozent </w:t>
      </w:r>
      <w:r w:rsidR="005C7A53">
        <w:rPr>
          <w:rFonts w:ascii="Arial" w:hAnsi="Arial" w:cs="Arial"/>
          <w:sz w:val="22"/>
          <w:szCs w:val="22"/>
        </w:rPr>
        <w:t>ihres</w:t>
      </w:r>
      <w:r>
        <w:rPr>
          <w:rFonts w:ascii="Arial" w:hAnsi="Arial" w:cs="Arial"/>
          <w:sz w:val="22"/>
          <w:szCs w:val="22"/>
        </w:rPr>
        <w:t xml:space="preserve"> Privatvermögens </w:t>
      </w:r>
      <w:r w:rsidR="00E52F17">
        <w:rPr>
          <w:rFonts w:ascii="Arial" w:hAnsi="Arial" w:cs="Arial"/>
          <w:sz w:val="22"/>
          <w:szCs w:val="22"/>
        </w:rPr>
        <w:t>haben die Deutschen</w:t>
      </w:r>
      <w:r>
        <w:rPr>
          <w:rFonts w:ascii="Arial" w:hAnsi="Arial" w:cs="Arial"/>
          <w:sz w:val="22"/>
          <w:szCs w:val="22"/>
        </w:rPr>
        <w:t xml:space="preserve"> nach wie vor auf wenig </w:t>
      </w:r>
      <w:proofErr w:type="gramStart"/>
      <w:r>
        <w:rPr>
          <w:rFonts w:ascii="Arial" w:hAnsi="Arial" w:cs="Arial"/>
          <w:sz w:val="22"/>
          <w:szCs w:val="22"/>
        </w:rPr>
        <w:t>lukrativen</w:t>
      </w:r>
      <w:proofErr w:type="gramEnd"/>
      <w:r>
        <w:rPr>
          <w:rFonts w:ascii="Arial" w:hAnsi="Arial" w:cs="Arial"/>
          <w:sz w:val="22"/>
          <w:szCs w:val="22"/>
        </w:rPr>
        <w:t xml:space="preserve"> Giro- und Sparkonten </w:t>
      </w:r>
      <w:r w:rsidR="00E52F17">
        <w:rPr>
          <w:rFonts w:ascii="Arial" w:hAnsi="Arial" w:cs="Arial"/>
          <w:sz w:val="22"/>
          <w:szCs w:val="22"/>
        </w:rPr>
        <w:t xml:space="preserve">„geparkt“ </w:t>
      </w:r>
      <w:r>
        <w:rPr>
          <w:rFonts w:ascii="Arial" w:hAnsi="Arial" w:cs="Arial"/>
          <w:sz w:val="22"/>
          <w:szCs w:val="22"/>
        </w:rPr>
        <w:t>oder als Tages- und Festgeld angelegt.</w:t>
      </w:r>
      <w:r w:rsidR="00C27DA3">
        <w:rPr>
          <w:rFonts w:ascii="Arial" w:hAnsi="Arial" w:cs="Arial"/>
          <w:sz w:val="22"/>
          <w:szCs w:val="22"/>
        </w:rPr>
        <w:t xml:space="preserve"> </w:t>
      </w:r>
      <w:r>
        <w:rPr>
          <w:rFonts w:ascii="Arial" w:hAnsi="Arial" w:cs="Arial"/>
          <w:sz w:val="22"/>
          <w:szCs w:val="22"/>
        </w:rPr>
        <w:t xml:space="preserve">Diese Anlageformen bringen jedoch kaum </w:t>
      </w:r>
      <w:r w:rsidR="00E52F17">
        <w:rPr>
          <w:rFonts w:ascii="Arial" w:hAnsi="Arial" w:cs="Arial"/>
          <w:sz w:val="22"/>
          <w:szCs w:val="22"/>
        </w:rPr>
        <w:t xml:space="preserve">noch </w:t>
      </w:r>
      <w:r>
        <w:rPr>
          <w:rFonts w:ascii="Arial" w:hAnsi="Arial" w:cs="Arial"/>
          <w:sz w:val="22"/>
          <w:szCs w:val="22"/>
        </w:rPr>
        <w:t>Zinsen. Das trägt dazu bei, dass die Sparer langfristig Verluste machen</w:t>
      </w:r>
      <w:r w:rsidR="00501927">
        <w:rPr>
          <w:rFonts w:ascii="Arial" w:hAnsi="Arial" w:cs="Arial"/>
          <w:sz w:val="22"/>
          <w:szCs w:val="22"/>
        </w:rPr>
        <w:t>, wenn man die Inflation berücksichtigt</w:t>
      </w:r>
      <w:r w:rsidR="00C27DA3">
        <w:rPr>
          <w:rFonts w:ascii="Arial" w:hAnsi="Arial" w:cs="Arial"/>
          <w:sz w:val="22"/>
          <w:szCs w:val="22"/>
        </w:rPr>
        <w:t>.</w:t>
      </w:r>
      <w:r w:rsidR="006C7925">
        <w:rPr>
          <w:rFonts w:ascii="Arial" w:hAnsi="Arial" w:cs="Arial"/>
          <w:sz w:val="22"/>
          <w:szCs w:val="22"/>
        </w:rPr>
        <w:t xml:space="preserve"> </w:t>
      </w:r>
      <w:r w:rsidR="008D1F64">
        <w:rPr>
          <w:rFonts w:ascii="Arial" w:hAnsi="Arial" w:cs="Arial"/>
          <w:sz w:val="22"/>
          <w:szCs w:val="22"/>
        </w:rPr>
        <w:t>Diese Anlagestrategie ist umso erstaunlicher, weil es 92 Prozent der deutschen Anleger wichtig ist, dass ihre Guthaben vor Wertverlust</w:t>
      </w:r>
      <w:r w:rsidR="00E37C4D">
        <w:rPr>
          <w:rFonts w:ascii="Arial" w:hAnsi="Arial" w:cs="Arial"/>
          <w:sz w:val="22"/>
          <w:szCs w:val="22"/>
        </w:rPr>
        <w:t xml:space="preserve"> geschützt sind.</w:t>
      </w:r>
    </w:p>
    <w:p w:rsidR="005E68B8" w:rsidRDefault="005E68B8" w:rsidP="002964BC">
      <w:pPr>
        <w:rPr>
          <w:rFonts w:ascii="Arial" w:hAnsi="Arial" w:cs="Arial"/>
          <w:sz w:val="22"/>
          <w:szCs w:val="22"/>
        </w:rPr>
      </w:pPr>
    </w:p>
    <w:p w:rsidR="005C7A53" w:rsidRDefault="005C7A53" w:rsidP="005C7A53">
      <w:pPr>
        <w:rPr>
          <w:rFonts w:ascii="Arial" w:hAnsi="Arial" w:cs="Arial"/>
          <w:sz w:val="22"/>
          <w:szCs w:val="22"/>
        </w:rPr>
      </w:pPr>
      <w:r>
        <w:rPr>
          <w:rFonts w:ascii="Arial" w:hAnsi="Arial" w:cs="Arial"/>
          <w:sz w:val="22"/>
          <w:szCs w:val="22"/>
        </w:rPr>
        <w:t xml:space="preserve">Eine Ausweichmöglichkeit für eher langfristig orientierte Geldanleger bieten nach wie vor Aktien. Doch nicht wenige scheuen hier die vorhandenen Kursrisiken. Der </w:t>
      </w:r>
      <w:proofErr w:type="spellStart"/>
      <w:r>
        <w:rPr>
          <w:rFonts w:ascii="Arial" w:hAnsi="Arial" w:cs="Arial"/>
          <w:sz w:val="22"/>
          <w:szCs w:val="22"/>
        </w:rPr>
        <w:t>GarantieBrief</w:t>
      </w:r>
      <w:proofErr w:type="spellEnd"/>
      <w:r>
        <w:rPr>
          <w:rFonts w:ascii="Arial" w:hAnsi="Arial" w:cs="Arial"/>
          <w:sz w:val="22"/>
          <w:szCs w:val="22"/>
        </w:rPr>
        <w:t xml:space="preserve"> der SIGNAL IDUNA kombiniert die Renditechancen am Aktienmarkt mit einer bis zu hundertprozentigen Beitragsrückgewähr und damit Sicherheit mit Flexibilität. Der Sparer investiert dafür einmalig einen auch größeren Geldbetrag, beispielsweise die Ablaufleistung aus einer Lebensversicherung. </w:t>
      </w:r>
      <w:r w:rsidR="00AE7F8D">
        <w:rPr>
          <w:rFonts w:ascii="Arial" w:hAnsi="Arial" w:cs="Arial"/>
          <w:sz w:val="22"/>
          <w:szCs w:val="22"/>
        </w:rPr>
        <w:t xml:space="preserve">Die Mindesteinzahlung beträgt 5.000 Euro. </w:t>
      </w:r>
      <w:r>
        <w:rPr>
          <w:rFonts w:ascii="Arial" w:hAnsi="Arial" w:cs="Arial"/>
          <w:sz w:val="22"/>
          <w:szCs w:val="22"/>
        </w:rPr>
        <w:t xml:space="preserve">Das Kapital wird für mindestens </w:t>
      </w:r>
      <w:r w:rsidR="00AE7F8D">
        <w:rPr>
          <w:rFonts w:ascii="Arial" w:hAnsi="Arial" w:cs="Arial"/>
          <w:sz w:val="22"/>
          <w:szCs w:val="22"/>
        </w:rPr>
        <w:t>zehn</w:t>
      </w:r>
      <w:r>
        <w:rPr>
          <w:rFonts w:ascii="Arial" w:hAnsi="Arial" w:cs="Arial"/>
          <w:sz w:val="22"/>
          <w:szCs w:val="22"/>
        </w:rPr>
        <w:t xml:space="preserve"> Jahre in der fondsgebundenen Rentenversicherung SI Global Garant </w:t>
      </w:r>
      <w:proofErr w:type="spellStart"/>
      <w:r>
        <w:rPr>
          <w:rFonts w:ascii="Arial" w:hAnsi="Arial" w:cs="Arial"/>
          <w:sz w:val="22"/>
          <w:szCs w:val="22"/>
        </w:rPr>
        <w:t>Invest</w:t>
      </w:r>
      <w:proofErr w:type="spellEnd"/>
      <w:r>
        <w:rPr>
          <w:rFonts w:ascii="Arial" w:hAnsi="Arial" w:cs="Arial"/>
          <w:sz w:val="22"/>
          <w:szCs w:val="22"/>
        </w:rPr>
        <w:t xml:space="preserve"> angelegt. Während dieser Ansparzeit sind aber auch Kapitalentnahmen </w:t>
      </w:r>
      <w:r w:rsidR="00AE7F8D">
        <w:rPr>
          <w:rFonts w:ascii="Arial" w:hAnsi="Arial" w:cs="Arial"/>
          <w:sz w:val="22"/>
          <w:szCs w:val="22"/>
        </w:rPr>
        <w:t xml:space="preserve">und Zuzahlungen </w:t>
      </w:r>
      <w:r>
        <w:rPr>
          <w:rFonts w:ascii="Arial" w:hAnsi="Arial" w:cs="Arial"/>
          <w:sz w:val="22"/>
          <w:szCs w:val="22"/>
        </w:rPr>
        <w:t>möglich.</w:t>
      </w:r>
    </w:p>
    <w:p w:rsidR="005C7A53" w:rsidRDefault="005C7A53" w:rsidP="005C7A53">
      <w:pPr>
        <w:rPr>
          <w:rFonts w:ascii="Arial" w:hAnsi="Arial" w:cs="Arial"/>
          <w:sz w:val="22"/>
          <w:szCs w:val="22"/>
        </w:rPr>
      </w:pPr>
    </w:p>
    <w:p w:rsidR="005C7A53" w:rsidRDefault="005C7A53" w:rsidP="005C7A53">
      <w:pPr>
        <w:rPr>
          <w:rFonts w:ascii="Arial" w:hAnsi="Arial" w:cs="Arial"/>
          <w:sz w:val="22"/>
          <w:szCs w:val="22"/>
        </w:rPr>
      </w:pPr>
      <w:r>
        <w:rPr>
          <w:rFonts w:ascii="Arial" w:hAnsi="Arial" w:cs="Arial"/>
          <w:sz w:val="22"/>
          <w:szCs w:val="22"/>
        </w:rPr>
        <w:t xml:space="preserve">Zum Rentenbeginn erhält der Sparer </w:t>
      </w:r>
      <w:r w:rsidR="00AE7F8D">
        <w:rPr>
          <w:rFonts w:ascii="Arial" w:hAnsi="Arial" w:cs="Arial"/>
          <w:sz w:val="22"/>
          <w:szCs w:val="22"/>
        </w:rPr>
        <w:t xml:space="preserve">mindestens </w:t>
      </w:r>
      <w:r>
        <w:rPr>
          <w:rFonts w:ascii="Arial" w:hAnsi="Arial" w:cs="Arial"/>
          <w:sz w:val="22"/>
          <w:szCs w:val="22"/>
        </w:rPr>
        <w:t xml:space="preserve">seinen eingezahlten Einmalbeitrag zurück plus die Erträge aus der Fondsentwicklung, abzüglich des bereits vorher eventuell entnommenen Kapitals. Optional erfolgt die Auszahlung dabei entweder als einmalige Kapitalleistung oder als lebenslange garantierte Rente. Stirbt der Sparer vor Rentenbeginn, so erhalten die Erben </w:t>
      </w:r>
      <w:r w:rsidR="00AE7F8D">
        <w:rPr>
          <w:rFonts w:ascii="Arial" w:hAnsi="Arial" w:cs="Arial"/>
          <w:sz w:val="22"/>
          <w:szCs w:val="22"/>
        </w:rPr>
        <w:t xml:space="preserve">auf Wunsch </w:t>
      </w:r>
      <w:r>
        <w:rPr>
          <w:rFonts w:ascii="Arial" w:hAnsi="Arial" w:cs="Arial"/>
          <w:sz w:val="22"/>
          <w:szCs w:val="22"/>
        </w:rPr>
        <w:t>den Einmalbeitrag samt Erträgen zurück.</w:t>
      </w:r>
    </w:p>
    <w:p w:rsidR="005C7A53" w:rsidRDefault="005C7A53" w:rsidP="005C7A53">
      <w:pPr>
        <w:rPr>
          <w:rFonts w:ascii="Arial" w:hAnsi="Arial" w:cs="Arial"/>
          <w:sz w:val="22"/>
          <w:szCs w:val="22"/>
        </w:rPr>
      </w:pPr>
    </w:p>
    <w:p w:rsidR="005C7A53" w:rsidRDefault="005C7A53" w:rsidP="005C7A53">
      <w:pPr>
        <w:rPr>
          <w:rFonts w:ascii="Arial" w:hAnsi="Arial" w:cs="Arial"/>
          <w:sz w:val="22"/>
          <w:szCs w:val="22"/>
        </w:rPr>
      </w:pPr>
      <w:r>
        <w:rPr>
          <w:rFonts w:ascii="Arial" w:hAnsi="Arial" w:cs="Arial"/>
          <w:sz w:val="22"/>
          <w:szCs w:val="22"/>
        </w:rPr>
        <w:t>Zieht der Anleger die Kapitaloption, unterliegen nur die eigentlichen Erträge der Abgeltungssteuer und das erst bei der Auszahlung. Bei Tages- und Festgeldkonten beispielsweise greift die Steuerpflicht bereits, wenn der Ertrag gutgeschrieben wird. Beträgt die Ansparzeit aber mindestens 12 Jahre und ist der Sparer dann mindestens 62 Jahre alt, ist die Hälfte der Erträge sogar komplett steuerfrei.</w:t>
      </w:r>
    </w:p>
    <w:p w:rsidR="00AE7F8D" w:rsidRDefault="00AE7F8D" w:rsidP="005C7A53">
      <w:pPr>
        <w:rPr>
          <w:rFonts w:ascii="Arial" w:hAnsi="Arial" w:cs="Arial"/>
          <w:sz w:val="22"/>
          <w:szCs w:val="22"/>
        </w:rPr>
      </w:pPr>
    </w:p>
    <w:p w:rsidR="00AE7F8D" w:rsidRDefault="00AE7F8D" w:rsidP="005C7A53">
      <w:pPr>
        <w:rPr>
          <w:rFonts w:ascii="Arial" w:hAnsi="Arial" w:cs="Arial"/>
          <w:sz w:val="22"/>
          <w:szCs w:val="22"/>
        </w:rPr>
      </w:pPr>
      <w:r>
        <w:rPr>
          <w:rFonts w:ascii="Arial" w:hAnsi="Arial" w:cs="Arial"/>
          <w:sz w:val="22"/>
          <w:szCs w:val="22"/>
        </w:rPr>
        <w:t>Übrige</w:t>
      </w:r>
      <w:r w:rsidR="00D333D0">
        <w:rPr>
          <w:rFonts w:ascii="Arial" w:hAnsi="Arial" w:cs="Arial"/>
          <w:sz w:val="22"/>
          <w:szCs w:val="22"/>
        </w:rPr>
        <w:t>ns</w:t>
      </w:r>
      <w:r>
        <w:rPr>
          <w:rFonts w:ascii="Arial" w:hAnsi="Arial" w:cs="Arial"/>
          <w:sz w:val="22"/>
          <w:szCs w:val="22"/>
        </w:rPr>
        <w:t xml:space="preserve">: Der </w:t>
      </w:r>
      <w:proofErr w:type="spellStart"/>
      <w:r>
        <w:rPr>
          <w:rFonts w:ascii="Arial" w:hAnsi="Arial" w:cs="Arial"/>
          <w:sz w:val="22"/>
          <w:szCs w:val="22"/>
        </w:rPr>
        <w:t>GarantieBrief</w:t>
      </w:r>
      <w:proofErr w:type="spellEnd"/>
      <w:r>
        <w:rPr>
          <w:rFonts w:ascii="Arial" w:hAnsi="Arial" w:cs="Arial"/>
          <w:sz w:val="22"/>
          <w:szCs w:val="22"/>
        </w:rPr>
        <w:t xml:space="preserve"> lässt sich </w:t>
      </w:r>
      <w:r w:rsidR="00D333D0">
        <w:rPr>
          <w:rFonts w:ascii="Arial" w:hAnsi="Arial" w:cs="Arial"/>
          <w:sz w:val="22"/>
          <w:szCs w:val="22"/>
        </w:rPr>
        <w:t xml:space="preserve">auch hervorragend als Zukunftsinvestition für Kinder und Enkel abschließen.  </w:t>
      </w:r>
    </w:p>
    <w:p w:rsidR="005E68B8" w:rsidRPr="005E68B8" w:rsidRDefault="005E68B8" w:rsidP="002964BC">
      <w:pPr>
        <w:rPr>
          <w:rFonts w:ascii="Arial" w:hAnsi="Arial" w:cs="Arial"/>
          <w:sz w:val="22"/>
          <w:szCs w:val="22"/>
        </w:rPr>
      </w:pPr>
    </w:p>
    <w:sectPr w:rsidR="005E68B8" w:rsidRPr="005E68B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B8"/>
    <w:rsid w:val="000C3C1E"/>
    <w:rsid w:val="000D4373"/>
    <w:rsid w:val="001F7DF9"/>
    <w:rsid w:val="002279D2"/>
    <w:rsid w:val="002964BC"/>
    <w:rsid w:val="002B4A13"/>
    <w:rsid w:val="002E03E4"/>
    <w:rsid w:val="0043102B"/>
    <w:rsid w:val="00464631"/>
    <w:rsid w:val="00501927"/>
    <w:rsid w:val="00576EA9"/>
    <w:rsid w:val="00581401"/>
    <w:rsid w:val="005C7A53"/>
    <w:rsid w:val="005E68B8"/>
    <w:rsid w:val="006C7925"/>
    <w:rsid w:val="007047E8"/>
    <w:rsid w:val="007D1B79"/>
    <w:rsid w:val="007E02A6"/>
    <w:rsid w:val="008A09F0"/>
    <w:rsid w:val="008A0B79"/>
    <w:rsid w:val="008A1A33"/>
    <w:rsid w:val="008D1F64"/>
    <w:rsid w:val="008F2983"/>
    <w:rsid w:val="00972BFB"/>
    <w:rsid w:val="0099369B"/>
    <w:rsid w:val="00A4343A"/>
    <w:rsid w:val="00AE7F8D"/>
    <w:rsid w:val="00B40726"/>
    <w:rsid w:val="00C27DA3"/>
    <w:rsid w:val="00D333D0"/>
    <w:rsid w:val="00E37C4D"/>
    <w:rsid w:val="00E52F17"/>
    <w:rsid w:val="00F217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99085"/>
  <w15:chartTrackingRefBased/>
  <w15:docId w15:val="{0FA077C7-77D9-40C2-B48C-F87272108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E68B8"/>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2964BC"/>
    <w:pPr>
      <w:keepNext/>
      <w:keepLines/>
      <w:spacing w:before="240"/>
      <w:outlineLvl w:val="0"/>
    </w:pPr>
    <w:rPr>
      <w:rFonts w:ascii="Arial" w:eastAsiaTheme="majorEastAsia" w:hAnsi="Arial" w:cstheme="majorBidi"/>
      <w:sz w:val="32"/>
      <w:szCs w:val="32"/>
      <w:lang w:eastAsia="en-US"/>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ascii="Arial" w:eastAsiaTheme="majorEastAsia" w:hAnsi="Arial" w:cstheme="majorBidi"/>
      <w:sz w:val="26"/>
      <w:szCs w:val="26"/>
      <w:lang w:eastAsia="en-US"/>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ascii="Arial" w:eastAsiaTheme="majorEastAsia" w:hAnsi="Arial" w:cstheme="majorBidi"/>
      <w:lang w:eastAsia="en-US"/>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ascii="Arial" w:eastAsiaTheme="majorEastAsia" w:hAnsi="Arial" w:cstheme="majorBidi"/>
      <w:i/>
      <w:iCs/>
      <w:sz w:val="20"/>
      <w:szCs w:val="20"/>
      <w:lang w:eastAsia="en-U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ascii="Arial" w:eastAsiaTheme="majorEastAsia" w:hAnsi="Arial" w:cstheme="majorBidi"/>
      <w:sz w:val="20"/>
      <w:szCs w:val="20"/>
      <w:lang w:eastAsia="en-US"/>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ascii="Arial" w:eastAsiaTheme="majorEastAsia" w:hAnsi="Arial" w:cstheme="majorBidi"/>
      <w:sz w:val="20"/>
      <w:szCs w:val="20"/>
      <w:lang w:eastAsia="en-US"/>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ascii="Arial" w:eastAsiaTheme="majorEastAsia" w:hAnsi="Arial" w:cstheme="majorBidi"/>
      <w:i/>
      <w:iCs/>
      <w:sz w:val="20"/>
      <w:szCs w:val="20"/>
      <w:lang w:eastAsia="en-U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ascii="Arial" w:eastAsiaTheme="majorEastAsia" w:hAnsi="Arial" w:cstheme="majorBidi"/>
      <w:color w:val="272727" w:themeColor="text1" w:themeTint="D8"/>
      <w:sz w:val="21"/>
      <w:szCs w:val="21"/>
      <w:lang w:eastAsia="en-US"/>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ascii="Arial" w:eastAsiaTheme="majorEastAsia" w:hAnsi="Arial" w:cstheme="majorBidi"/>
      <w:i/>
      <w:iCs/>
      <w:color w:val="272727" w:themeColor="text1" w:themeTint="D8"/>
      <w:sz w:val="21"/>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rPr>
      <w:rFonts w:ascii="Arial" w:eastAsiaTheme="minorHAnsi" w:hAnsi="Arial" w:cstheme="minorBidi"/>
      <w:sz w:val="20"/>
      <w:szCs w:val="20"/>
      <w:lang w:eastAsia="en-US"/>
    </w:rPr>
  </w:style>
  <w:style w:type="paragraph" w:styleId="Indexberschrift">
    <w:name w:val="index heading"/>
    <w:basedOn w:val="Standard"/>
    <w:next w:val="Index1"/>
    <w:uiPriority w:val="99"/>
    <w:semiHidden/>
    <w:unhideWhenUsed/>
    <w:rsid w:val="00972BFB"/>
    <w:rPr>
      <w:rFonts w:ascii="Arial" w:eastAsiaTheme="majorEastAsia" w:hAnsi="Arial" w:cstheme="majorBidi"/>
      <w:b/>
      <w:bCs/>
      <w:sz w:val="20"/>
      <w:szCs w:val="20"/>
      <w:lang w:eastAsia="en-U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ascii="Arial" w:eastAsiaTheme="majorEastAsia" w:hAnsi="Arial" w:cstheme="majorBidi"/>
      <w:b/>
      <w:bCs/>
      <w:lang w:eastAsia="en-US"/>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style>
  <w:style w:type="paragraph" w:styleId="Titel">
    <w:name w:val="Title"/>
    <w:basedOn w:val="Standard"/>
    <w:next w:val="Standard"/>
    <w:link w:val="TitelZchn"/>
    <w:uiPriority w:val="10"/>
    <w:qFormat/>
    <w:rsid w:val="002964BC"/>
    <w:pPr>
      <w:contextualSpacing/>
    </w:pPr>
    <w:rPr>
      <w:rFonts w:ascii="Arial" w:eastAsiaTheme="majorEastAsia" w:hAnsi="Arial" w:cstheme="majorBidi"/>
      <w:spacing w:val="-10"/>
      <w:kern w:val="28"/>
      <w:sz w:val="56"/>
      <w:szCs w:val="56"/>
      <w:lang w:eastAsia="en-US"/>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ascii="Arial" w:eastAsiaTheme="majorEastAsia" w:hAnsi="Arial" w:cstheme="majorBidi"/>
      <w:sz w:val="20"/>
      <w:szCs w:val="20"/>
      <w:lang w:eastAsia="en-US"/>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ascii="Arial" w:eastAsiaTheme="majorEastAsia" w:hAnsi="Arial" w:cstheme="majorBidi"/>
      <w:lang w:eastAsia="en-US"/>
    </w:rPr>
  </w:style>
  <w:style w:type="paragraph" w:styleId="Untertitel">
    <w:name w:val="Subtitle"/>
    <w:basedOn w:val="Standard"/>
    <w:next w:val="Standard"/>
    <w:link w:val="UntertitelZchn"/>
    <w:uiPriority w:val="11"/>
    <w:qFormat/>
    <w:rsid w:val="002964BC"/>
    <w:pPr>
      <w:numPr>
        <w:ilvl w:val="1"/>
      </w:numPr>
      <w:spacing w:after="160"/>
    </w:pPr>
    <w:rPr>
      <w:rFonts w:ascii="Arial" w:eastAsiaTheme="minorEastAsia" w:hAnsi="Arial" w:cstheme="minorBidi"/>
      <w:color w:val="5A5A5A" w:themeColor="text1" w:themeTint="A5"/>
      <w:spacing w:val="15"/>
      <w:sz w:val="22"/>
      <w:szCs w:val="22"/>
      <w:lang w:eastAsia="en-US"/>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 w:type="character" w:styleId="Hyperlink">
    <w:name w:val="Hyperlink"/>
    <w:basedOn w:val="Absatz-Standardschriftart"/>
    <w:uiPriority w:val="99"/>
    <w:unhideWhenUsed/>
    <w:rsid w:val="009936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69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2078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SIGNAL IDUNA Gruppe</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u008944</dc:creator>
  <cp:keywords/>
  <dc:description/>
  <cp:lastModifiedBy>Claus Rehse</cp:lastModifiedBy>
  <cp:revision>3</cp:revision>
  <cp:lastPrinted>2016-08-26T11:01:00Z</cp:lastPrinted>
  <dcterms:created xsi:type="dcterms:W3CDTF">2019-12-03T09:29:00Z</dcterms:created>
  <dcterms:modified xsi:type="dcterms:W3CDTF">2020-03-11T07:17:00Z</dcterms:modified>
</cp:coreProperties>
</file>