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1DF2F" w14:textId="4926EE44" w:rsidR="00B30AC5" w:rsidRPr="006F18FB" w:rsidRDefault="00B30AC5" w:rsidP="002964BC">
      <w:pPr>
        <w:rPr>
          <w:b/>
          <w:sz w:val="22"/>
          <w:szCs w:val="22"/>
          <w:u w:val="single"/>
        </w:rPr>
      </w:pPr>
      <w:r w:rsidRPr="006F18FB">
        <w:rPr>
          <w:b/>
          <w:sz w:val="22"/>
          <w:szCs w:val="22"/>
          <w:u w:val="single"/>
        </w:rPr>
        <w:t xml:space="preserve">Neues Gesetz </w:t>
      </w:r>
      <w:r w:rsidR="00B36A68" w:rsidRPr="006F18FB">
        <w:rPr>
          <w:b/>
          <w:sz w:val="22"/>
          <w:szCs w:val="22"/>
          <w:u w:val="single"/>
        </w:rPr>
        <w:t>entlastet Betriebsrentner</w:t>
      </w:r>
    </w:p>
    <w:p w14:paraId="794BCB83" w14:textId="77777777" w:rsidR="00B30AC5" w:rsidRPr="006F18FB" w:rsidRDefault="00B30AC5" w:rsidP="002964BC">
      <w:pPr>
        <w:rPr>
          <w:b/>
          <w:sz w:val="28"/>
          <w:szCs w:val="28"/>
        </w:rPr>
      </w:pPr>
      <w:r w:rsidRPr="006F18FB">
        <w:rPr>
          <w:b/>
          <w:sz w:val="28"/>
          <w:szCs w:val="28"/>
        </w:rPr>
        <w:t>Dank Freibetrag mehr von der Betriebsrente</w:t>
      </w:r>
    </w:p>
    <w:p w14:paraId="6BCB5EB1" w14:textId="77777777" w:rsidR="00B30AC5" w:rsidRPr="006F18FB" w:rsidRDefault="00B30AC5" w:rsidP="002964BC">
      <w:pPr>
        <w:rPr>
          <w:b/>
          <w:sz w:val="22"/>
          <w:szCs w:val="22"/>
        </w:rPr>
      </w:pPr>
    </w:p>
    <w:p w14:paraId="73FCA11C" w14:textId="4E74B261" w:rsidR="00B40726" w:rsidRPr="006F18FB" w:rsidRDefault="003C4910" w:rsidP="002964BC">
      <w:pPr>
        <w:rPr>
          <w:rFonts w:eastAsia="Times New Roman" w:cs="Arial"/>
          <w:b/>
          <w:sz w:val="22"/>
          <w:szCs w:val="22"/>
          <w:lang w:eastAsia="de-DE"/>
        </w:rPr>
      </w:pPr>
      <w:r w:rsidRPr="006F18FB">
        <w:rPr>
          <w:b/>
          <w:sz w:val="22"/>
          <w:szCs w:val="22"/>
        </w:rPr>
        <w:t xml:space="preserve">(Februar 2020) </w:t>
      </w:r>
      <w:r w:rsidR="00B36A68" w:rsidRPr="006F18FB">
        <w:rPr>
          <w:b/>
          <w:sz w:val="22"/>
          <w:szCs w:val="22"/>
        </w:rPr>
        <w:t>Betriebsrentner können sich freuen. Seit dem 1. Januar 202</w:t>
      </w:r>
      <w:r w:rsidR="003B10B7" w:rsidRPr="006F18FB">
        <w:rPr>
          <w:b/>
          <w:sz w:val="22"/>
          <w:szCs w:val="22"/>
        </w:rPr>
        <w:t>0</w:t>
      </w:r>
      <w:r w:rsidR="00B36A68" w:rsidRPr="006F18FB">
        <w:rPr>
          <w:b/>
          <w:sz w:val="22"/>
          <w:szCs w:val="22"/>
        </w:rPr>
        <w:t xml:space="preserve"> gilt das </w:t>
      </w:r>
      <w:r w:rsidRPr="006F18FB">
        <w:rPr>
          <w:rFonts w:eastAsia="Times New Roman" w:cs="Arial"/>
          <w:b/>
          <w:sz w:val="22"/>
          <w:szCs w:val="22"/>
          <w:lang w:eastAsia="de-DE"/>
        </w:rPr>
        <w:t>GKV-</w:t>
      </w:r>
      <w:r w:rsidR="00B36A68" w:rsidRPr="006F18FB">
        <w:rPr>
          <w:rFonts w:eastAsia="Times New Roman" w:cs="Arial"/>
          <w:b/>
          <w:sz w:val="22"/>
          <w:szCs w:val="22"/>
          <w:lang w:eastAsia="de-DE"/>
        </w:rPr>
        <w:t>Betriebsrentenfreibetragsgesetz (</w:t>
      </w:r>
      <w:r w:rsidRPr="006F18FB">
        <w:rPr>
          <w:rFonts w:eastAsia="Times New Roman" w:cs="Arial"/>
          <w:b/>
          <w:sz w:val="22"/>
          <w:szCs w:val="22"/>
          <w:lang w:eastAsia="de-DE"/>
        </w:rPr>
        <w:t xml:space="preserve">GKV-BRG). </w:t>
      </w:r>
      <w:r w:rsidR="00B36A68" w:rsidRPr="006F18FB">
        <w:rPr>
          <w:rFonts w:eastAsia="Times New Roman" w:cs="Arial"/>
          <w:b/>
          <w:sz w:val="22"/>
          <w:szCs w:val="22"/>
          <w:lang w:eastAsia="de-DE"/>
        </w:rPr>
        <w:t xml:space="preserve">Dieses </w:t>
      </w:r>
      <w:r w:rsidR="0008066E" w:rsidRPr="006F18FB">
        <w:rPr>
          <w:rFonts w:eastAsia="Times New Roman" w:cs="Arial"/>
          <w:b/>
          <w:sz w:val="22"/>
          <w:szCs w:val="22"/>
          <w:lang w:eastAsia="de-DE"/>
        </w:rPr>
        <w:t>führt für die betriebliche Altersversorgung (bAV) einen</w:t>
      </w:r>
      <w:r w:rsidR="00B36A68" w:rsidRPr="006F18FB">
        <w:rPr>
          <w:rFonts w:eastAsia="Times New Roman" w:cs="Arial"/>
          <w:b/>
          <w:sz w:val="22"/>
          <w:szCs w:val="22"/>
          <w:lang w:eastAsia="de-DE"/>
        </w:rPr>
        <w:t xml:space="preserve"> neuen Freibetrag</w:t>
      </w:r>
      <w:r w:rsidR="0008066E" w:rsidRPr="006F18FB">
        <w:rPr>
          <w:rFonts w:eastAsia="Times New Roman" w:cs="Arial"/>
          <w:b/>
          <w:sz w:val="22"/>
          <w:szCs w:val="22"/>
          <w:lang w:eastAsia="de-DE"/>
        </w:rPr>
        <w:t xml:space="preserve"> ein</w:t>
      </w:r>
      <w:r w:rsidR="00B36A68" w:rsidRPr="006F18FB">
        <w:rPr>
          <w:rFonts w:eastAsia="Times New Roman" w:cs="Arial"/>
          <w:b/>
          <w:sz w:val="22"/>
          <w:szCs w:val="22"/>
          <w:lang w:eastAsia="de-DE"/>
        </w:rPr>
        <w:t xml:space="preserve">, der </w:t>
      </w:r>
      <w:r w:rsidR="00D42BEB" w:rsidRPr="006F18FB">
        <w:rPr>
          <w:rFonts w:eastAsia="Times New Roman" w:cs="Arial"/>
          <w:b/>
          <w:sz w:val="22"/>
          <w:szCs w:val="22"/>
          <w:lang w:eastAsia="de-DE"/>
        </w:rPr>
        <w:t>sie</w:t>
      </w:r>
      <w:r w:rsidRPr="006F18FB">
        <w:rPr>
          <w:rFonts w:eastAsia="Times New Roman" w:cs="Arial"/>
          <w:b/>
          <w:sz w:val="22"/>
          <w:szCs w:val="22"/>
          <w:lang w:eastAsia="de-DE"/>
        </w:rPr>
        <w:t xml:space="preserve"> </w:t>
      </w:r>
      <w:r w:rsidR="00B36A68" w:rsidRPr="006F18FB">
        <w:rPr>
          <w:rFonts w:eastAsia="Times New Roman" w:cs="Arial"/>
          <w:b/>
          <w:sz w:val="22"/>
          <w:szCs w:val="22"/>
          <w:lang w:eastAsia="de-DE"/>
        </w:rPr>
        <w:t xml:space="preserve">deutlich </w:t>
      </w:r>
      <w:r w:rsidRPr="006F18FB">
        <w:rPr>
          <w:rFonts w:eastAsia="Times New Roman" w:cs="Arial"/>
          <w:b/>
          <w:sz w:val="22"/>
          <w:szCs w:val="22"/>
          <w:lang w:eastAsia="de-DE"/>
        </w:rPr>
        <w:t>attraktiver mach</w:t>
      </w:r>
      <w:r w:rsidR="003B10B7" w:rsidRPr="006F18FB">
        <w:rPr>
          <w:rFonts w:eastAsia="Times New Roman" w:cs="Arial"/>
          <w:b/>
          <w:sz w:val="22"/>
          <w:szCs w:val="22"/>
          <w:lang w:eastAsia="de-DE"/>
        </w:rPr>
        <w:t>t</w:t>
      </w:r>
      <w:r w:rsidRPr="006F18FB">
        <w:rPr>
          <w:rFonts w:eastAsia="Times New Roman" w:cs="Arial"/>
          <w:b/>
          <w:sz w:val="22"/>
          <w:szCs w:val="22"/>
          <w:lang w:eastAsia="de-DE"/>
        </w:rPr>
        <w:t>. Die SIGNAL IDUNA hat dazu ein paar Informationen zusammengestellt.</w:t>
      </w:r>
    </w:p>
    <w:p w14:paraId="3DBDB645" w14:textId="77777777" w:rsidR="003C4910" w:rsidRPr="006F18FB" w:rsidRDefault="003C4910" w:rsidP="002964BC">
      <w:pPr>
        <w:rPr>
          <w:rFonts w:eastAsia="Times New Roman" w:cs="Arial"/>
          <w:sz w:val="22"/>
          <w:szCs w:val="22"/>
          <w:lang w:eastAsia="de-DE"/>
        </w:rPr>
      </w:pPr>
    </w:p>
    <w:p w14:paraId="342E0D10" w14:textId="3F2D0FF1" w:rsidR="006F2DD6" w:rsidRPr="006F18FB" w:rsidRDefault="007A739E" w:rsidP="002964BC">
      <w:pPr>
        <w:rPr>
          <w:sz w:val="22"/>
          <w:szCs w:val="22"/>
        </w:rPr>
      </w:pPr>
      <w:r w:rsidRPr="006F18FB">
        <w:rPr>
          <w:sz w:val="22"/>
          <w:szCs w:val="22"/>
        </w:rPr>
        <w:t xml:space="preserve">Bisher galt </w:t>
      </w:r>
      <w:r w:rsidR="0008066E" w:rsidRPr="006F18FB">
        <w:rPr>
          <w:sz w:val="22"/>
          <w:szCs w:val="22"/>
        </w:rPr>
        <w:t>in der bAV</w:t>
      </w:r>
      <w:r w:rsidRPr="006F18FB">
        <w:rPr>
          <w:sz w:val="22"/>
          <w:szCs w:val="22"/>
        </w:rPr>
        <w:t xml:space="preserve"> nur eine Freigrenze</w:t>
      </w:r>
      <w:r w:rsidR="0008066E" w:rsidRPr="006F18FB">
        <w:rPr>
          <w:sz w:val="22"/>
          <w:szCs w:val="22"/>
        </w:rPr>
        <w:t xml:space="preserve">, bis </w:t>
      </w:r>
      <w:proofErr w:type="gramStart"/>
      <w:r w:rsidR="0008066E" w:rsidRPr="006F18FB">
        <w:rPr>
          <w:sz w:val="22"/>
          <w:szCs w:val="22"/>
        </w:rPr>
        <w:t>zu der Betriebsrenten</w:t>
      </w:r>
      <w:proofErr w:type="gramEnd"/>
      <w:r w:rsidR="0008066E" w:rsidRPr="006F18FB">
        <w:rPr>
          <w:sz w:val="22"/>
          <w:szCs w:val="22"/>
        </w:rPr>
        <w:t xml:space="preserve"> von</w:t>
      </w:r>
      <w:r w:rsidRPr="006F18FB">
        <w:rPr>
          <w:sz w:val="22"/>
          <w:szCs w:val="22"/>
        </w:rPr>
        <w:t>. Kranken- und Pflegeversicherungsbeiträge</w:t>
      </w:r>
      <w:r w:rsidR="0008066E" w:rsidRPr="006F18FB">
        <w:rPr>
          <w:sz w:val="22"/>
          <w:szCs w:val="22"/>
        </w:rPr>
        <w:t>n befreit waren</w:t>
      </w:r>
      <w:r w:rsidRPr="006F18FB">
        <w:rPr>
          <w:sz w:val="22"/>
          <w:szCs w:val="22"/>
        </w:rPr>
        <w:t>. Überstieg die Betriebsrente die Freigrenze auch um nur einen Cent</w:t>
      </w:r>
      <w:r w:rsidR="00012C64" w:rsidRPr="006F18FB">
        <w:rPr>
          <w:sz w:val="22"/>
          <w:szCs w:val="22"/>
        </w:rPr>
        <w:t>,</w:t>
      </w:r>
      <w:r w:rsidRPr="006F18FB">
        <w:rPr>
          <w:sz w:val="22"/>
          <w:szCs w:val="22"/>
        </w:rPr>
        <w:t xml:space="preserve"> musste </w:t>
      </w:r>
      <w:r w:rsidR="0008066E" w:rsidRPr="006F18FB">
        <w:rPr>
          <w:sz w:val="22"/>
          <w:szCs w:val="22"/>
        </w:rPr>
        <w:t xml:space="preserve">der Betriebsrentner </w:t>
      </w:r>
      <w:r w:rsidRPr="006F18FB">
        <w:rPr>
          <w:sz w:val="22"/>
          <w:szCs w:val="22"/>
        </w:rPr>
        <w:t xml:space="preserve">auf den gesamten Rentenbetrag Beiträge </w:t>
      </w:r>
      <w:r w:rsidR="0008066E" w:rsidRPr="006F18FB">
        <w:rPr>
          <w:sz w:val="22"/>
          <w:szCs w:val="22"/>
        </w:rPr>
        <w:t>zahlen</w:t>
      </w:r>
      <w:r w:rsidRPr="006F18FB">
        <w:rPr>
          <w:sz w:val="22"/>
          <w:szCs w:val="22"/>
        </w:rPr>
        <w:t xml:space="preserve">. </w:t>
      </w:r>
      <w:bookmarkStart w:id="0" w:name="_GoBack"/>
      <w:bookmarkEnd w:id="0"/>
    </w:p>
    <w:p w14:paraId="1B859A37" w14:textId="77777777" w:rsidR="00012C64" w:rsidRPr="006F18FB" w:rsidRDefault="00012C64" w:rsidP="002964BC">
      <w:pPr>
        <w:rPr>
          <w:sz w:val="22"/>
          <w:szCs w:val="22"/>
        </w:rPr>
      </w:pPr>
    </w:p>
    <w:p w14:paraId="28F0212D" w14:textId="73185091" w:rsidR="00012C64" w:rsidRPr="006F18FB" w:rsidRDefault="007A739E" w:rsidP="00012C64">
      <w:pPr>
        <w:rPr>
          <w:sz w:val="22"/>
          <w:szCs w:val="22"/>
        </w:rPr>
      </w:pPr>
      <w:r w:rsidRPr="006F18FB">
        <w:rPr>
          <w:sz w:val="22"/>
          <w:szCs w:val="22"/>
        </w:rPr>
        <w:t>Jetzt gibt es zusätzlich den neuen Freibetrag für Betriebsrenten.</w:t>
      </w:r>
      <w:r w:rsidR="00242B8C" w:rsidRPr="006F18FB">
        <w:rPr>
          <w:sz w:val="22"/>
          <w:szCs w:val="22"/>
        </w:rPr>
        <w:t xml:space="preserve"> </w:t>
      </w:r>
      <w:r w:rsidRPr="006F18FB">
        <w:rPr>
          <w:sz w:val="22"/>
          <w:szCs w:val="22"/>
        </w:rPr>
        <w:t xml:space="preserve">Dieser ist </w:t>
      </w:r>
      <w:r w:rsidR="00951465" w:rsidRPr="006F18FB">
        <w:rPr>
          <w:sz w:val="22"/>
          <w:szCs w:val="22"/>
        </w:rPr>
        <w:t xml:space="preserve">genauso hoch </w:t>
      </w:r>
      <w:r w:rsidRPr="006F18FB">
        <w:rPr>
          <w:sz w:val="22"/>
          <w:szCs w:val="22"/>
        </w:rPr>
        <w:t>wie die Freigrenze</w:t>
      </w:r>
      <w:r w:rsidR="00951465" w:rsidRPr="006F18FB">
        <w:rPr>
          <w:sz w:val="22"/>
          <w:szCs w:val="22"/>
        </w:rPr>
        <w:t xml:space="preserve"> und wie diese</w:t>
      </w:r>
      <w:r w:rsidRPr="006F18FB">
        <w:rPr>
          <w:sz w:val="22"/>
          <w:szCs w:val="22"/>
        </w:rPr>
        <w:t xml:space="preserve"> dynamisch</w:t>
      </w:r>
      <w:r w:rsidR="00951465" w:rsidRPr="006F18FB">
        <w:rPr>
          <w:sz w:val="22"/>
          <w:szCs w:val="22"/>
        </w:rPr>
        <w:t>. Für das Jahr 2020 liegen Freigrenze und Freibetrag bei</w:t>
      </w:r>
      <w:r w:rsidRPr="006F18FB">
        <w:rPr>
          <w:sz w:val="22"/>
          <w:szCs w:val="22"/>
        </w:rPr>
        <w:t xml:space="preserve"> </w:t>
      </w:r>
      <w:r w:rsidR="0008066E" w:rsidRPr="006F18FB">
        <w:rPr>
          <w:sz w:val="22"/>
          <w:szCs w:val="22"/>
        </w:rPr>
        <w:t xml:space="preserve">monatlich </w:t>
      </w:r>
      <w:r w:rsidRPr="006F18FB">
        <w:rPr>
          <w:sz w:val="22"/>
          <w:szCs w:val="22"/>
        </w:rPr>
        <w:t xml:space="preserve">159,25 Euro. Übersteigt die Betriebsrente den Freibetrag, dann ist im Unterschied zur </w:t>
      </w:r>
      <w:r w:rsidR="003D3228" w:rsidRPr="006F18FB">
        <w:rPr>
          <w:sz w:val="22"/>
          <w:szCs w:val="22"/>
        </w:rPr>
        <w:t xml:space="preserve">bisherigen Regelung </w:t>
      </w:r>
      <w:r w:rsidRPr="006F18FB">
        <w:rPr>
          <w:sz w:val="22"/>
          <w:szCs w:val="22"/>
        </w:rPr>
        <w:t xml:space="preserve">nur der übersteigende Teil der Betriebsrente in der gesetzlichen Krankenversicherung beitragspflichtig. </w:t>
      </w:r>
      <w:r w:rsidR="000C1118" w:rsidRPr="006F18FB">
        <w:rPr>
          <w:rFonts w:eastAsia="Times New Roman" w:cs="Arial"/>
          <w:sz w:val="22"/>
          <w:szCs w:val="22"/>
          <w:lang w:eastAsia="de-DE"/>
        </w:rPr>
        <w:t xml:space="preserve">Durch den Freibetrag </w:t>
      </w:r>
      <w:r w:rsidR="00C018FA" w:rsidRPr="006F18FB">
        <w:rPr>
          <w:rFonts w:eastAsia="Times New Roman" w:cs="Arial"/>
          <w:sz w:val="22"/>
          <w:szCs w:val="22"/>
          <w:lang w:eastAsia="de-DE"/>
        </w:rPr>
        <w:t>werden rund 2/3 der Betriebsrentner spürbar entlastet: Etwa 30</w:t>
      </w:r>
      <w:r w:rsidR="000C1118" w:rsidRPr="006F18FB">
        <w:rPr>
          <w:rFonts w:eastAsia="Times New Roman" w:cs="Arial"/>
          <w:sz w:val="22"/>
          <w:szCs w:val="22"/>
          <w:lang w:eastAsia="de-DE"/>
        </w:rPr>
        <w:t xml:space="preserve"> </w:t>
      </w:r>
      <w:r w:rsidR="003D3228" w:rsidRPr="006F18FB">
        <w:rPr>
          <w:rFonts w:eastAsia="Times New Roman" w:cs="Arial"/>
          <w:sz w:val="22"/>
          <w:szCs w:val="22"/>
          <w:lang w:eastAsia="de-DE"/>
        </w:rPr>
        <w:t xml:space="preserve">Prozent </w:t>
      </w:r>
      <w:r w:rsidR="000C1118" w:rsidRPr="006F18FB">
        <w:rPr>
          <w:rFonts w:eastAsia="Times New Roman" w:cs="Arial"/>
          <w:sz w:val="22"/>
          <w:szCs w:val="22"/>
          <w:lang w:eastAsia="de-DE"/>
        </w:rPr>
        <w:t xml:space="preserve">der deutschen Betriebsrentner </w:t>
      </w:r>
      <w:r w:rsidR="00C018FA" w:rsidRPr="006F18FB">
        <w:rPr>
          <w:rFonts w:eastAsia="Times New Roman" w:cs="Arial"/>
          <w:sz w:val="22"/>
          <w:szCs w:val="22"/>
          <w:lang w:eastAsia="de-DE"/>
        </w:rPr>
        <w:t xml:space="preserve">zahlen </w:t>
      </w:r>
      <w:r w:rsidR="000C1118" w:rsidRPr="006F18FB">
        <w:rPr>
          <w:rFonts w:eastAsia="Times New Roman" w:cs="Arial"/>
          <w:sz w:val="22"/>
          <w:szCs w:val="22"/>
          <w:lang w:eastAsia="de-DE"/>
        </w:rPr>
        <w:t xml:space="preserve">zukünftig nur noch halb so viel Krankenkassenbeiträge wie bisher auf ihre Betriebsrente. </w:t>
      </w:r>
      <w:r w:rsidR="00C018FA" w:rsidRPr="006F18FB">
        <w:rPr>
          <w:rFonts w:eastAsia="Times New Roman" w:cs="Arial"/>
          <w:sz w:val="22"/>
          <w:szCs w:val="22"/>
          <w:lang w:eastAsia="de-DE"/>
        </w:rPr>
        <w:t xml:space="preserve">Das </w:t>
      </w:r>
      <w:r w:rsidR="00C327C2" w:rsidRPr="006F18FB">
        <w:rPr>
          <w:rFonts w:eastAsia="Times New Roman" w:cs="Arial"/>
          <w:sz w:val="22"/>
          <w:szCs w:val="22"/>
          <w:lang w:eastAsia="de-DE"/>
        </w:rPr>
        <w:t>zweite</w:t>
      </w:r>
      <w:r w:rsidR="00C018FA" w:rsidRPr="006F18FB">
        <w:rPr>
          <w:rFonts w:eastAsia="Times New Roman" w:cs="Arial"/>
          <w:sz w:val="22"/>
          <w:szCs w:val="22"/>
          <w:lang w:eastAsia="de-DE"/>
        </w:rPr>
        <w:t xml:space="preserve"> Drittel</w:t>
      </w:r>
      <w:r w:rsidR="00C327C2" w:rsidRPr="006F18FB">
        <w:rPr>
          <w:rFonts w:eastAsia="Times New Roman" w:cs="Arial"/>
          <w:sz w:val="22"/>
          <w:szCs w:val="22"/>
          <w:lang w:eastAsia="de-DE"/>
        </w:rPr>
        <w:t xml:space="preserve"> mit Betriebsrenten über 159,25 </w:t>
      </w:r>
      <w:r w:rsidR="00C018FA" w:rsidRPr="006F18FB">
        <w:rPr>
          <w:rFonts w:eastAsia="Times New Roman" w:cs="Arial"/>
          <w:sz w:val="22"/>
          <w:szCs w:val="22"/>
          <w:lang w:eastAsia="de-DE"/>
        </w:rPr>
        <w:t xml:space="preserve">zahlt </w:t>
      </w:r>
      <w:r w:rsidR="00C327C2" w:rsidRPr="006F18FB">
        <w:rPr>
          <w:rFonts w:eastAsia="Times New Roman" w:cs="Arial"/>
          <w:sz w:val="22"/>
          <w:szCs w:val="22"/>
          <w:lang w:eastAsia="de-DE"/>
        </w:rPr>
        <w:t xml:space="preserve">absolut 25 Euro weniger pro Monat. </w:t>
      </w:r>
      <w:r w:rsidR="00012C64" w:rsidRPr="006F18FB">
        <w:rPr>
          <w:sz w:val="22"/>
          <w:szCs w:val="22"/>
        </w:rPr>
        <w:t xml:space="preserve">Allerdings: Der Freibetrag gilt nur für den Krankenkassenbeitrag; für den Beitrag zur Pflegepflichtversicherung bleibt es bei der bisherigen </w:t>
      </w:r>
      <w:proofErr w:type="spellStart"/>
      <w:r w:rsidR="00012C64" w:rsidRPr="006F18FB">
        <w:rPr>
          <w:sz w:val="22"/>
          <w:szCs w:val="22"/>
        </w:rPr>
        <w:t>Freigrenzenregelung</w:t>
      </w:r>
      <w:proofErr w:type="spellEnd"/>
      <w:r w:rsidR="00012C64" w:rsidRPr="006F18FB">
        <w:rPr>
          <w:sz w:val="22"/>
          <w:szCs w:val="22"/>
        </w:rPr>
        <w:t xml:space="preserve">. </w:t>
      </w:r>
    </w:p>
    <w:p w14:paraId="22F64A16" w14:textId="1ABB9281" w:rsidR="00341CF4" w:rsidRPr="006F18FB" w:rsidRDefault="00341CF4" w:rsidP="00341CF4">
      <w:pPr>
        <w:spacing w:before="100" w:beforeAutospacing="1" w:after="100" w:afterAutospacing="1"/>
        <w:rPr>
          <w:rFonts w:eastAsia="Times New Roman" w:cs="Arial"/>
          <w:sz w:val="24"/>
          <w:szCs w:val="24"/>
          <w:lang w:eastAsia="de-DE"/>
        </w:rPr>
      </w:pPr>
    </w:p>
    <w:p w14:paraId="3201C671" w14:textId="718F567F" w:rsidR="00341CF4" w:rsidRPr="006F18FB" w:rsidRDefault="00341CF4" w:rsidP="00341CF4">
      <w:pPr>
        <w:spacing w:before="100" w:beforeAutospacing="1" w:after="100" w:afterAutospacing="1"/>
        <w:rPr>
          <w:rFonts w:eastAsia="Times New Roman" w:cs="Arial"/>
          <w:sz w:val="24"/>
          <w:szCs w:val="24"/>
          <w:lang w:eastAsia="de-DE"/>
        </w:rPr>
      </w:pPr>
      <w:r w:rsidRPr="006F18FB">
        <w:rPr>
          <w:rFonts w:eastAsia="Times New Roman" w:cs="Arial"/>
          <w:sz w:val="24"/>
          <w:szCs w:val="24"/>
          <w:lang w:eastAsia="de-DE"/>
        </w:rPr>
        <w:t>Beispiel: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5"/>
        <w:gridCol w:w="3364"/>
        <w:gridCol w:w="3437"/>
      </w:tblGrid>
      <w:tr w:rsidR="006F18FB" w:rsidRPr="006F18FB" w14:paraId="687EA708" w14:textId="77777777" w:rsidTr="00341C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26A450" w14:textId="77777777" w:rsidR="00341CF4" w:rsidRPr="006F18FB" w:rsidRDefault="00341CF4" w:rsidP="00341CF4">
            <w:pPr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6F18FB">
              <w:rPr>
                <w:rFonts w:eastAsia="Times New Roman" w:cs="Arial"/>
                <w:sz w:val="24"/>
                <w:szCs w:val="24"/>
                <w:lang w:eastAsia="de-DE"/>
              </w:rPr>
              <w:t>Monatliche Rente in Euro</w:t>
            </w:r>
          </w:p>
        </w:tc>
        <w:tc>
          <w:tcPr>
            <w:tcW w:w="0" w:type="auto"/>
            <w:vAlign w:val="center"/>
            <w:hideMark/>
          </w:tcPr>
          <w:p w14:paraId="2A7A3A93" w14:textId="34071F00" w:rsidR="00341CF4" w:rsidRPr="006F18FB" w:rsidRDefault="00341CF4" w:rsidP="00341CF4">
            <w:pPr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6F18FB">
              <w:rPr>
                <w:rFonts w:eastAsia="Times New Roman" w:cs="Arial"/>
                <w:sz w:val="24"/>
                <w:szCs w:val="24"/>
                <w:lang w:eastAsia="de-DE"/>
              </w:rPr>
              <w:t>GKV-Beitrag in 2019 in Euro (Freigrenze)</w:t>
            </w:r>
          </w:p>
        </w:tc>
        <w:tc>
          <w:tcPr>
            <w:tcW w:w="0" w:type="auto"/>
            <w:vAlign w:val="center"/>
            <w:hideMark/>
          </w:tcPr>
          <w:p w14:paraId="2E25E502" w14:textId="1582FDDD" w:rsidR="00341CF4" w:rsidRPr="006F18FB" w:rsidRDefault="00341CF4" w:rsidP="00341CF4">
            <w:pPr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6F18FB">
              <w:rPr>
                <w:rFonts w:eastAsia="Times New Roman" w:cs="Arial"/>
                <w:sz w:val="24"/>
                <w:szCs w:val="24"/>
                <w:lang w:eastAsia="de-DE"/>
              </w:rPr>
              <w:t>GKV-Beitrag* ab 2020 in Euro (Freibetrag)</w:t>
            </w:r>
          </w:p>
        </w:tc>
      </w:tr>
      <w:tr w:rsidR="006F18FB" w:rsidRPr="006F18FB" w14:paraId="54A836FE" w14:textId="77777777" w:rsidTr="00341C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34B753" w14:textId="77777777" w:rsidR="00341CF4" w:rsidRPr="006F18FB" w:rsidRDefault="00341CF4" w:rsidP="00341CF4">
            <w:pPr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6F18FB">
              <w:rPr>
                <w:rFonts w:eastAsia="Times New Roman" w:cs="Arial"/>
                <w:sz w:val="24"/>
                <w:szCs w:val="24"/>
                <w:lang w:eastAsia="de-DE"/>
              </w:rPr>
              <w:t>159,25</w:t>
            </w:r>
          </w:p>
        </w:tc>
        <w:tc>
          <w:tcPr>
            <w:tcW w:w="0" w:type="auto"/>
            <w:vAlign w:val="center"/>
            <w:hideMark/>
          </w:tcPr>
          <w:p w14:paraId="5469E55C" w14:textId="77777777" w:rsidR="00341CF4" w:rsidRPr="006F18FB" w:rsidRDefault="00341CF4" w:rsidP="00341CF4">
            <w:pPr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6F18FB">
              <w:rPr>
                <w:rFonts w:eastAsia="Times New Roman" w:cs="Arial"/>
                <w:sz w:val="24"/>
                <w:szCs w:val="24"/>
                <w:lang w:eastAsia="de-D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D90DE26" w14:textId="77777777" w:rsidR="00341CF4" w:rsidRPr="006F18FB" w:rsidRDefault="00341CF4" w:rsidP="00341CF4">
            <w:pPr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6F18FB">
              <w:rPr>
                <w:rFonts w:eastAsia="Times New Roman" w:cs="Arial"/>
                <w:sz w:val="24"/>
                <w:szCs w:val="24"/>
                <w:lang w:eastAsia="de-DE"/>
              </w:rPr>
              <w:t>0</w:t>
            </w:r>
          </w:p>
        </w:tc>
      </w:tr>
      <w:tr w:rsidR="006F18FB" w:rsidRPr="006F18FB" w14:paraId="0110E2F0" w14:textId="77777777" w:rsidTr="00341C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8C4632" w14:textId="77777777" w:rsidR="00341CF4" w:rsidRPr="006F18FB" w:rsidRDefault="00341CF4" w:rsidP="00341CF4">
            <w:pPr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6F18FB">
              <w:rPr>
                <w:rFonts w:eastAsia="Times New Roman" w:cs="Arial"/>
                <w:sz w:val="24"/>
                <w:szCs w:val="24"/>
                <w:lang w:eastAsia="de-DE"/>
              </w:rPr>
              <w:t>200,00</w:t>
            </w:r>
          </w:p>
        </w:tc>
        <w:tc>
          <w:tcPr>
            <w:tcW w:w="0" w:type="auto"/>
            <w:vAlign w:val="center"/>
            <w:hideMark/>
          </w:tcPr>
          <w:p w14:paraId="3A6DD36A" w14:textId="77777777" w:rsidR="00341CF4" w:rsidRPr="006F18FB" w:rsidRDefault="00341CF4" w:rsidP="00341CF4">
            <w:pPr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6F18FB">
              <w:rPr>
                <w:rFonts w:eastAsia="Times New Roman" w:cs="Arial"/>
                <w:sz w:val="24"/>
                <w:szCs w:val="24"/>
                <w:lang w:eastAsia="de-DE"/>
              </w:rPr>
              <w:t>31,40</w:t>
            </w:r>
          </w:p>
        </w:tc>
        <w:tc>
          <w:tcPr>
            <w:tcW w:w="0" w:type="auto"/>
            <w:vAlign w:val="center"/>
            <w:hideMark/>
          </w:tcPr>
          <w:p w14:paraId="22546EE3" w14:textId="77777777" w:rsidR="00341CF4" w:rsidRPr="006F18FB" w:rsidRDefault="00341CF4" w:rsidP="00341CF4">
            <w:pPr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6F18FB">
              <w:rPr>
                <w:rFonts w:eastAsia="Times New Roman" w:cs="Arial"/>
                <w:sz w:val="24"/>
                <w:szCs w:val="24"/>
                <w:lang w:eastAsia="de-DE"/>
              </w:rPr>
              <w:t>6,40</w:t>
            </w:r>
          </w:p>
        </w:tc>
      </w:tr>
      <w:tr w:rsidR="006F18FB" w:rsidRPr="006F18FB" w14:paraId="45844476" w14:textId="77777777" w:rsidTr="00341C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31F5EA" w14:textId="77777777" w:rsidR="00341CF4" w:rsidRPr="006F18FB" w:rsidRDefault="00341CF4" w:rsidP="00341CF4">
            <w:pPr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6F18FB">
              <w:rPr>
                <w:rFonts w:eastAsia="Times New Roman" w:cs="Arial"/>
                <w:sz w:val="24"/>
                <w:szCs w:val="24"/>
                <w:lang w:eastAsia="de-DE"/>
              </w:rPr>
              <w:t>300,00</w:t>
            </w:r>
          </w:p>
        </w:tc>
        <w:tc>
          <w:tcPr>
            <w:tcW w:w="0" w:type="auto"/>
            <w:vAlign w:val="center"/>
            <w:hideMark/>
          </w:tcPr>
          <w:p w14:paraId="79B3F390" w14:textId="77777777" w:rsidR="00341CF4" w:rsidRPr="006F18FB" w:rsidRDefault="00341CF4" w:rsidP="00341CF4">
            <w:pPr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6F18FB">
              <w:rPr>
                <w:rFonts w:eastAsia="Times New Roman" w:cs="Arial"/>
                <w:sz w:val="24"/>
                <w:szCs w:val="24"/>
                <w:lang w:eastAsia="de-DE"/>
              </w:rPr>
              <w:t>47,10</w:t>
            </w:r>
          </w:p>
        </w:tc>
        <w:tc>
          <w:tcPr>
            <w:tcW w:w="0" w:type="auto"/>
            <w:vAlign w:val="center"/>
            <w:hideMark/>
          </w:tcPr>
          <w:p w14:paraId="0793C830" w14:textId="77777777" w:rsidR="00341CF4" w:rsidRPr="006F18FB" w:rsidRDefault="00341CF4" w:rsidP="00341CF4">
            <w:pPr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6F18FB">
              <w:rPr>
                <w:rFonts w:eastAsia="Times New Roman" w:cs="Arial"/>
                <w:sz w:val="24"/>
                <w:szCs w:val="24"/>
                <w:lang w:eastAsia="de-DE"/>
              </w:rPr>
              <w:t>22,10</w:t>
            </w:r>
          </w:p>
        </w:tc>
      </w:tr>
      <w:tr w:rsidR="006F18FB" w:rsidRPr="006F18FB" w14:paraId="733BE504" w14:textId="77777777" w:rsidTr="00341C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848398" w14:textId="77777777" w:rsidR="00341CF4" w:rsidRPr="006F18FB" w:rsidRDefault="00341CF4" w:rsidP="00341CF4">
            <w:pPr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6F18FB">
              <w:rPr>
                <w:rFonts w:eastAsia="Times New Roman" w:cs="Arial"/>
                <w:sz w:val="24"/>
                <w:szCs w:val="24"/>
                <w:lang w:eastAsia="de-DE"/>
              </w:rPr>
              <w:t>500,00</w:t>
            </w:r>
          </w:p>
        </w:tc>
        <w:tc>
          <w:tcPr>
            <w:tcW w:w="0" w:type="auto"/>
            <w:vAlign w:val="center"/>
            <w:hideMark/>
          </w:tcPr>
          <w:p w14:paraId="38B93AC2" w14:textId="77777777" w:rsidR="00341CF4" w:rsidRPr="006F18FB" w:rsidRDefault="00341CF4" w:rsidP="00341CF4">
            <w:pPr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6F18FB">
              <w:rPr>
                <w:rFonts w:eastAsia="Times New Roman" w:cs="Arial"/>
                <w:sz w:val="24"/>
                <w:szCs w:val="24"/>
                <w:lang w:eastAsia="de-DE"/>
              </w:rPr>
              <w:t>78,50</w:t>
            </w:r>
          </w:p>
        </w:tc>
        <w:tc>
          <w:tcPr>
            <w:tcW w:w="0" w:type="auto"/>
            <w:vAlign w:val="center"/>
            <w:hideMark/>
          </w:tcPr>
          <w:p w14:paraId="350FE477" w14:textId="77777777" w:rsidR="00341CF4" w:rsidRPr="006F18FB" w:rsidRDefault="00341CF4" w:rsidP="00341CF4">
            <w:pPr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6F18FB">
              <w:rPr>
                <w:rFonts w:eastAsia="Times New Roman" w:cs="Arial"/>
                <w:sz w:val="24"/>
                <w:szCs w:val="24"/>
                <w:lang w:eastAsia="de-DE"/>
              </w:rPr>
              <w:t>50,10</w:t>
            </w:r>
          </w:p>
        </w:tc>
      </w:tr>
    </w:tbl>
    <w:p w14:paraId="04AF5332" w14:textId="77777777" w:rsidR="00341CF4" w:rsidRPr="006F18FB" w:rsidRDefault="00341CF4" w:rsidP="00341CF4">
      <w:pPr>
        <w:spacing w:before="100" w:beforeAutospacing="1" w:after="100" w:afterAutospacing="1"/>
        <w:rPr>
          <w:rFonts w:eastAsia="Times New Roman" w:cs="Arial"/>
          <w:sz w:val="24"/>
          <w:szCs w:val="24"/>
          <w:lang w:eastAsia="de-DE"/>
        </w:rPr>
      </w:pPr>
      <w:r w:rsidRPr="006F18FB">
        <w:rPr>
          <w:rFonts w:eastAsia="Times New Roman" w:cs="Arial"/>
          <w:sz w:val="24"/>
          <w:szCs w:val="24"/>
          <w:lang w:eastAsia="de-DE"/>
        </w:rPr>
        <w:t>*GKV-Beitrag 15,7 % (14,6 + 1,1)</w:t>
      </w:r>
    </w:p>
    <w:p w14:paraId="732711F0" w14:textId="487CFD39" w:rsidR="003B10B7" w:rsidRPr="006F18FB" w:rsidRDefault="003B10B7" w:rsidP="000A607E">
      <w:pPr>
        <w:keepNext/>
        <w:spacing w:line="252" w:lineRule="auto"/>
        <w:rPr>
          <w:sz w:val="22"/>
          <w:szCs w:val="22"/>
        </w:rPr>
      </w:pPr>
    </w:p>
    <w:p w14:paraId="3CE80BD0" w14:textId="1BDB5A61" w:rsidR="003B10B7" w:rsidRPr="006F18FB" w:rsidRDefault="003D3228" w:rsidP="000A607E">
      <w:pPr>
        <w:keepNext/>
        <w:spacing w:line="252" w:lineRule="auto"/>
        <w:rPr>
          <w:sz w:val="22"/>
          <w:szCs w:val="22"/>
        </w:rPr>
      </w:pPr>
      <w:r w:rsidRPr="006F18FB">
        <w:rPr>
          <w:sz w:val="22"/>
          <w:szCs w:val="22"/>
        </w:rPr>
        <w:t>Die</w:t>
      </w:r>
      <w:r w:rsidR="003B10B7" w:rsidRPr="006F18FB">
        <w:rPr>
          <w:sz w:val="22"/>
          <w:szCs w:val="22"/>
        </w:rPr>
        <w:t xml:space="preserve"> Freibetragsregelung </w:t>
      </w:r>
      <w:r w:rsidRPr="006F18FB">
        <w:rPr>
          <w:sz w:val="22"/>
          <w:szCs w:val="22"/>
        </w:rPr>
        <w:t>entlastet</w:t>
      </w:r>
      <w:r w:rsidR="003B10B7" w:rsidRPr="006F18FB">
        <w:rPr>
          <w:sz w:val="22"/>
          <w:szCs w:val="22"/>
        </w:rPr>
        <w:t xml:space="preserve"> gerade Bezieher kleinere</w:t>
      </w:r>
      <w:r w:rsidRPr="006F18FB">
        <w:rPr>
          <w:sz w:val="22"/>
          <w:szCs w:val="22"/>
        </w:rPr>
        <w:t>r</w:t>
      </w:r>
      <w:r w:rsidR="003B10B7" w:rsidRPr="006F18FB">
        <w:rPr>
          <w:sz w:val="22"/>
          <w:szCs w:val="22"/>
        </w:rPr>
        <w:t xml:space="preserve"> </w:t>
      </w:r>
      <w:r w:rsidRPr="006F18FB">
        <w:rPr>
          <w:sz w:val="22"/>
          <w:szCs w:val="22"/>
        </w:rPr>
        <w:t>Betriebsr</w:t>
      </w:r>
      <w:r w:rsidR="003B10B7" w:rsidRPr="006F18FB">
        <w:rPr>
          <w:sz w:val="22"/>
          <w:szCs w:val="22"/>
        </w:rPr>
        <w:t xml:space="preserve">enten deutlich. Die bAV gewinnt </w:t>
      </w:r>
      <w:r w:rsidR="005A322A" w:rsidRPr="006F18FB">
        <w:rPr>
          <w:sz w:val="22"/>
          <w:szCs w:val="22"/>
        </w:rPr>
        <w:t xml:space="preserve">damit </w:t>
      </w:r>
      <w:r w:rsidR="003B10B7" w:rsidRPr="006F18FB">
        <w:rPr>
          <w:sz w:val="22"/>
          <w:szCs w:val="22"/>
        </w:rPr>
        <w:t xml:space="preserve">deutlich an Attraktivität. </w:t>
      </w:r>
    </w:p>
    <w:p w14:paraId="2D1A0C7F" w14:textId="77777777" w:rsidR="00833E52" w:rsidRPr="006F18FB" w:rsidRDefault="00833E52" w:rsidP="002964BC">
      <w:pPr>
        <w:rPr>
          <w:sz w:val="22"/>
          <w:szCs w:val="22"/>
        </w:rPr>
      </w:pPr>
    </w:p>
    <w:sectPr w:rsidR="00833E52" w:rsidRPr="006F18F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0BE9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D6E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B05B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34FB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F414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92C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4ACA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86A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34F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C0D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10"/>
    <w:rsid w:val="00003EC9"/>
    <w:rsid w:val="00012C64"/>
    <w:rsid w:val="0008066E"/>
    <w:rsid w:val="00097C48"/>
    <w:rsid w:val="000A607E"/>
    <w:rsid w:val="000C1118"/>
    <w:rsid w:val="001060EB"/>
    <w:rsid w:val="00192F44"/>
    <w:rsid w:val="00242B8C"/>
    <w:rsid w:val="002964BC"/>
    <w:rsid w:val="0033252F"/>
    <w:rsid w:val="00341CF4"/>
    <w:rsid w:val="003B10B7"/>
    <w:rsid w:val="003C4910"/>
    <w:rsid w:val="003D3228"/>
    <w:rsid w:val="00496064"/>
    <w:rsid w:val="005233E2"/>
    <w:rsid w:val="005A322A"/>
    <w:rsid w:val="00637B69"/>
    <w:rsid w:val="006F18FB"/>
    <w:rsid w:val="006F2DD6"/>
    <w:rsid w:val="0074363E"/>
    <w:rsid w:val="007A739E"/>
    <w:rsid w:val="00833E52"/>
    <w:rsid w:val="00926950"/>
    <w:rsid w:val="00951465"/>
    <w:rsid w:val="00972BFB"/>
    <w:rsid w:val="00994BF1"/>
    <w:rsid w:val="00A228DA"/>
    <w:rsid w:val="00B30AC5"/>
    <w:rsid w:val="00B36A68"/>
    <w:rsid w:val="00B40726"/>
    <w:rsid w:val="00BA042D"/>
    <w:rsid w:val="00C018FA"/>
    <w:rsid w:val="00C327C2"/>
    <w:rsid w:val="00CE72AF"/>
    <w:rsid w:val="00D42BEB"/>
    <w:rsid w:val="00E6105F"/>
    <w:rsid w:val="00F6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2D971"/>
  <w15:chartTrackingRefBased/>
  <w15:docId w15:val="{2AF30E25-05E8-47D7-AC22-C2F91026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964BC"/>
  </w:style>
  <w:style w:type="paragraph" w:styleId="berschrift1">
    <w:name w:val="heading 1"/>
    <w:basedOn w:val="Standard"/>
    <w:next w:val="Standard"/>
    <w:link w:val="berschrift1Zchn"/>
    <w:uiPriority w:val="9"/>
    <w:qFormat/>
    <w:rsid w:val="002964BC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64BC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64BC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64BC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64BC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64BC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64BC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64B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64BC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TMLBeispiel">
    <w:name w:val="HTML Sample"/>
    <w:basedOn w:val="Absatz-Standardschriftart"/>
    <w:uiPriority w:val="99"/>
    <w:semiHidden/>
    <w:unhideWhenUsed/>
    <w:rsid w:val="00972BFB"/>
    <w:rPr>
      <w:rFonts w:ascii="Arial" w:hAnsi="Arial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72BFB"/>
    <w:rPr>
      <w:rFonts w:cs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72BFB"/>
    <w:rPr>
      <w:rFonts w:cs="Consola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972BFB"/>
    <w:pPr>
      <w:ind w:left="2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972BFB"/>
    <w:rPr>
      <w:rFonts w:eastAsiaTheme="majorEastAsia" w:cstheme="majorBidi"/>
      <w:b/>
      <w:bCs/>
    </w:rPr>
  </w:style>
  <w:style w:type="paragraph" w:styleId="Makrotext">
    <w:name w:val="macro"/>
    <w:link w:val="MakrotextZchn"/>
    <w:uiPriority w:val="99"/>
    <w:semiHidden/>
    <w:unhideWhenUsed/>
    <w:rsid w:val="002964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964BC"/>
    <w:rPr>
      <w:rFonts w:cs="Consola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296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2964BC"/>
    <w:rPr>
      <w:rFonts w:eastAsiaTheme="majorEastAsia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2964BC"/>
    <w:rPr>
      <w:rFonts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964BC"/>
    <w:rPr>
      <w:rFonts w:cs="Consolas"/>
      <w:sz w:val="21"/>
      <w:szCs w:val="21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2964BC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64BC"/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64BC"/>
    <w:rPr>
      <w:rFonts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2964BC"/>
    <w:rPr>
      <w:rFonts w:cs="Times New Roman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2964B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64BC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64BC"/>
    <w:rPr>
      <w:rFonts w:eastAsiaTheme="majorEastAsia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64BC"/>
    <w:rPr>
      <w:rFonts w:eastAsiaTheme="majorEastAsia" w:cstheme="majorBidi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64BC"/>
    <w:rPr>
      <w:rFonts w:eastAsiaTheme="majorEastAsia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64BC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64BC"/>
    <w:rPr>
      <w:rFonts w:eastAsiaTheme="majorEastAsia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64BC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64BC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2964BC"/>
    <w:rPr>
      <w:rFonts w:eastAsiaTheme="majorEastAsia" w:cstheme="majorBidi"/>
    </w:rPr>
  </w:style>
  <w:style w:type="paragraph" w:styleId="Umschlagadresse">
    <w:name w:val="envelope address"/>
    <w:basedOn w:val="Standard"/>
    <w:uiPriority w:val="99"/>
    <w:semiHidden/>
    <w:unhideWhenUsed/>
    <w:rsid w:val="002964BC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64B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64B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36A6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36A68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36A68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36A6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36A68"/>
    <w:rPr>
      <w:b/>
      <w:bCs/>
    </w:rPr>
  </w:style>
  <w:style w:type="paragraph" w:styleId="berarbeitung">
    <w:name w:val="Revision"/>
    <w:hidden/>
    <w:uiPriority w:val="99"/>
    <w:semiHidden/>
    <w:rsid w:val="00B36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2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50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63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2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53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05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55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1657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Rehse</dc:creator>
  <cp:keywords/>
  <dc:description/>
  <cp:lastModifiedBy>Claus Rehse</cp:lastModifiedBy>
  <cp:revision>2</cp:revision>
  <cp:lastPrinted>2020-01-09T15:51:00Z</cp:lastPrinted>
  <dcterms:created xsi:type="dcterms:W3CDTF">2020-01-13T16:17:00Z</dcterms:created>
  <dcterms:modified xsi:type="dcterms:W3CDTF">2020-01-13T16:17:00Z</dcterms:modified>
</cp:coreProperties>
</file>