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60" w:rsidRPr="008E0460" w:rsidRDefault="008E0460" w:rsidP="008E0460">
      <w:pPr>
        <w:pStyle w:val="berarbeitung"/>
        <w:autoSpaceDE w:val="0"/>
        <w:autoSpaceDN w:val="0"/>
        <w:adjustRightInd w:val="0"/>
        <w:rPr>
          <w:sz w:val="28"/>
          <w:szCs w:val="28"/>
          <w:u w:val="single"/>
        </w:rPr>
      </w:pPr>
      <w:r w:rsidRPr="008E0460">
        <w:rPr>
          <w:sz w:val="22"/>
          <w:szCs w:val="22"/>
          <w:u w:val="single"/>
        </w:rPr>
        <w:t>Gewinn stärkt das Eigenkapital</w:t>
      </w:r>
    </w:p>
    <w:p w:rsidR="008E0460" w:rsidRPr="008E0460" w:rsidRDefault="008E0460" w:rsidP="008E0460">
      <w:pPr>
        <w:pStyle w:val="berarbeitung"/>
        <w:autoSpaceDE w:val="0"/>
        <w:autoSpaceDN w:val="0"/>
        <w:adjustRightInd w:val="0"/>
        <w:rPr>
          <w:sz w:val="28"/>
          <w:szCs w:val="28"/>
        </w:rPr>
      </w:pPr>
      <w:r w:rsidRPr="008E0460">
        <w:rPr>
          <w:sz w:val="28"/>
          <w:szCs w:val="28"/>
        </w:rPr>
        <w:t>Bankhaus Donner &amp; Reuschel erfolgreich</w:t>
      </w:r>
    </w:p>
    <w:p w:rsidR="008E0460" w:rsidRPr="008E0460" w:rsidRDefault="008E0460" w:rsidP="008E0460">
      <w:pPr>
        <w:pStyle w:val="berarbeitung"/>
        <w:autoSpaceDE w:val="0"/>
        <w:autoSpaceDN w:val="0"/>
        <w:adjustRightInd w:val="0"/>
        <w:rPr>
          <w:b w:val="0"/>
          <w:sz w:val="22"/>
          <w:szCs w:val="22"/>
        </w:rPr>
      </w:pPr>
    </w:p>
    <w:p w:rsidR="008E0460" w:rsidRPr="008E0460" w:rsidRDefault="008E0460" w:rsidP="008E0460">
      <w:pPr>
        <w:spacing w:line="276" w:lineRule="auto"/>
        <w:rPr>
          <w:sz w:val="22"/>
          <w:szCs w:val="22"/>
        </w:rPr>
      </w:pPr>
      <w:r w:rsidRPr="008E0460">
        <w:rPr>
          <w:sz w:val="22"/>
          <w:szCs w:val="22"/>
        </w:rPr>
        <w:t>(März</w:t>
      </w:r>
      <w:r w:rsidR="00854B6C">
        <w:rPr>
          <w:sz w:val="22"/>
          <w:szCs w:val="22"/>
        </w:rPr>
        <w:t>/April</w:t>
      </w:r>
      <w:bookmarkStart w:id="0" w:name="_GoBack"/>
      <w:bookmarkEnd w:id="0"/>
      <w:r w:rsidRPr="008E0460">
        <w:rPr>
          <w:sz w:val="22"/>
          <w:szCs w:val="22"/>
        </w:rPr>
        <w:t xml:space="preserve"> 2020) Mit einem Ergebnis in Höhe von 7,4</w:t>
      </w:r>
      <w:r w:rsidRPr="008E0460">
        <w:rPr>
          <w:color w:val="FF0000"/>
          <w:sz w:val="22"/>
          <w:szCs w:val="22"/>
        </w:rPr>
        <w:t xml:space="preserve"> </w:t>
      </w:r>
      <w:r w:rsidRPr="008E0460">
        <w:rPr>
          <w:sz w:val="22"/>
          <w:szCs w:val="22"/>
        </w:rPr>
        <w:t xml:space="preserve">Millionen Euro nach Steuern hat das Bankhaus Donner &amp; Reuschel das Geschäftsjahr 2019 erfolgreich abgeschlossen und wird mit diesem Gewinn das Eigenkapital erneut deutlich stärken. Damit bekräftigt die Privatbank der SIGNAL IDUNA Gruppe ihren nachhaltigen Wachstumskurs. </w:t>
      </w:r>
    </w:p>
    <w:p w:rsidR="008E0460" w:rsidRPr="008E0460" w:rsidRDefault="008E0460" w:rsidP="008E0460">
      <w:pPr>
        <w:spacing w:line="276" w:lineRule="auto"/>
        <w:rPr>
          <w:b w:val="0"/>
          <w:sz w:val="22"/>
          <w:szCs w:val="22"/>
        </w:rPr>
      </w:pPr>
    </w:p>
    <w:p w:rsidR="008E0460" w:rsidRPr="008E0460" w:rsidRDefault="008E0460" w:rsidP="008E0460">
      <w:pPr>
        <w:spacing w:line="276" w:lineRule="auto"/>
        <w:rPr>
          <w:b w:val="0"/>
          <w:sz w:val="22"/>
          <w:szCs w:val="22"/>
        </w:rPr>
      </w:pPr>
      <w:r w:rsidRPr="008E0460">
        <w:rPr>
          <w:b w:val="0"/>
          <w:sz w:val="22"/>
          <w:szCs w:val="22"/>
        </w:rPr>
        <w:t xml:space="preserve">Trotz des weiter bestehenden Negativzinsumfelds wuchs das Zinsergebnis auf 51,8 </w:t>
      </w:r>
      <w:r>
        <w:rPr>
          <w:b w:val="0"/>
          <w:sz w:val="22"/>
          <w:szCs w:val="22"/>
        </w:rPr>
        <w:t>Millionen</w:t>
      </w:r>
      <w:r w:rsidRPr="008E0460">
        <w:rPr>
          <w:b w:val="0"/>
          <w:sz w:val="22"/>
          <w:szCs w:val="22"/>
        </w:rPr>
        <w:t xml:space="preserve"> Euro (</w:t>
      </w:r>
      <w:r>
        <w:rPr>
          <w:b w:val="0"/>
          <w:sz w:val="22"/>
          <w:szCs w:val="22"/>
        </w:rPr>
        <w:t>Vorjahr</w:t>
      </w:r>
      <w:r w:rsidRPr="008E0460">
        <w:rPr>
          <w:b w:val="0"/>
          <w:sz w:val="22"/>
          <w:szCs w:val="22"/>
        </w:rPr>
        <w:t xml:space="preserve"> 49,8 </w:t>
      </w:r>
      <w:r>
        <w:rPr>
          <w:b w:val="0"/>
          <w:sz w:val="22"/>
          <w:szCs w:val="22"/>
        </w:rPr>
        <w:t>Millionen</w:t>
      </w:r>
      <w:r w:rsidRPr="008E0460">
        <w:rPr>
          <w:b w:val="0"/>
          <w:sz w:val="22"/>
          <w:szCs w:val="22"/>
        </w:rPr>
        <w:t xml:space="preserve"> Euro). Das Provisionsergebnis konnte auf 59,3 </w:t>
      </w:r>
      <w:r>
        <w:rPr>
          <w:b w:val="0"/>
          <w:sz w:val="22"/>
          <w:szCs w:val="22"/>
        </w:rPr>
        <w:t>Millionen</w:t>
      </w:r>
      <w:r w:rsidRPr="008E0460">
        <w:rPr>
          <w:b w:val="0"/>
          <w:sz w:val="22"/>
          <w:szCs w:val="22"/>
        </w:rPr>
        <w:t xml:space="preserve"> Euro gesteigert werden (</w:t>
      </w:r>
      <w:r>
        <w:rPr>
          <w:b w:val="0"/>
          <w:sz w:val="22"/>
          <w:szCs w:val="22"/>
        </w:rPr>
        <w:t>Vorjahr</w:t>
      </w:r>
      <w:r w:rsidRPr="008E0460">
        <w:rPr>
          <w:b w:val="0"/>
          <w:sz w:val="22"/>
          <w:szCs w:val="22"/>
        </w:rPr>
        <w:t xml:space="preserve"> 55,5 </w:t>
      </w:r>
      <w:r>
        <w:rPr>
          <w:b w:val="0"/>
          <w:sz w:val="22"/>
          <w:szCs w:val="22"/>
        </w:rPr>
        <w:t>Millionen</w:t>
      </w:r>
      <w:r w:rsidRPr="008E0460">
        <w:rPr>
          <w:b w:val="0"/>
          <w:sz w:val="22"/>
          <w:szCs w:val="22"/>
        </w:rPr>
        <w:t xml:space="preserve"> Euro). Die Bilanzsumme beträgt rund 4,5 </w:t>
      </w:r>
      <w:r>
        <w:rPr>
          <w:b w:val="0"/>
          <w:sz w:val="22"/>
          <w:szCs w:val="22"/>
        </w:rPr>
        <w:t>Milliarden</w:t>
      </w:r>
      <w:r w:rsidRPr="008E0460">
        <w:rPr>
          <w:b w:val="0"/>
          <w:sz w:val="22"/>
          <w:szCs w:val="22"/>
        </w:rPr>
        <w:t xml:space="preserve"> Euro (</w:t>
      </w:r>
      <w:r>
        <w:rPr>
          <w:b w:val="0"/>
          <w:sz w:val="22"/>
          <w:szCs w:val="22"/>
        </w:rPr>
        <w:t>Vorjahr</w:t>
      </w:r>
      <w:r w:rsidRPr="008E0460">
        <w:rPr>
          <w:b w:val="0"/>
          <w:sz w:val="22"/>
          <w:szCs w:val="22"/>
        </w:rPr>
        <w:t xml:space="preserve"> 4,3 </w:t>
      </w:r>
      <w:r>
        <w:rPr>
          <w:b w:val="0"/>
          <w:sz w:val="22"/>
          <w:szCs w:val="22"/>
        </w:rPr>
        <w:t>Millionen</w:t>
      </w:r>
      <w:r w:rsidRPr="008E0460">
        <w:rPr>
          <w:b w:val="0"/>
          <w:sz w:val="22"/>
          <w:szCs w:val="22"/>
        </w:rPr>
        <w:t xml:space="preserve"> Euro). </w:t>
      </w:r>
    </w:p>
    <w:p w:rsidR="008E0460" w:rsidRPr="008E0460" w:rsidRDefault="008E0460" w:rsidP="008E0460">
      <w:pPr>
        <w:spacing w:line="276" w:lineRule="auto"/>
        <w:rPr>
          <w:b w:val="0"/>
          <w:sz w:val="22"/>
          <w:szCs w:val="22"/>
        </w:rPr>
      </w:pPr>
    </w:p>
    <w:p w:rsidR="008E0460" w:rsidRPr="008E0460" w:rsidRDefault="008E0460" w:rsidP="008E0460">
      <w:pPr>
        <w:spacing w:line="276" w:lineRule="auto"/>
        <w:rPr>
          <w:b w:val="0"/>
          <w:sz w:val="22"/>
          <w:szCs w:val="22"/>
        </w:rPr>
      </w:pPr>
      <w:r w:rsidRPr="008E0460">
        <w:rPr>
          <w:b w:val="0"/>
          <w:sz w:val="22"/>
          <w:szCs w:val="22"/>
        </w:rPr>
        <w:t xml:space="preserve">Insbesondere im Asset Management baut das Bankhaus seine starke Marktposition stetig weiter aus. So ist es beispielsweise ein zuverlässiger Partner mit langjähriger Expertise für die speziellen Anforderungen von gesetzlichen Krankenkassen und Vorsorgeeinrichtungen. Ebenfalls bedeutend gewachsen ist die Verwahrstellenfunktion bei Donner &amp; Reuschel. Durch den Erwerb des Geschäftsfeldes „Dienstleistungen für unabhängige Vermögensverwalter“ vom Bankhaus Berenberg steigt Donner &amp; Reuschel zu den führenden Adressen im deutschsprachigen Raum auf. Im Kapitalmarktgeschäft konnte auch der Handel mit Anleihen und Zinsderivaten erheblich verstärkt werden. </w:t>
      </w:r>
    </w:p>
    <w:p w:rsidR="008E0460" w:rsidRPr="008E0460" w:rsidRDefault="008E0460" w:rsidP="008E0460">
      <w:pPr>
        <w:spacing w:line="276" w:lineRule="auto"/>
        <w:rPr>
          <w:b w:val="0"/>
          <w:sz w:val="22"/>
          <w:szCs w:val="22"/>
        </w:rPr>
      </w:pPr>
    </w:p>
    <w:p w:rsidR="008E0460" w:rsidRPr="008E0460" w:rsidRDefault="008E0460" w:rsidP="008E0460">
      <w:pPr>
        <w:spacing w:line="276" w:lineRule="auto"/>
        <w:rPr>
          <w:b w:val="0"/>
          <w:sz w:val="22"/>
          <w:szCs w:val="22"/>
        </w:rPr>
      </w:pPr>
      <w:r w:rsidRPr="008E0460">
        <w:rPr>
          <w:b w:val="0"/>
          <w:sz w:val="22"/>
          <w:szCs w:val="22"/>
        </w:rPr>
        <w:t>Im Unternehmer- und Immobilienkundengeschäft wurde das Finanzierungsvolumen deutlich weiter ausgebaut, was vor allem auf kurze Entscheidungswege und flache Hierarchien der Privatbank zurückzuführen ist. Wachstum bedeutet für das Bankhaus mit Sitz in Hamburg, München, Düsseldorf und Kiel auch Verstärkung der Berater-Teams an allen Standorten. Die innovativen Vermögensverwaltungskonzepte, die zukunftsorientiert und nachhaltig investieren, werden von den Kunden stark nachgefragt. Das herausragende Netzwerk der Donner &amp; Reuschel-Experten öffnet zudem exklusive Lösungen im Bereich Alternativer Investmentmöglichkeiten.</w:t>
      </w:r>
    </w:p>
    <w:sectPr w:rsidR="008E0460" w:rsidRPr="008E04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60"/>
    <w:rsid w:val="002964BC"/>
    <w:rsid w:val="00854B6C"/>
    <w:rsid w:val="008E0460"/>
    <w:rsid w:val="00972BFB"/>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B70B"/>
  <w15:chartTrackingRefBased/>
  <w15:docId w15:val="{6289F8DC-ABAF-4490-B119-33C41BCF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E0460"/>
    <w:rPr>
      <w:rFonts w:eastAsia="Times New Roman" w:cs="Times New Roman"/>
      <w:b/>
      <w:sz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b w:val="0"/>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b w:val="0"/>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b w:val="0"/>
      <w:szCs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b w:val="0"/>
      <w:i/>
      <w:iCs/>
      <w:sz w:val="20"/>
      <w:lang w:eastAsia="en-US"/>
    </w:rPr>
  </w:style>
  <w:style w:type="paragraph" w:styleId="berschrift5">
    <w:name w:val="heading 5"/>
    <w:basedOn w:val="Standard"/>
    <w:next w:val="Standard"/>
    <w:link w:val="berschrift5Zchn"/>
    <w:unhideWhenUsed/>
    <w:qFormat/>
    <w:rsid w:val="002964BC"/>
    <w:pPr>
      <w:keepNext/>
      <w:keepLines/>
      <w:spacing w:before="40"/>
      <w:outlineLvl w:val="4"/>
    </w:pPr>
    <w:rPr>
      <w:rFonts w:eastAsiaTheme="majorEastAsia" w:cstheme="majorBidi"/>
      <w:b w:val="0"/>
      <w:sz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b w:val="0"/>
      <w:sz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b w:val="0"/>
      <w:i/>
      <w:iCs/>
      <w:sz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b w:val="0"/>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b w:val="0"/>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eastAsiaTheme="minorHAnsi" w:cs="Consolas"/>
      <w:b w:val="0"/>
      <w:sz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eastAsiaTheme="minorHAnsi" w:cstheme="minorBidi"/>
      <w:b w:val="0"/>
      <w:sz w:val="20"/>
      <w:lang w:eastAsia="en-US"/>
    </w:rPr>
  </w:style>
  <w:style w:type="paragraph" w:styleId="Indexberschrift">
    <w:name w:val="index heading"/>
    <w:basedOn w:val="Standard"/>
    <w:next w:val="Index1"/>
    <w:uiPriority w:val="99"/>
    <w:semiHidden/>
    <w:unhideWhenUsed/>
    <w:rsid w:val="00972BFB"/>
    <w:rPr>
      <w:rFonts w:eastAsiaTheme="majorEastAsia" w:cstheme="majorBidi"/>
      <w:bCs/>
      <w:sz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b w:val="0"/>
      <w:szCs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eastAsiaTheme="minorHAnsi" w:cs="Consolas"/>
      <w:b w:val="0"/>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Cs/>
      <w:szCs w:val="24"/>
      <w:lang w:eastAsia="en-US"/>
    </w:rPr>
  </w:style>
  <w:style w:type="paragraph" w:styleId="Sprechblasentext">
    <w:name w:val="Balloon Text"/>
    <w:basedOn w:val="Standard"/>
    <w:link w:val="SprechblasentextZchn"/>
    <w:uiPriority w:val="99"/>
    <w:semiHidden/>
    <w:unhideWhenUsed/>
    <w:rsid w:val="002964BC"/>
    <w:rPr>
      <w:rFonts w:eastAsiaTheme="minorHAnsi" w:cs="Segoe UI"/>
      <w:b w:val="0"/>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eastAsiaTheme="minorHAnsi"/>
      <w:b w:val="0"/>
      <w:szCs w:val="24"/>
      <w:lang w:eastAsia="en-US"/>
    </w:rPr>
  </w:style>
  <w:style w:type="paragraph" w:styleId="Titel">
    <w:name w:val="Title"/>
    <w:basedOn w:val="Standard"/>
    <w:next w:val="Standard"/>
    <w:link w:val="TitelZchn"/>
    <w:uiPriority w:val="10"/>
    <w:qFormat/>
    <w:rsid w:val="002964BC"/>
    <w:pPr>
      <w:contextualSpacing/>
    </w:pPr>
    <w:rPr>
      <w:rFonts w:eastAsiaTheme="majorEastAsia" w:cstheme="majorBidi"/>
      <w:b w:val="0"/>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b w:val="0"/>
      <w:sz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b w:val="0"/>
      <w:szCs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stheme="minorBidi"/>
      <w:b w:val="0"/>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berarbeitung">
    <w:name w:val="Revision"/>
    <w:hidden/>
    <w:semiHidden/>
    <w:rsid w:val="008E0460"/>
    <w:rPr>
      <w:rFonts w:eastAsia="Times New Roman" w:cs="Times New Roman"/>
      <w:b/>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dcterms:created xsi:type="dcterms:W3CDTF">2020-02-24T10:19:00Z</dcterms:created>
  <dcterms:modified xsi:type="dcterms:W3CDTF">2020-03-11T07:22:00Z</dcterms:modified>
</cp:coreProperties>
</file>