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5DA0" w:rsidRPr="007E5DA0" w:rsidRDefault="007E5DA0" w:rsidP="007E5DA0">
      <w:pPr>
        <w:pStyle w:val="VisaHeadline"/>
        <w:autoSpaceDE/>
        <w:autoSpaceDN/>
        <w:adjustRightInd/>
        <w:jc w:val="center"/>
        <w:rPr>
          <w:rFonts w:ascii="Segoe UI" w:hAnsi="Segoe UI"/>
          <w:color w:val="1A1F71"/>
          <w:lang w:val="it-IT"/>
        </w:rPr>
      </w:pPr>
      <w:r w:rsidRPr="007E5DA0">
        <w:rPr>
          <w:rFonts w:ascii="Segoe UI" w:hAnsi="Segoe UI"/>
          <w:color w:val="1A1F71"/>
          <w:sz w:val="36"/>
          <w:lang w:val="it-IT"/>
        </w:rPr>
        <w:t xml:space="preserve">Visa Global Study identifica i principali fattori di successo per migliorare </w:t>
      </w:r>
      <w:r>
        <w:rPr>
          <w:rFonts w:ascii="Segoe UI" w:hAnsi="Segoe UI"/>
          <w:color w:val="1A1F71"/>
          <w:sz w:val="36"/>
          <w:lang w:val="it-IT"/>
        </w:rPr>
        <w:t>gli spostamenti</w:t>
      </w:r>
      <w:r w:rsidRPr="007E5DA0">
        <w:rPr>
          <w:rFonts w:ascii="Segoe UI" w:hAnsi="Segoe UI"/>
          <w:color w:val="1A1F71"/>
          <w:sz w:val="36"/>
          <w:lang w:val="it-IT"/>
        </w:rPr>
        <w:t xml:space="preserve"> quotidiani e creare città più intelligenti e</w:t>
      </w:r>
      <w:r>
        <w:rPr>
          <w:rFonts w:ascii="Segoe UI" w:hAnsi="Segoe UI"/>
          <w:color w:val="1A1F71"/>
          <w:sz w:val="36"/>
          <w:lang w:val="it-IT"/>
        </w:rPr>
        <w:t>d</w:t>
      </w:r>
      <w:r w:rsidRPr="007E5DA0">
        <w:rPr>
          <w:rFonts w:ascii="Segoe UI" w:hAnsi="Segoe UI"/>
          <w:color w:val="1A1F71"/>
          <w:sz w:val="36"/>
          <w:lang w:val="it-IT"/>
        </w:rPr>
        <w:t xml:space="preserve"> efficienti</w:t>
      </w:r>
    </w:p>
    <w:p w:rsidR="007E5DA0" w:rsidRPr="00A948E2" w:rsidRDefault="007E5DA0" w:rsidP="007E5DA0"/>
    <w:p w:rsidR="007E5DA0" w:rsidRPr="00A948E2" w:rsidRDefault="007E5DA0" w:rsidP="007E5DA0">
      <w:pPr>
        <w:spacing w:after="0" w:line="240" w:lineRule="auto"/>
        <w:jc w:val="both"/>
        <w:rPr>
          <w:rFonts w:cstheme="minorHAnsi"/>
        </w:rPr>
      </w:pPr>
      <w:r w:rsidRPr="00A948E2">
        <w:rPr>
          <w:rFonts w:cstheme="minorHAnsi"/>
        </w:rPr>
        <w:t>• Visa e Stanford University pubblicano uno dei più vasti studi sui trasporti a livello mondiale cui hanno partecipato oltre 19.000 pendolari in 19 Paesi</w:t>
      </w:r>
    </w:p>
    <w:p w:rsidR="007E5DA0" w:rsidRPr="00A948E2" w:rsidRDefault="007E5DA0" w:rsidP="007E5DA0">
      <w:pPr>
        <w:spacing w:after="0" w:line="240" w:lineRule="auto"/>
        <w:jc w:val="both"/>
        <w:rPr>
          <w:rFonts w:cstheme="minorHAnsi"/>
        </w:rPr>
      </w:pPr>
      <w:r w:rsidRPr="00A948E2">
        <w:rPr>
          <w:rFonts w:cstheme="minorHAnsi"/>
        </w:rPr>
        <w:t>• Lo studio valuta le tendenze e le sfide nei settori dei trasporti pubblici e dei parcheggi, rispetto alla crescita della popolazione e ai modelli di migrazione urbana</w:t>
      </w:r>
    </w:p>
    <w:p w:rsidR="007E5DA0" w:rsidRPr="00A948E2" w:rsidRDefault="007E5DA0" w:rsidP="007E5DA0">
      <w:pPr>
        <w:spacing w:after="0" w:line="240" w:lineRule="auto"/>
        <w:jc w:val="both"/>
        <w:rPr>
          <w:rFonts w:cstheme="minorHAnsi"/>
        </w:rPr>
      </w:pPr>
    </w:p>
    <w:p w:rsidR="007E5DA0" w:rsidRPr="00A948E2" w:rsidRDefault="007E5DA0" w:rsidP="007E5DA0">
      <w:pPr>
        <w:spacing w:after="0" w:line="240" w:lineRule="auto"/>
        <w:jc w:val="both"/>
        <w:rPr>
          <w:rFonts w:cstheme="minorHAnsi"/>
        </w:rPr>
      </w:pPr>
      <w:r w:rsidRPr="00A948E2">
        <w:rPr>
          <w:rFonts w:cstheme="minorHAnsi"/>
          <w:i/>
        </w:rPr>
        <w:t xml:space="preserve">Mobile World Congress, 25 febbraio 2019 - </w:t>
      </w:r>
      <w:r w:rsidRPr="00A948E2">
        <w:rPr>
          <w:rFonts w:cstheme="minorHAnsi"/>
        </w:rPr>
        <w:t>Visa (NYSE: V), in collaborazione con Stanford University, ha lanciato uno dei più vasti studi globali esaminando la crescente domanda d</w:t>
      </w:r>
      <w:r w:rsidR="00EF404A" w:rsidRPr="00A948E2">
        <w:rPr>
          <w:rFonts w:cstheme="minorHAnsi"/>
        </w:rPr>
        <w:t>e</w:t>
      </w:r>
      <w:r w:rsidRPr="00A948E2">
        <w:rPr>
          <w:rFonts w:cstheme="minorHAnsi"/>
        </w:rPr>
        <w:t>i trasporti pubblici e privati ​​e l'importante ruolo del commercio digitale nel</w:t>
      </w:r>
      <w:r w:rsidR="00101163" w:rsidRPr="00A948E2">
        <w:rPr>
          <w:rFonts w:cstheme="minorHAnsi"/>
        </w:rPr>
        <w:t xml:space="preserve"> </w:t>
      </w:r>
      <w:r w:rsidRPr="00A948E2">
        <w:rPr>
          <w:rFonts w:cstheme="minorHAnsi"/>
        </w:rPr>
        <w:t>guida</w:t>
      </w:r>
      <w:r w:rsidR="00101163" w:rsidRPr="00A948E2">
        <w:rPr>
          <w:rFonts w:cstheme="minorHAnsi"/>
        </w:rPr>
        <w:t>re</w:t>
      </w:r>
      <w:r w:rsidRPr="00A948E2">
        <w:rPr>
          <w:rFonts w:cstheme="minorHAnsi"/>
        </w:rPr>
        <w:t xml:space="preserve"> </w:t>
      </w:r>
      <w:r w:rsidR="00101163" w:rsidRPr="00A948E2">
        <w:rPr>
          <w:rFonts w:cstheme="minorHAnsi"/>
        </w:rPr>
        <w:t xml:space="preserve">una </w:t>
      </w:r>
      <w:r w:rsidRPr="00A948E2">
        <w:rPr>
          <w:rFonts w:cstheme="minorHAnsi"/>
        </w:rPr>
        <w:t>crescita</w:t>
      </w:r>
      <w:r w:rsidR="00101163" w:rsidRPr="00A948E2">
        <w:rPr>
          <w:rFonts w:cstheme="minorHAnsi"/>
        </w:rPr>
        <w:t xml:space="preserve"> sostenibile</w:t>
      </w:r>
      <w:r w:rsidRPr="00A948E2">
        <w:rPr>
          <w:rFonts w:cstheme="minorHAnsi"/>
        </w:rPr>
        <w:t>.</w:t>
      </w:r>
    </w:p>
    <w:p w:rsidR="007E5DA0" w:rsidRPr="00A948E2" w:rsidRDefault="007E5DA0" w:rsidP="007E5DA0">
      <w:pPr>
        <w:spacing w:after="0" w:line="240" w:lineRule="auto"/>
        <w:jc w:val="both"/>
        <w:rPr>
          <w:rFonts w:cstheme="minorHAnsi"/>
        </w:rPr>
      </w:pPr>
    </w:p>
    <w:p w:rsidR="007E5DA0" w:rsidRPr="00A948E2" w:rsidRDefault="007E5DA0" w:rsidP="007E5DA0">
      <w:pPr>
        <w:spacing w:after="0" w:line="240" w:lineRule="auto"/>
        <w:jc w:val="both"/>
        <w:rPr>
          <w:rFonts w:cstheme="minorHAnsi"/>
        </w:rPr>
      </w:pPr>
      <w:r w:rsidRPr="00A948E2">
        <w:rPr>
          <w:rFonts w:cstheme="minorHAnsi"/>
        </w:rPr>
        <w:t>Secondo le Nazioni Unite</w:t>
      </w:r>
      <w:r w:rsidR="00101163" w:rsidRPr="00A948E2">
        <w:rPr>
          <w:rStyle w:val="Rimandonotaapidipagina"/>
          <w:rFonts w:cstheme="minorHAnsi"/>
        </w:rPr>
        <w:footnoteReference w:id="1"/>
      </w:r>
      <w:r w:rsidRPr="00A948E2">
        <w:rPr>
          <w:rFonts w:cstheme="minorHAnsi"/>
        </w:rPr>
        <w:t>, entro il 2050, il 68% della popolazione mondiale vivrà nei centri urbani - e il numero di "megalopoli" con popolazioni superiori a 10 milioni di persone</w:t>
      </w:r>
      <w:r w:rsidR="00101163" w:rsidRPr="00A948E2">
        <w:rPr>
          <w:rFonts w:cstheme="minorHAnsi"/>
        </w:rPr>
        <w:t>,</w:t>
      </w:r>
      <w:r w:rsidRPr="00A948E2">
        <w:rPr>
          <w:rFonts w:cstheme="minorHAnsi"/>
        </w:rPr>
        <w:t xml:space="preserve"> aumenterà da 43 a 51 </w:t>
      </w:r>
      <w:r w:rsidR="00101163" w:rsidRPr="00A948E2">
        <w:rPr>
          <w:rFonts w:cstheme="minorHAnsi"/>
        </w:rPr>
        <w:t xml:space="preserve">entro </w:t>
      </w:r>
      <w:r w:rsidRPr="00A948E2">
        <w:rPr>
          <w:rFonts w:cstheme="minorHAnsi"/>
        </w:rPr>
        <w:t>lo stesso periodo.</w:t>
      </w:r>
    </w:p>
    <w:p w:rsidR="007E5DA0" w:rsidRPr="00A948E2" w:rsidRDefault="007E5DA0" w:rsidP="007E5DA0">
      <w:pPr>
        <w:spacing w:after="0" w:line="240" w:lineRule="auto"/>
        <w:jc w:val="both"/>
        <w:rPr>
          <w:rFonts w:cstheme="minorHAnsi"/>
        </w:rPr>
      </w:pPr>
    </w:p>
    <w:p w:rsidR="007E5DA0" w:rsidRPr="00A948E2" w:rsidRDefault="007E5DA0" w:rsidP="007E5DA0">
      <w:pPr>
        <w:spacing w:after="0" w:line="240" w:lineRule="auto"/>
        <w:jc w:val="both"/>
        <w:rPr>
          <w:rFonts w:cstheme="minorHAnsi"/>
        </w:rPr>
      </w:pPr>
      <w:r w:rsidRPr="00A948E2">
        <w:rPr>
          <w:rFonts w:cstheme="minorHAnsi"/>
        </w:rPr>
        <w:t>Basandosi sull'esperienza di Visa con gli operatori d</w:t>
      </w:r>
      <w:r w:rsidR="002B3690" w:rsidRPr="00A948E2">
        <w:rPr>
          <w:rFonts w:cstheme="minorHAnsi"/>
        </w:rPr>
        <w:t>e</w:t>
      </w:r>
      <w:r w:rsidRPr="00A948E2">
        <w:rPr>
          <w:rFonts w:cstheme="minorHAnsi"/>
        </w:rPr>
        <w:t>i tra</w:t>
      </w:r>
      <w:r w:rsidR="002B3690" w:rsidRPr="00A948E2">
        <w:rPr>
          <w:rFonts w:cstheme="minorHAnsi"/>
        </w:rPr>
        <w:t>sporti</w:t>
      </w:r>
      <w:r w:rsidRPr="00A948E2">
        <w:rPr>
          <w:rFonts w:cstheme="minorHAnsi"/>
        </w:rPr>
        <w:t>, le aziende automobilistiche e le start-up tecnologiche, Visa ha commissionato uno studio globale, "Il futuro dei trasporti: mobilità nell'epoca dell</w:t>
      </w:r>
      <w:r w:rsidR="002B3690" w:rsidRPr="00A948E2">
        <w:rPr>
          <w:rFonts w:cstheme="minorHAnsi"/>
        </w:rPr>
        <w:t>e</w:t>
      </w:r>
      <w:r w:rsidRPr="00A948E2">
        <w:rPr>
          <w:rFonts w:cstheme="minorHAnsi"/>
        </w:rPr>
        <w:t xml:space="preserve"> megalopoli" per comprendere meglio le sfide che i pendolari devono affrontare oggi e </w:t>
      </w:r>
      <w:r w:rsidR="00101163" w:rsidRPr="00A948E2">
        <w:rPr>
          <w:rFonts w:cstheme="minorHAnsi"/>
        </w:rPr>
        <w:t>in</w:t>
      </w:r>
      <w:r w:rsidRPr="00A948E2">
        <w:rPr>
          <w:rFonts w:cstheme="minorHAnsi"/>
        </w:rPr>
        <w:t xml:space="preserve"> futuro. I risultati principali sono stati combinati con </w:t>
      </w:r>
      <w:r w:rsidR="00101163" w:rsidRPr="00A948E2">
        <w:rPr>
          <w:rFonts w:cstheme="minorHAnsi"/>
        </w:rPr>
        <w:t>il panorama di</w:t>
      </w:r>
      <w:r w:rsidRPr="00A948E2">
        <w:rPr>
          <w:rFonts w:cstheme="minorHAnsi"/>
        </w:rPr>
        <w:t xml:space="preserve"> innovazioni esistenti </w:t>
      </w:r>
      <w:r w:rsidR="002B3690" w:rsidRPr="00A948E2">
        <w:rPr>
          <w:rFonts w:cstheme="minorHAnsi"/>
        </w:rPr>
        <w:t>o prossime</w:t>
      </w:r>
      <w:r w:rsidR="00101163" w:rsidRPr="00A948E2">
        <w:rPr>
          <w:rFonts w:cstheme="minorHAnsi"/>
        </w:rPr>
        <w:t xml:space="preserve"> future,</w:t>
      </w:r>
      <w:r w:rsidRPr="00A948E2">
        <w:rPr>
          <w:rFonts w:cstheme="minorHAnsi"/>
        </w:rPr>
        <w:t xml:space="preserve"> fornite dagli esperti della Stanford University, per comprendere meglio </w:t>
      </w:r>
      <w:r w:rsidR="00101163" w:rsidRPr="00A948E2">
        <w:rPr>
          <w:rFonts w:cstheme="minorHAnsi"/>
        </w:rPr>
        <w:t>i gap</w:t>
      </w:r>
      <w:r w:rsidRPr="00A948E2">
        <w:rPr>
          <w:rFonts w:cstheme="minorHAnsi"/>
        </w:rPr>
        <w:t xml:space="preserve"> tecnologic</w:t>
      </w:r>
      <w:r w:rsidR="00101163" w:rsidRPr="00A948E2">
        <w:rPr>
          <w:rFonts w:cstheme="minorHAnsi"/>
        </w:rPr>
        <w:t xml:space="preserve">i </w:t>
      </w:r>
      <w:r w:rsidR="00DE211A" w:rsidRPr="00A948E2">
        <w:rPr>
          <w:rFonts w:cstheme="minorHAnsi"/>
        </w:rPr>
        <w:t>nell’indirizzare quelle sfide</w:t>
      </w:r>
      <w:r w:rsidRPr="00A948E2">
        <w:rPr>
          <w:rFonts w:cstheme="minorHAnsi"/>
        </w:rPr>
        <w:t>.</w:t>
      </w:r>
    </w:p>
    <w:p w:rsidR="007E5DA0" w:rsidRPr="00A948E2" w:rsidRDefault="007E5DA0" w:rsidP="007E5DA0">
      <w:pPr>
        <w:spacing w:after="0" w:line="240" w:lineRule="auto"/>
        <w:jc w:val="both"/>
        <w:rPr>
          <w:rFonts w:cstheme="minorHAnsi"/>
        </w:rPr>
      </w:pPr>
    </w:p>
    <w:p w:rsidR="007E5DA0" w:rsidRPr="00A948E2" w:rsidRDefault="007E5DA0" w:rsidP="007E5DA0">
      <w:pPr>
        <w:spacing w:after="0" w:line="240" w:lineRule="auto"/>
        <w:jc w:val="both"/>
        <w:rPr>
          <w:rFonts w:cstheme="minorHAnsi"/>
        </w:rPr>
      </w:pPr>
      <w:r w:rsidRPr="00A948E2">
        <w:rPr>
          <w:rFonts w:cstheme="minorHAnsi"/>
        </w:rPr>
        <w:t xml:space="preserve">I pagamenti sono il fulcro di ogni forma di viaggio e continueranno a diventare </w:t>
      </w:r>
      <w:r w:rsidR="002B3690" w:rsidRPr="00A948E2">
        <w:rPr>
          <w:rFonts w:cstheme="minorHAnsi"/>
        </w:rPr>
        <w:t xml:space="preserve">sempre </w:t>
      </w:r>
      <w:r w:rsidRPr="00A948E2">
        <w:rPr>
          <w:rFonts w:cstheme="minorHAnsi"/>
        </w:rPr>
        <w:t xml:space="preserve">più completi man mano che le città si spostano verso il trasporto pubblico </w:t>
      </w:r>
      <w:r w:rsidR="002B3690" w:rsidRPr="00A948E2">
        <w:rPr>
          <w:rFonts w:cstheme="minorHAnsi"/>
        </w:rPr>
        <w:t>contactless</w:t>
      </w:r>
      <w:r w:rsidRPr="00A948E2">
        <w:rPr>
          <w:rFonts w:cstheme="minorHAnsi"/>
        </w:rPr>
        <w:t>, i pagamenti digitali per i parcheggi e i servizi di noleggio come biciclette o scooter.</w:t>
      </w:r>
    </w:p>
    <w:p w:rsidR="007E5DA0" w:rsidRPr="00A948E2" w:rsidRDefault="007E5DA0" w:rsidP="007E5DA0">
      <w:pPr>
        <w:spacing w:after="0" w:line="240" w:lineRule="auto"/>
        <w:jc w:val="both"/>
        <w:rPr>
          <w:rFonts w:cstheme="minorHAnsi"/>
        </w:rPr>
      </w:pPr>
    </w:p>
    <w:p w:rsidR="007E5DA0" w:rsidRPr="00A948E2" w:rsidRDefault="007E5DA0" w:rsidP="007E5DA0">
      <w:pPr>
        <w:spacing w:after="0" w:line="240" w:lineRule="auto"/>
        <w:jc w:val="both"/>
        <w:rPr>
          <w:rFonts w:cstheme="minorHAnsi"/>
        </w:rPr>
      </w:pPr>
      <w:r w:rsidRPr="00A948E2">
        <w:rPr>
          <w:rFonts w:cstheme="minorHAnsi"/>
        </w:rPr>
        <w:t xml:space="preserve">Mike </w:t>
      </w:r>
      <w:proofErr w:type="spellStart"/>
      <w:r w:rsidRPr="00A948E2">
        <w:rPr>
          <w:rFonts w:cstheme="minorHAnsi"/>
        </w:rPr>
        <w:t>Lemberger</w:t>
      </w:r>
      <w:proofErr w:type="spellEnd"/>
      <w:r w:rsidRPr="00A948E2">
        <w:rPr>
          <w:rFonts w:cstheme="minorHAnsi"/>
        </w:rPr>
        <w:t xml:space="preserve">, SVP, Product Solutions Europe, Visa spiega: "Il futuro successo delle nostre città si intreccia - e fa affidamento </w:t>
      </w:r>
      <w:r w:rsidR="002B3690" w:rsidRPr="00A948E2">
        <w:rPr>
          <w:rFonts w:cstheme="minorHAnsi"/>
        </w:rPr>
        <w:t xml:space="preserve">- </w:t>
      </w:r>
      <w:r w:rsidRPr="00A948E2">
        <w:rPr>
          <w:rFonts w:cstheme="minorHAnsi"/>
        </w:rPr>
        <w:t xml:space="preserve">sul futuro dei trasporti e della mobilità. Visa e i nostri partner hanno un ruolo importante da svolgere, sia nel semplificare l'esperienza di pagamento per milioni di pendolari in tutto il mondo, sia nel sostenere </w:t>
      </w:r>
      <w:r w:rsidR="002B3690" w:rsidRPr="00A948E2">
        <w:rPr>
          <w:rFonts w:cstheme="minorHAnsi"/>
        </w:rPr>
        <w:t>i</w:t>
      </w:r>
      <w:r w:rsidRPr="00A948E2">
        <w:rPr>
          <w:rFonts w:cstheme="minorHAnsi"/>
        </w:rPr>
        <w:t>l trasporto pubblico nella ricerca di soluzioni di trasporto sostenibili e convenienti che migliorino la vita delle persone che l</w:t>
      </w:r>
      <w:r w:rsidR="00DE211A" w:rsidRPr="00A948E2">
        <w:rPr>
          <w:rFonts w:cstheme="minorHAnsi"/>
        </w:rPr>
        <w:t>e</w:t>
      </w:r>
      <w:r w:rsidRPr="00A948E2">
        <w:rPr>
          <w:rFonts w:cstheme="minorHAnsi"/>
        </w:rPr>
        <w:t xml:space="preserve"> utilizzano.</w:t>
      </w:r>
      <w:r w:rsidR="00DE211A" w:rsidRPr="00A948E2">
        <w:rPr>
          <w:rFonts w:cstheme="minorHAnsi"/>
        </w:rPr>
        <w:t>”</w:t>
      </w:r>
    </w:p>
    <w:p w:rsidR="007E5DA0" w:rsidRPr="00A948E2" w:rsidRDefault="007E5DA0" w:rsidP="007E5DA0">
      <w:pPr>
        <w:spacing w:after="0" w:line="240" w:lineRule="auto"/>
        <w:jc w:val="both"/>
        <w:rPr>
          <w:rFonts w:cstheme="minorHAnsi"/>
        </w:rPr>
      </w:pPr>
    </w:p>
    <w:p w:rsidR="007E5DA0" w:rsidRPr="00A948E2" w:rsidRDefault="007E5DA0" w:rsidP="007E5DA0">
      <w:pPr>
        <w:spacing w:after="0" w:line="240" w:lineRule="auto"/>
        <w:jc w:val="both"/>
        <w:rPr>
          <w:rFonts w:cstheme="minorHAnsi"/>
        </w:rPr>
      </w:pPr>
      <w:r w:rsidRPr="00A948E2">
        <w:rPr>
          <w:rFonts w:cstheme="minorHAnsi"/>
        </w:rPr>
        <w:t xml:space="preserve">Herman </w:t>
      </w:r>
      <w:proofErr w:type="spellStart"/>
      <w:r w:rsidRPr="00A948E2">
        <w:rPr>
          <w:rFonts w:cstheme="minorHAnsi"/>
        </w:rPr>
        <w:t>Donner</w:t>
      </w:r>
      <w:proofErr w:type="spellEnd"/>
      <w:r w:rsidRPr="00A948E2">
        <w:rPr>
          <w:rFonts w:cstheme="minorHAnsi"/>
        </w:rPr>
        <w:t xml:space="preserve">, PhD e </w:t>
      </w:r>
      <w:proofErr w:type="spellStart"/>
      <w:r w:rsidRPr="00A948E2">
        <w:rPr>
          <w:rFonts w:cstheme="minorHAnsi"/>
        </w:rPr>
        <w:t>Postdoctoral</w:t>
      </w:r>
      <w:proofErr w:type="spellEnd"/>
      <w:r w:rsidRPr="00A948E2">
        <w:rPr>
          <w:rFonts w:cstheme="minorHAnsi"/>
        </w:rPr>
        <w:t xml:space="preserve"> </w:t>
      </w:r>
      <w:proofErr w:type="spellStart"/>
      <w:r w:rsidRPr="00A948E2">
        <w:rPr>
          <w:rFonts w:cstheme="minorHAnsi"/>
        </w:rPr>
        <w:t>Researcher</w:t>
      </w:r>
      <w:proofErr w:type="spellEnd"/>
      <w:r w:rsidRPr="00A948E2">
        <w:rPr>
          <w:rFonts w:cstheme="minorHAnsi"/>
        </w:rPr>
        <w:t xml:space="preserve"> della Stanford University è stato co-autore del rapporto </w:t>
      </w:r>
      <w:r w:rsidR="002B3690" w:rsidRPr="00A948E2">
        <w:rPr>
          <w:rFonts w:cstheme="minorHAnsi"/>
        </w:rPr>
        <w:t>ch</w:t>
      </w:r>
      <w:r w:rsidRPr="00A948E2">
        <w:rPr>
          <w:rFonts w:cstheme="minorHAnsi"/>
        </w:rPr>
        <w:t xml:space="preserve">e </w:t>
      </w:r>
      <w:r w:rsidR="002B3690" w:rsidRPr="00A948E2">
        <w:rPr>
          <w:rFonts w:cstheme="minorHAnsi"/>
        </w:rPr>
        <w:t xml:space="preserve">ha </w:t>
      </w:r>
      <w:r w:rsidRPr="00A948E2">
        <w:rPr>
          <w:rFonts w:cstheme="minorHAnsi"/>
        </w:rPr>
        <w:t xml:space="preserve">riassunto: "Quando si guarda </w:t>
      </w:r>
      <w:r w:rsidR="002B3690" w:rsidRPr="00A948E2">
        <w:rPr>
          <w:rFonts w:cstheme="minorHAnsi"/>
        </w:rPr>
        <w:t>a</w:t>
      </w:r>
      <w:r w:rsidRPr="00A948E2">
        <w:rPr>
          <w:rFonts w:cstheme="minorHAnsi"/>
        </w:rPr>
        <w:t xml:space="preserve">l panorama tecnologico, esistono già molti prodotti che potrebbero facilmente </w:t>
      </w:r>
      <w:r w:rsidR="002B3690" w:rsidRPr="00A948E2">
        <w:rPr>
          <w:rFonts w:cstheme="minorHAnsi"/>
        </w:rPr>
        <w:t xml:space="preserve">risolvere </w:t>
      </w:r>
      <w:r w:rsidRPr="00A948E2">
        <w:rPr>
          <w:rFonts w:cstheme="minorHAnsi"/>
        </w:rPr>
        <w:t>le frustrazioni quotidiane de</w:t>
      </w:r>
      <w:r w:rsidR="00DE211A" w:rsidRPr="00A948E2">
        <w:rPr>
          <w:rFonts w:cstheme="minorHAnsi"/>
        </w:rPr>
        <w:t>i pendolari</w:t>
      </w:r>
      <w:r w:rsidRPr="00A948E2">
        <w:rPr>
          <w:rFonts w:cstheme="minorHAnsi"/>
        </w:rPr>
        <w:t>. Tuttavia, queste soluzioni</w:t>
      </w:r>
      <w:r w:rsidR="002B3690" w:rsidRPr="00A948E2">
        <w:rPr>
          <w:rFonts w:cstheme="minorHAnsi"/>
        </w:rPr>
        <w:t xml:space="preserve"> non</w:t>
      </w:r>
      <w:r w:rsidRPr="00A948E2">
        <w:rPr>
          <w:rFonts w:cstheme="minorHAnsi"/>
        </w:rPr>
        <w:t xml:space="preserve"> dovrebbe</w:t>
      </w:r>
      <w:r w:rsidR="002B3690" w:rsidRPr="00A948E2">
        <w:rPr>
          <w:rFonts w:cstheme="minorHAnsi"/>
        </w:rPr>
        <w:t>ro</w:t>
      </w:r>
      <w:r w:rsidRPr="00A948E2">
        <w:rPr>
          <w:rFonts w:cstheme="minorHAnsi"/>
        </w:rPr>
        <w:t xml:space="preserve"> essere sviluppat</w:t>
      </w:r>
      <w:r w:rsidR="002B3690" w:rsidRPr="00A948E2">
        <w:rPr>
          <w:rFonts w:cstheme="minorHAnsi"/>
        </w:rPr>
        <w:t>e</w:t>
      </w:r>
      <w:r w:rsidRPr="00A948E2">
        <w:rPr>
          <w:rFonts w:cstheme="minorHAnsi"/>
        </w:rPr>
        <w:t xml:space="preserve"> separatamente. Un'importante sfida consiste quindi nel</w:t>
      </w:r>
      <w:r w:rsidR="002B3690" w:rsidRPr="00A948E2">
        <w:rPr>
          <w:rFonts w:cstheme="minorHAnsi"/>
        </w:rPr>
        <w:t>l’</w:t>
      </w:r>
      <w:r w:rsidRPr="00A948E2">
        <w:rPr>
          <w:rFonts w:cstheme="minorHAnsi"/>
        </w:rPr>
        <w:t>individuare in primo luogo le tecnologie che forniscono prodotti idonei per il mercato, gestendone poi l'attuazione in collaborazione con un'ampia gamma di parti interessate, compresi fornitori di mobilità, società tecnologiche, proprietari di infrastrutture e agenzie di trasporto pubblico. Dalle nostre ricerche, riteniamo che molti di questi piccoli cambiamenti incrementali poss</w:t>
      </w:r>
      <w:r w:rsidR="002B3690" w:rsidRPr="00A948E2">
        <w:rPr>
          <w:rFonts w:cstheme="minorHAnsi"/>
        </w:rPr>
        <w:t>o</w:t>
      </w:r>
      <w:r w:rsidRPr="00A948E2">
        <w:rPr>
          <w:rFonts w:cstheme="minorHAnsi"/>
        </w:rPr>
        <w:t xml:space="preserve">no potenzialmente fare </w:t>
      </w:r>
      <w:r w:rsidR="002B3690" w:rsidRPr="00A948E2">
        <w:rPr>
          <w:rFonts w:cstheme="minorHAnsi"/>
        </w:rPr>
        <w:t>l</w:t>
      </w:r>
      <w:r w:rsidRPr="00A948E2">
        <w:rPr>
          <w:rFonts w:cstheme="minorHAnsi"/>
        </w:rPr>
        <w:t>a differenza nei viaggi quotidiani dell</w:t>
      </w:r>
      <w:r w:rsidR="002B3690" w:rsidRPr="00A948E2">
        <w:rPr>
          <w:rFonts w:cstheme="minorHAnsi"/>
        </w:rPr>
        <w:t>a gente</w:t>
      </w:r>
      <w:r w:rsidRPr="00A948E2">
        <w:rPr>
          <w:rFonts w:cstheme="minorHAnsi"/>
        </w:rPr>
        <w:t>, sia che servano a trovare parcheggi</w:t>
      </w:r>
      <w:r w:rsidR="002B3690" w:rsidRPr="00A948E2">
        <w:rPr>
          <w:rFonts w:cstheme="minorHAnsi"/>
        </w:rPr>
        <w:t>o</w:t>
      </w:r>
      <w:r w:rsidRPr="00A948E2">
        <w:rPr>
          <w:rFonts w:cstheme="minorHAnsi"/>
        </w:rPr>
        <w:t xml:space="preserve">, </w:t>
      </w:r>
      <w:r w:rsidR="002B3690" w:rsidRPr="00A948E2">
        <w:rPr>
          <w:rFonts w:cstheme="minorHAnsi"/>
        </w:rPr>
        <w:t xml:space="preserve">sia </w:t>
      </w:r>
      <w:r w:rsidRPr="00A948E2">
        <w:rPr>
          <w:rFonts w:cstheme="minorHAnsi"/>
        </w:rPr>
        <w:t>che</w:t>
      </w:r>
      <w:r w:rsidR="002B3690" w:rsidRPr="00A948E2">
        <w:rPr>
          <w:rFonts w:cstheme="minorHAnsi"/>
        </w:rPr>
        <w:t xml:space="preserve"> servano a</w:t>
      </w:r>
      <w:r w:rsidRPr="00A948E2">
        <w:rPr>
          <w:rFonts w:cstheme="minorHAnsi"/>
        </w:rPr>
        <w:t xml:space="preserve"> otten</w:t>
      </w:r>
      <w:r w:rsidR="002B3690" w:rsidRPr="00A948E2">
        <w:rPr>
          <w:rFonts w:cstheme="minorHAnsi"/>
        </w:rPr>
        <w:t>ere</w:t>
      </w:r>
      <w:r w:rsidRPr="00A948E2">
        <w:rPr>
          <w:rFonts w:cstheme="minorHAnsi"/>
        </w:rPr>
        <w:t xml:space="preserve"> il prezzo migliore per rifornire la propria auto o pianificare il viaggio con i mezzi pubblici.”</w:t>
      </w:r>
    </w:p>
    <w:p w:rsidR="00D73C0F" w:rsidRPr="00A948E2" w:rsidRDefault="00D73C0F" w:rsidP="007E5DA0">
      <w:pPr>
        <w:spacing w:after="0" w:line="240" w:lineRule="auto"/>
        <w:jc w:val="both"/>
        <w:rPr>
          <w:rFonts w:cstheme="minorHAnsi"/>
        </w:rPr>
      </w:pPr>
    </w:p>
    <w:p w:rsidR="00D73C0F" w:rsidRPr="00A948E2" w:rsidRDefault="00D73C0F" w:rsidP="007E5DA0">
      <w:pPr>
        <w:spacing w:after="0" w:line="240" w:lineRule="auto"/>
        <w:jc w:val="both"/>
        <w:rPr>
          <w:rFonts w:cstheme="minorHAnsi"/>
        </w:rPr>
      </w:pPr>
      <w:r w:rsidRPr="00A948E2">
        <w:rPr>
          <w:rFonts w:cstheme="minorHAnsi"/>
        </w:rPr>
        <w:lastRenderedPageBreak/>
        <w:t xml:space="preserve">Lo studio riflette il feedback di 19.000 consumatori in 19 Paesi e ha identificato le sfide significative </w:t>
      </w:r>
      <w:r w:rsidR="00DE211A" w:rsidRPr="00A948E2">
        <w:rPr>
          <w:rFonts w:cstheme="minorHAnsi"/>
        </w:rPr>
        <w:t xml:space="preserve">che </w:t>
      </w:r>
      <w:r w:rsidR="00AD3E0A" w:rsidRPr="00A948E2">
        <w:rPr>
          <w:rFonts w:cstheme="minorHAnsi"/>
        </w:rPr>
        <w:t>i centri urbani sempre più popolosi</w:t>
      </w:r>
      <w:r w:rsidR="00DE211A" w:rsidRPr="00A948E2">
        <w:rPr>
          <w:rFonts w:cstheme="minorHAnsi"/>
        </w:rPr>
        <w:t xml:space="preserve"> dovranno affrontare</w:t>
      </w:r>
      <w:r w:rsidRPr="00A948E2">
        <w:rPr>
          <w:rFonts w:cstheme="minorHAnsi"/>
        </w:rPr>
        <w:t xml:space="preserve">, tra cui: </w:t>
      </w:r>
    </w:p>
    <w:p w:rsidR="00AD3E0A" w:rsidRPr="00A948E2" w:rsidRDefault="00AD3E0A" w:rsidP="007E5DA0">
      <w:pPr>
        <w:spacing w:after="0" w:line="240" w:lineRule="auto"/>
        <w:jc w:val="both"/>
        <w:rPr>
          <w:rFonts w:cstheme="minorHAnsi"/>
          <w:b/>
          <w:color w:val="212121"/>
          <w:shd w:val="clear" w:color="auto" w:fill="FFFFFF"/>
        </w:rPr>
      </w:pPr>
    </w:p>
    <w:p w:rsidR="00D73C0F" w:rsidRPr="00A948E2" w:rsidRDefault="00D73C0F" w:rsidP="007E5DA0">
      <w:pPr>
        <w:spacing w:after="0" w:line="240" w:lineRule="auto"/>
        <w:jc w:val="both"/>
        <w:rPr>
          <w:rFonts w:cstheme="minorHAnsi"/>
          <w:color w:val="212121"/>
          <w:shd w:val="clear" w:color="auto" w:fill="FFFFFF"/>
        </w:rPr>
      </w:pPr>
      <w:r w:rsidRPr="00A948E2">
        <w:rPr>
          <w:rFonts w:cstheme="minorHAnsi"/>
          <w:b/>
          <w:color w:val="212121"/>
          <w:shd w:val="clear" w:color="auto" w:fill="FFFFFF"/>
        </w:rPr>
        <w:t xml:space="preserve">TENDENZE CHIAVE (GLOBALI) </w:t>
      </w:r>
    </w:p>
    <w:p w:rsidR="00D73C0F" w:rsidRPr="00A948E2" w:rsidRDefault="00AD3E0A" w:rsidP="007E5DA0">
      <w:pPr>
        <w:spacing w:after="0" w:line="240" w:lineRule="auto"/>
        <w:jc w:val="both"/>
        <w:rPr>
          <w:rFonts w:cstheme="minorHAnsi"/>
          <w:color w:val="212121"/>
          <w:shd w:val="clear" w:color="auto" w:fill="FFFFFF"/>
        </w:rPr>
      </w:pPr>
      <w:r w:rsidRPr="00A948E2">
        <w:rPr>
          <w:rFonts w:cstheme="minorHAnsi"/>
          <w:color w:val="212121"/>
          <w:u w:val="single"/>
          <w:shd w:val="clear" w:color="auto" w:fill="FFFFFF"/>
        </w:rPr>
        <w:t>Tempo</w:t>
      </w:r>
      <w:r w:rsidR="00D73C0F" w:rsidRPr="00A948E2">
        <w:rPr>
          <w:rFonts w:cstheme="minorHAnsi"/>
          <w:color w:val="212121"/>
          <w:u w:val="single"/>
          <w:shd w:val="clear" w:color="auto" w:fill="FFFFFF"/>
        </w:rPr>
        <w:t xml:space="preserve"> di viaggio</w:t>
      </w:r>
      <w:r w:rsidR="00D73C0F" w:rsidRPr="00A948E2">
        <w:rPr>
          <w:rFonts w:cstheme="minorHAnsi"/>
          <w:color w:val="212121"/>
          <w:shd w:val="clear" w:color="auto" w:fill="FFFFFF"/>
        </w:rPr>
        <w:t>:</w:t>
      </w:r>
    </w:p>
    <w:p w:rsidR="00D73C0F" w:rsidRPr="00A948E2" w:rsidRDefault="00D73C0F" w:rsidP="007E5DA0">
      <w:pPr>
        <w:spacing w:after="0" w:line="240" w:lineRule="auto"/>
        <w:jc w:val="both"/>
        <w:rPr>
          <w:rFonts w:cstheme="minorHAnsi"/>
          <w:color w:val="212121"/>
          <w:shd w:val="clear" w:color="auto" w:fill="FFFFFF"/>
        </w:rPr>
      </w:pPr>
      <w:r w:rsidRPr="00A948E2">
        <w:rPr>
          <w:rFonts w:cstheme="minorHAnsi"/>
          <w:color w:val="212121"/>
          <w:shd w:val="clear" w:color="auto" w:fill="FFFFFF"/>
        </w:rPr>
        <w:t xml:space="preserve">• Il 46% dei consumatori a livello globale ha visto aumentare i tempi di pendolarismo </w:t>
      </w:r>
    </w:p>
    <w:p w:rsidR="00D73C0F" w:rsidRPr="00A948E2" w:rsidRDefault="00D73C0F" w:rsidP="007E5DA0">
      <w:pPr>
        <w:spacing w:after="0" w:line="240" w:lineRule="auto"/>
        <w:jc w:val="both"/>
        <w:rPr>
          <w:rFonts w:cstheme="minorHAnsi"/>
          <w:color w:val="212121"/>
          <w:shd w:val="clear" w:color="auto" w:fill="FFFFFF"/>
        </w:rPr>
      </w:pPr>
      <w:r w:rsidRPr="00A948E2">
        <w:rPr>
          <w:rFonts w:cstheme="minorHAnsi"/>
          <w:color w:val="212121"/>
          <w:shd w:val="clear" w:color="auto" w:fill="FFFFFF"/>
        </w:rPr>
        <w:t xml:space="preserve">• La metà (52%) è frustrata dall'esperienza nell'uso dei trasporti pubblici </w:t>
      </w:r>
    </w:p>
    <w:p w:rsidR="00D73C0F" w:rsidRPr="00A948E2" w:rsidRDefault="00D73C0F" w:rsidP="007E5DA0">
      <w:pPr>
        <w:spacing w:after="0" w:line="240" w:lineRule="auto"/>
        <w:jc w:val="both"/>
        <w:rPr>
          <w:rFonts w:cstheme="minorHAnsi"/>
          <w:color w:val="212121"/>
          <w:shd w:val="clear" w:color="auto" w:fill="FFFFFF"/>
        </w:rPr>
      </w:pPr>
      <w:r w:rsidRPr="00A948E2">
        <w:rPr>
          <w:rFonts w:cstheme="minorHAnsi"/>
          <w:color w:val="212121"/>
          <w:shd w:val="clear" w:color="auto" w:fill="FFFFFF"/>
        </w:rPr>
        <w:t xml:space="preserve">• Un terzo degli intervistati (il 37%) si aspetta che il tempo del pendolarismo aumenti nei prossimi cinque anni. </w:t>
      </w:r>
    </w:p>
    <w:p w:rsidR="00D73C0F" w:rsidRPr="00A948E2" w:rsidRDefault="00D73C0F" w:rsidP="007E5DA0">
      <w:pPr>
        <w:spacing w:after="0" w:line="240" w:lineRule="auto"/>
        <w:jc w:val="both"/>
        <w:rPr>
          <w:rFonts w:cstheme="minorHAnsi"/>
          <w:color w:val="212121"/>
          <w:shd w:val="clear" w:color="auto" w:fill="FFFFFF"/>
        </w:rPr>
      </w:pPr>
    </w:p>
    <w:p w:rsidR="00D73C0F" w:rsidRPr="00A948E2" w:rsidRDefault="00D73C0F" w:rsidP="007E5DA0">
      <w:pPr>
        <w:spacing w:after="0" w:line="240" w:lineRule="auto"/>
        <w:jc w:val="both"/>
        <w:rPr>
          <w:rFonts w:cstheme="minorHAnsi"/>
          <w:color w:val="212121"/>
          <w:shd w:val="clear" w:color="auto" w:fill="FFFFFF"/>
        </w:rPr>
      </w:pPr>
      <w:r w:rsidRPr="00A948E2">
        <w:rPr>
          <w:rFonts w:cstheme="minorHAnsi"/>
          <w:color w:val="212121"/>
          <w:u w:val="single"/>
          <w:shd w:val="clear" w:color="auto" w:fill="FFFFFF"/>
        </w:rPr>
        <w:t>Uso dell'automobile</w:t>
      </w:r>
      <w:r w:rsidRPr="00A948E2">
        <w:rPr>
          <w:rFonts w:cstheme="minorHAnsi"/>
          <w:color w:val="212121"/>
          <w:shd w:val="clear" w:color="auto" w:fill="FFFFFF"/>
        </w:rPr>
        <w:t xml:space="preserve">: </w:t>
      </w:r>
    </w:p>
    <w:p w:rsidR="00D73C0F" w:rsidRPr="00A948E2" w:rsidRDefault="00D73C0F" w:rsidP="007E5DA0">
      <w:pPr>
        <w:spacing w:after="0" w:line="240" w:lineRule="auto"/>
        <w:jc w:val="both"/>
        <w:rPr>
          <w:rFonts w:cstheme="minorHAnsi"/>
          <w:color w:val="212121"/>
          <w:shd w:val="clear" w:color="auto" w:fill="FFFFFF"/>
        </w:rPr>
      </w:pPr>
      <w:r w:rsidRPr="00A948E2">
        <w:rPr>
          <w:rFonts w:cstheme="minorHAnsi"/>
          <w:color w:val="212121"/>
          <w:shd w:val="clear" w:color="auto" w:fill="FFFFFF"/>
        </w:rPr>
        <w:t xml:space="preserve">• L'auto personale rimane la migliore modalità di trasporto sia per il pendolarismo (60%) sia per i viaggi personali (61%) </w:t>
      </w:r>
    </w:p>
    <w:p w:rsidR="00D73C0F" w:rsidRPr="00A948E2" w:rsidRDefault="00D73C0F" w:rsidP="007E5DA0">
      <w:pPr>
        <w:spacing w:after="0" w:line="240" w:lineRule="auto"/>
        <w:jc w:val="both"/>
        <w:rPr>
          <w:rFonts w:cstheme="minorHAnsi"/>
          <w:color w:val="212121"/>
          <w:shd w:val="clear" w:color="auto" w:fill="FFFFFF"/>
        </w:rPr>
      </w:pPr>
      <w:r w:rsidRPr="00A948E2">
        <w:rPr>
          <w:rFonts w:cstheme="minorHAnsi"/>
          <w:color w:val="212121"/>
          <w:shd w:val="clear" w:color="auto" w:fill="FFFFFF"/>
        </w:rPr>
        <w:t xml:space="preserve">• L'aspetto più antipatico della guida è </w:t>
      </w:r>
      <w:r w:rsidR="00AD3E0A" w:rsidRPr="00A948E2">
        <w:rPr>
          <w:rFonts w:cstheme="minorHAnsi"/>
          <w:color w:val="212121"/>
          <w:shd w:val="clear" w:color="auto" w:fill="FFFFFF"/>
        </w:rPr>
        <w:t>la ricerca del</w:t>
      </w:r>
      <w:r w:rsidRPr="00A948E2">
        <w:rPr>
          <w:rFonts w:cstheme="minorHAnsi"/>
          <w:color w:val="212121"/>
          <w:shd w:val="clear" w:color="auto" w:fill="FFFFFF"/>
        </w:rPr>
        <w:t xml:space="preserve"> parcheggio, citato dal 64% degli intervistati, </w:t>
      </w:r>
    </w:p>
    <w:p w:rsidR="00D73C0F" w:rsidRPr="00A948E2" w:rsidRDefault="00D73C0F" w:rsidP="00D73C0F">
      <w:pPr>
        <w:pStyle w:val="Paragrafoelenco"/>
        <w:numPr>
          <w:ilvl w:val="0"/>
          <w:numId w:val="1"/>
        </w:numPr>
        <w:spacing w:after="0" w:line="240" w:lineRule="auto"/>
        <w:jc w:val="both"/>
        <w:rPr>
          <w:rFonts w:cstheme="minorHAnsi"/>
          <w:color w:val="212121"/>
          <w:shd w:val="clear" w:color="auto" w:fill="FFFFFF"/>
        </w:rPr>
      </w:pPr>
      <w:r w:rsidRPr="00A948E2">
        <w:rPr>
          <w:rFonts w:cstheme="minorHAnsi"/>
          <w:color w:val="212121"/>
          <w:shd w:val="clear" w:color="auto" w:fill="FFFFFF"/>
        </w:rPr>
        <w:t>Seguito dal rischio di ottenere una multa se</w:t>
      </w:r>
      <w:r w:rsidR="00AD3E0A" w:rsidRPr="00A948E2">
        <w:rPr>
          <w:rFonts w:cstheme="minorHAnsi"/>
          <w:color w:val="212121"/>
          <w:shd w:val="clear" w:color="auto" w:fill="FFFFFF"/>
        </w:rPr>
        <w:t xml:space="preserve"> il</w:t>
      </w:r>
      <w:r w:rsidRPr="00A948E2">
        <w:rPr>
          <w:rFonts w:cstheme="minorHAnsi"/>
          <w:color w:val="212121"/>
          <w:shd w:val="clear" w:color="auto" w:fill="FFFFFF"/>
        </w:rPr>
        <w:t xml:space="preserve"> parcheggi</w:t>
      </w:r>
      <w:r w:rsidR="00AD3E0A" w:rsidRPr="00A948E2">
        <w:rPr>
          <w:rFonts w:cstheme="minorHAnsi"/>
          <w:color w:val="212121"/>
          <w:shd w:val="clear" w:color="auto" w:fill="FFFFFF"/>
        </w:rPr>
        <w:t>o è</w:t>
      </w:r>
      <w:r w:rsidRPr="00A948E2">
        <w:rPr>
          <w:rFonts w:cstheme="minorHAnsi"/>
          <w:color w:val="212121"/>
          <w:shd w:val="clear" w:color="auto" w:fill="FFFFFF"/>
        </w:rPr>
        <w:t xml:space="preserve"> più a lungo del previsto (44%) e </w:t>
      </w:r>
    </w:p>
    <w:p w:rsidR="00D73C0F" w:rsidRPr="00A948E2" w:rsidRDefault="00AD3E0A" w:rsidP="00D73C0F">
      <w:pPr>
        <w:pStyle w:val="Paragrafoelenco"/>
        <w:numPr>
          <w:ilvl w:val="0"/>
          <w:numId w:val="1"/>
        </w:numPr>
        <w:spacing w:after="0" w:line="240" w:lineRule="auto"/>
        <w:jc w:val="both"/>
        <w:rPr>
          <w:rFonts w:cstheme="minorHAnsi"/>
        </w:rPr>
      </w:pPr>
      <w:r w:rsidRPr="00A948E2">
        <w:rPr>
          <w:rFonts w:cstheme="minorHAnsi"/>
          <w:color w:val="212121"/>
          <w:shd w:val="clear" w:color="auto" w:fill="FFFFFF"/>
        </w:rPr>
        <w:t xml:space="preserve">Di </w:t>
      </w:r>
      <w:r w:rsidR="00D73C0F" w:rsidRPr="00A948E2">
        <w:rPr>
          <w:rFonts w:cstheme="minorHAnsi"/>
          <w:color w:val="212121"/>
          <w:shd w:val="clear" w:color="auto" w:fill="FFFFFF"/>
        </w:rPr>
        <w:t xml:space="preserve">pagare più </w:t>
      </w:r>
      <w:r w:rsidRPr="00A948E2">
        <w:rPr>
          <w:rFonts w:cstheme="minorHAnsi"/>
          <w:color w:val="212121"/>
          <w:shd w:val="clear" w:color="auto" w:fill="FFFFFF"/>
        </w:rPr>
        <w:t xml:space="preserve">del necessario </w:t>
      </w:r>
      <w:r w:rsidR="00D73C0F" w:rsidRPr="00A948E2">
        <w:rPr>
          <w:rFonts w:cstheme="minorHAnsi"/>
          <w:color w:val="212121"/>
          <w:shd w:val="clear" w:color="auto" w:fill="FFFFFF"/>
        </w:rPr>
        <w:t xml:space="preserve">per il tempo di parcheggio (42%) </w:t>
      </w:r>
    </w:p>
    <w:p w:rsidR="00D73C0F" w:rsidRPr="00A948E2" w:rsidRDefault="00D73C0F" w:rsidP="00D73C0F">
      <w:pPr>
        <w:spacing w:after="0" w:line="240" w:lineRule="auto"/>
        <w:jc w:val="both"/>
        <w:rPr>
          <w:rFonts w:cstheme="minorHAnsi"/>
          <w:color w:val="212121"/>
          <w:shd w:val="clear" w:color="auto" w:fill="FFFFFF"/>
        </w:rPr>
      </w:pPr>
    </w:p>
    <w:p w:rsidR="00D73C0F" w:rsidRPr="00A948E2" w:rsidRDefault="00D73C0F" w:rsidP="00D73C0F">
      <w:pPr>
        <w:spacing w:after="0" w:line="240" w:lineRule="auto"/>
        <w:jc w:val="both"/>
        <w:rPr>
          <w:rFonts w:cstheme="minorHAnsi"/>
          <w:color w:val="212121"/>
          <w:shd w:val="clear" w:color="auto" w:fill="FFFFFF"/>
        </w:rPr>
      </w:pPr>
      <w:r w:rsidRPr="00A948E2">
        <w:rPr>
          <w:rFonts w:cstheme="minorHAnsi"/>
          <w:color w:val="212121"/>
          <w:u w:val="single"/>
          <w:shd w:val="clear" w:color="auto" w:fill="FFFFFF"/>
        </w:rPr>
        <w:t>Uso del trasporto pubblico</w:t>
      </w:r>
      <w:r w:rsidRPr="00A948E2">
        <w:rPr>
          <w:rFonts w:cstheme="minorHAnsi"/>
          <w:color w:val="212121"/>
          <w:shd w:val="clear" w:color="auto" w:fill="FFFFFF"/>
        </w:rPr>
        <w:t xml:space="preserve">: </w:t>
      </w:r>
    </w:p>
    <w:p w:rsidR="00D73C0F" w:rsidRPr="00A948E2" w:rsidRDefault="00D73C0F" w:rsidP="00D73C0F">
      <w:pPr>
        <w:spacing w:after="0" w:line="240" w:lineRule="auto"/>
        <w:jc w:val="both"/>
        <w:rPr>
          <w:rFonts w:cstheme="minorHAnsi"/>
          <w:color w:val="212121"/>
          <w:shd w:val="clear" w:color="auto" w:fill="FFFFFF"/>
        </w:rPr>
      </w:pPr>
      <w:r w:rsidRPr="00A948E2">
        <w:rPr>
          <w:rFonts w:cstheme="minorHAnsi"/>
          <w:color w:val="212121"/>
          <w:shd w:val="clear" w:color="auto" w:fill="FFFFFF"/>
        </w:rPr>
        <w:t xml:space="preserve">• Meno della metà delle persone intervistate utilizza il trasporto pubblico come modo per andare al lavoro, a scuola o all'università (44%), </w:t>
      </w:r>
    </w:p>
    <w:p w:rsidR="00D73C0F" w:rsidRPr="00A948E2" w:rsidRDefault="00D73C0F" w:rsidP="00D73C0F">
      <w:pPr>
        <w:spacing w:after="0" w:line="240" w:lineRule="auto"/>
        <w:jc w:val="both"/>
        <w:rPr>
          <w:rFonts w:cstheme="minorHAnsi"/>
          <w:color w:val="212121"/>
          <w:shd w:val="clear" w:color="auto" w:fill="FFFFFF"/>
        </w:rPr>
      </w:pPr>
      <w:r w:rsidRPr="00A948E2">
        <w:rPr>
          <w:rFonts w:cstheme="minorHAnsi"/>
          <w:color w:val="212121"/>
          <w:shd w:val="clear" w:color="auto" w:fill="FFFFFF"/>
        </w:rPr>
        <w:t xml:space="preserve">• </w:t>
      </w:r>
      <w:r w:rsidR="00AD3E0A" w:rsidRPr="00A948E2">
        <w:rPr>
          <w:rFonts w:cstheme="minorHAnsi"/>
          <w:color w:val="212121"/>
          <w:shd w:val="clear" w:color="auto" w:fill="FFFFFF"/>
        </w:rPr>
        <w:t>I</w:t>
      </w:r>
      <w:r w:rsidRPr="00A948E2">
        <w:rPr>
          <w:rFonts w:cstheme="minorHAnsi"/>
          <w:color w:val="212121"/>
          <w:shd w:val="clear" w:color="auto" w:fill="FFFFFF"/>
        </w:rPr>
        <w:t>l numero sale al 54</w:t>
      </w:r>
      <w:r w:rsidR="00AD3E0A" w:rsidRPr="00A948E2">
        <w:rPr>
          <w:rFonts w:cstheme="minorHAnsi"/>
          <w:color w:val="212121"/>
          <w:shd w:val="clear" w:color="auto" w:fill="FFFFFF"/>
        </w:rPr>
        <w:t>%</w:t>
      </w:r>
      <w:r w:rsidRPr="00A948E2">
        <w:rPr>
          <w:rFonts w:cstheme="minorHAnsi"/>
          <w:color w:val="212121"/>
          <w:shd w:val="clear" w:color="auto" w:fill="FFFFFF"/>
        </w:rPr>
        <w:t xml:space="preserve"> </w:t>
      </w:r>
      <w:r w:rsidR="00AD3E0A" w:rsidRPr="00A948E2">
        <w:rPr>
          <w:rFonts w:cstheme="minorHAnsi"/>
          <w:color w:val="212121"/>
          <w:shd w:val="clear" w:color="auto" w:fill="FFFFFF"/>
        </w:rPr>
        <w:t>nel caso di</w:t>
      </w:r>
      <w:r w:rsidRPr="00A948E2">
        <w:rPr>
          <w:rFonts w:cstheme="minorHAnsi"/>
          <w:color w:val="212121"/>
          <w:shd w:val="clear" w:color="auto" w:fill="FFFFFF"/>
        </w:rPr>
        <w:t xml:space="preserve"> viaggi personali </w:t>
      </w:r>
      <w:r w:rsidR="00AD3E0A" w:rsidRPr="00A948E2">
        <w:rPr>
          <w:rFonts w:cstheme="minorHAnsi"/>
          <w:color w:val="212121"/>
          <w:shd w:val="clear" w:color="auto" w:fill="FFFFFF"/>
        </w:rPr>
        <w:t xml:space="preserve">e attività di </w:t>
      </w:r>
      <w:r w:rsidRPr="00A948E2">
        <w:rPr>
          <w:rFonts w:cstheme="minorHAnsi"/>
          <w:color w:val="212121"/>
          <w:shd w:val="clear" w:color="auto" w:fill="FFFFFF"/>
        </w:rPr>
        <w:t xml:space="preserve">intrattenimento. </w:t>
      </w:r>
    </w:p>
    <w:p w:rsidR="00D73C0F" w:rsidRPr="00A948E2" w:rsidRDefault="00D73C0F" w:rsidP="00D73C0F">
      <w:pPr>
        <w:spacing w:after="0" w:line="240" w:lineRule="auto"/>
        <w:jc w:val="both"/>
        <w:rPr>
          <w:rFonts w:cstheme="minorHAnsi"/>
          <w:color w:val="212121"/>
          <w:shd w:val="clear" w:color="auto" w:fill="FFFFFF"/>
        </w:rPr>
      </w:pPr>
      <w:r w:rsidRPr="00A948E2">
        <w:rPr>
          <w:rFonts w:cstheme="minorHAnsi"/>
          <w:color w:val="212121"/>
          <w:shd w:val="clear" w:color="auto" w:fill="FFFFFF"/>
        </w:rPr>
        <w:t xml:space="preserve">• I pendolari scelgono il tipo di trasporto in base a tre fattori: convenienza, affidabilità e sovraffollamento. L'importanza di ciascun fattore varia a seconda dell'età: </w:t>
      </w:r>
    </w:p>
    <w:p w:rsidR="00D73C0F" w:rsidRPr="00A948E2" w:rsidRDefault="00D73C0F" w:rsidP="00DE211A">
      <w:pPr>
        <w:pStyle w:val="Paragrafoelenco"/>
        <w:numPr>
          <w:ilvl w:val="0"/>
          <w:numId w:val="3"/>
        </w:numPr>
        <w:spacing w:after="0" w:line="240" w:lineRule="auto"/>
        <w:jc w:val="both"/>
        <w:rPr>
          <w:rFonts w:cstheme="minorHAnsi"/>
          <w:color w:val="212121"/>
          <w:shd w:val="clear" w:color="auto" w:fill="FFFFFF"/>
        </w:rPr>
      </w:pPr>
      <w:r w:rsidRPr="00A948E2">
        <w:rPr>
          <w:rFonts w:cstheme="minorHAnsi"/>
          <w:color w:val="212121"/>
          <w:shd w:val="clear" w:color="auto" w:fill="FFFFFF"/>
        </w:rPr>
        <w:t xml:space="preserve">Baby </w:t>
      </w:r>
      <w:proofErr w:type="spellStart"/>
      <w:r w:rsidRPr="00A948E2">
        <w:rPr>
          <w:rFonts w:cstheme="minorHAnsi"/>
          <w:color w:val="212121"/>
          <w:shd w:val="clear" w:color="auto" w:fill="FFFFFF"/>
        </w:rPr>
        <w:t>Boomers</w:t>
      </w:r>
      <w:proofErr w:type="spellEnd"/>
      <w:r w:rsidRPr="00A948E2">
        <w:rPr>
          <w:rFonts w:cstheme="minorHAnsi"/>
          <w:color w:val="212121"/>
          <w:shd w:val="clear" w:color="auto" w:fill="FFFFFF"/>
        </w:rPr>
        <w:t xml:space="preserve"> (età 56+) - Convenienza (82%), affidabilità (84%) e sovraffollamento (72%) </w:t>
      </w:r>
    </w:p>
    <w:p w:rsidR="00AD3E0A" w:rsidRPr="00A948E2" w:rsidRDefault="00D73C0F" w:rsidP="00DE211A">
      <w:pPr>
        <w:pStyle w:val="Paragrafoelenco"/>
        <w:numPr>
          <w:ilvl w:val="0"/>
          <w:numId w:val="3"/>
        </w:numPr>
        <w:spacing w:after="0" w:line="240" w:lineRule="auto"/>
        <w:jc w:val="both"/>
        <w:rPr>
          <w:rFonts w:cstheme="minorHAnsi"/>
          <w:color w:val="212121"/>
          <w:shd w:val="clear" w:color="auto" w:fill="FFFFFF"/>
        </w:rPr>
      </w:pPr>
      <w:proofErr w:type="spellStart"/>
      <w:r w:rsidRPr="00A948E2">
        <w:rPr>
          <w:rFonts w:cstheme="minorHAnsi"/>
          <w:color w:val="212121"/>
          <w:shd w:val="clear" w:color="auto" w:fill="FFFFFF"/>
        </w:rPr>
        <w:t>GenX</w:t>
      </w:r>
      <w:proofErr w:type="spellEnd"/>
      <w:r w:rsidRPr="00A948E2">
        <w:rPr>
          <w:rFonts w:cstheme="minorHAnsi"/>
          <w:color w:val="212121"/>
          <w:shd w:val="clear" w:color="auto" w:fill="FFFFFF"/>
        </w:rPr>
        <w:t xml:space="preserve"> (46-55) - Convenienza (79</w:t>
      </w:r>
      <w:r w:rsidR="00AD3E0A" w:rsidRPr="00A948E2">
        <w:rPr>
          <w:rFonts w:cstheme="minorHAnsi"/>
          <w:color w:val="212121"/>
          <w:shd w:val="clear" w:color="auto" w:fill="FFFFFF"/>
        </w:rPr>
        <w:t>%</w:t>
      </w:r>
      <w:r w:rsidRPr="00A948E2">
        <w:rPr>
          <w:rFonts w:cstheme="minorHAnsi"/>
          <w:color w:val="212121"/>
          <w:shd w:val="clear" w:color="auto" w:fill="FFFFFF"/>
        </w:rPr>
        <w:t>), affidabilità (82</w:t>
      </w:r>
      <w:r w:rsidR="00AD3E0A" w:rsidRPr="00A948E2">
        <w:rPr>
          <w:rFonts w:cstheme="minorHAnsi"/>
          <w:color w:val="212121"/>
          <w:shd w:val="clear" w:color="auto" w:fill="FFFFFF"/>
        </w:rPr>
        <w:t>%</w:t>
      </w:r>
      <w:r w:rsidRPr="00A948E2">
        <w:rPr>
          <w:rFonts w:cstheme="minorHAnsi"/>
          <w:color w:val="212121"/>
          <w:shd w:val="clear" w:color="auto" w:fill="FFFFFF"/>
        </w:rPr>
        <w:t>) e sovraffollamento (71</w:t>
      </w:r>
      <w:r w:rsidR="00AD3E0A" w:rsidRPr="00A948E2">
        <w:rPr>
          <w:rFonts w:cstheme="minorHAnsi"/>
          <w:color w:val="212121"/>
          <w:shd w:val="clear" w:color="auto" w:fill="FFFFFF"/>
        </w:rPr>
        <w:t>%</w:t>
      </w:r>
      <w:r w:rsidRPr="00A948E2">
        <w:rPr>
          <w:rFonts w:cstheme="minorHAnsi"/>
          <w:color w:val="212121"/>
          <w:shd w:val="clear" w:color="auto" w:fill="FFFFFF"/>
        </w:rPr>
        <w:t xml:space="preserve">) </w:t>
      </w:r>
    </w:p>
    <w:p w:rsidR="00D73C0F" w:rsidRPr="00A948E2" w:rsidRDefault="00D73C0F" w:rsidP="00DE211A">
      <w:pPr>
        <w:pStyle w:val="Paragrafoelenco"/>
        <w:numPr>
          <w:ilvl w:val="0"/>
          <w:numId w:val="3"/>
        </w:numPr>
        <w:spacing w:after="0" w:line="240" w:lineRule="auto"/>
        <w:jc w:val="both"/>
        <w:rPr>
          <w:rFonts w:cstheme="minorHAnsi"/>
          <w:color w:val="212121"/>
          <w:shd w:val="clear" w:color="auto" w:fill="FFFFFF"/>
        </w:rPr>
      </w:pPr>
      <w:r w:rsidRPr="00A948E2">
        <w:rPr>
          <w:rFonts w:cstheme="minorHAnsi"/>
          <w:color w:val="212121"/>
          <w:shd w:val="clear" w:color="auto" w:fill="FFFFFF"/>
        </w:rPr>
        <w:t>Millennials (26-45) - Convenienza (74</w:t>
      </w:r>
      <w:r w:rsidR="00AD3E0A" w:rsidRPr="00A948E2">
        <w:rPr>
          <w:rFonts w:cstheme="minorHAnsi"/>
          <w:color w:val="212121"/>
          <w:shd w:val="clear" w:color="auto" w:fill="FFFFFF"/>
        </w:rPr>
        <w:t>%</w:t>
      </w:r>
      <w:r w:rsidRPr="00A948E2">
        <w:rPr>
          <w:rFonts w:cstheme="minorHAnsi"/>
          <w:color w:val="212121"/>
          <w:shd w:val="clear" w:color="auto" w:fill="FFFFFF"/>
        </w:rPr>
        <w:t>), affidabilità (76</w:t>
      </w:r>
      <w:r w:rsidR="00AD3E0A" w:rsidRPr="00A948E2">
        <w:rPr>
          <w:rFonts w:cstheme="minorHAnsi"/>
          <w:color w:val="212121"/>
          <w:shd w:val="clear" w:color="auto" w:fill="FFFFFF"/>
        </w:rPr>
        <w:t>%</w:t>
      </w:r>
      <w:r w:rsidRPr="00A948E2">
        <w:rPr>
          <w:rFonts w:cstheme="minorHAnsi"/>
          <w:color w:val="212121"/>
          <w:shd w:val="clear" w:color="auto" w:fill="FFFFFF"/>
        </w:rPr>
        <w:t>) e sovraffollamento (67</w:t>
      </w:r>
      <w:r w:rsidR="00AD3E0A" w:rsidRPr="00A948E2">
        <w:rPr>
          <w:rFonts w:cstheme="minorHAnsi"/>
          <w:color w:val="212121"/>
          <w:shd w:val="clear" w:color="auto" w:fill="FFFFFF"/>
        </w:rPr>
        <w:t>%</w:t>
      </w:r>
      <w:r w:rsidRPr="00A948E2">
        <w:rPr>
          <w:rFonts w:cstheme="minorHAnsi"/>
          <w:color w:val="212121"/>
          <w:shd w:val="clear" w:color="auto" w:fill="FFFFFF"/>
        </w:rPr>
        <w:t xml:space="preserve">) </w:t>
      </w:r>
    </w:p>
    <w:p w:rsidR="00D73C0F" w:rsidRPr="00A948E2" w:rsidRDefault="00D73C0F" w:rsidP="00DE211A">
      <w:pPr>
        <w:pStyle w:val="Paragrafoelenco"/>
        <w:numPr>
          <w:ilvl w:val="0"/>
          <w:numId w:val="3"/>
        </w:numPr>
        <w:spacing w:after="0" w:line="240" w:lineRule="auto"/>
        <w:jc w:val="both"/>
        <w:rPr>
          <w:rFonts w:cstheme="minorHAnsi"/>
          <w:color w:val="212121"/>
          <w:shd w:val="clear" w:color="auto" w:fill="FFFFFF"/>
        </w:rPr>
      </w:pPr>
      <w:proofErr w:type="spellStart"/>
      <w:r w:rsidRPr="00A948E2">
        <w:rPr>
          <w:rFonts w:cstheme="minorHAnsi"/>
          <w:color w:val="212121"/>
          <w:shd w:val="clear" w:color="auto" w:fill="FFFFFF"/>
        </w:rPr>
        <w:t>GenZ</w:t>
      </w:r>
      <w:proofErr w:type="spellEnd"/>
      <w:r w:rsidRPr="00A948E2">
        <w:rPr>
          <w:rFonts w:cstheme="minorHAnsi"/>
          <w:color w:val="212121"/>
          <w:shd w:val="clear" w:color="auto" w:fill="FFFFFF"/>
        </w:rPr>
        <w:t xml:space="preserve"> (18-25) - Convenienza (62</w:t>
      </w:r>
      <w:r w:rsidR="00AD3E0A" w:rsidRPr="00A948E2">
        <w:rPr>
          <w:rFonts w:cstheme="minorHAnsi"/>
          <w:color w:val="212121"/>
          <w:shd w:val="clear" w:color="auto" w:fill="FFFFFF"/>
        </w:rPr>
        <w:t>%</w:t>
      </w:r>
      <w:r w:rsidRPr="00A948E2">
        <w:rPr>
          <w:rFonts w:cstheme="minorHAnsi"/>
          <w:color w:val="212121"/>
          <w:shd w:val="clear" w:color="auto" w:fill="FFFFFF"/>
        </w:rPr>
        <w:t>), affidabilità (67</w:t>
      </w:r>
      <w:r w:rsidR="00AD3E0A" w:rsidRPr="00A948E2">
        <w:rPr>
          <w:rFonts w:cstheme="minorHAnsi"/>
          <w:color w:val="212121"/>
          <w:shd w:val="clear" w:color="auto" w:fill="FFFFFF"/>
        </w:rPr>
        <w:t>%</w:t>
      </w:r>
      <w:r w:rsidRPr="00A948E2">
        <w:rPr>
          <w:rFonts w:cstheme="minorHAnsi"/>
          <w:color w:val="212121"/>
          <w:shd w:val="clear" w:color="auto" w:fill="FFFFFF"/>
        </w:rPr>
        <w:t>) e sovraffollamento (55</w:t>
      </w:r>
      <w:r w:rsidR="00AD3E0A" w:rsidRPr="00A948E2">
        <w:rPr>
          <w:rFonts w:cstheme="minorHAnsi"/>
          <w:color w:val="212121"/>
          <w:shd w:val="clear" w:color="auto" w:fill="FFFFFF"/>
        </w:rPr>
        <w:t>%</w:t>
      </w:r>
      <w:r w:rsidRPr="00A948E2">
        <w:rPr>
          <w:rFonts w:cstheme="minorHAnsi"/>
          <w:color w:val="212121"/>
          <w:shd w:val="clear" w:color="auto" w:fill="FFFFFF"/>
        </w:rPr>
        <w:t xml:space="preserve">) </w:t>
      </w:r>
    </w:p>
    <w:p w:rsidR="00D73C0F" w:rsidRPr="00A948E2" w:rsidRDefault="00D73C0F" w:rsidP="00D73C0F">
      <w:pPr>
        <w:spacing w:after="0" w:line="240" w:lineRule="auto"/>
        <w:jc w:val="both"/>
        <w:rPr>
          <w:rFonts w:cstheme="minorHAnsi"/>
          <w:color w:val="212121"/>
          <w:shd w:val="clear" w:color="auto" w:fill="FFFFFF"/>
        </w:rPr>
      </w:pPr>
    </w:p>
    <w:p w:rsidR="00D73C0F" w:rsidRPr="00A948E2" w:rsidRDefault="00D73C0F" w:rsidP="00D73C0F">
      <w:pPr>
        <w:spacing w:after="0" w:line="240" w:lineRule="auto"/>
        <w:jc w:val="both"/>
        <w:rPr>
          <w:rFonts w:cstheme="minorHAnsi"/>
          <w:color w:val="212121"/>
          <w:shd w:val="clear" w:color="auto" w:fill="FFFFFF"/>
        </w:rPr>
      </w:pPr>
      <w:r w:rsidRPr="00A948E2">
        <w:rPr>
          <w:rFonts w:cstheme="minorHAnsi"/>
          <w:color w:val="212121"/>
          <w:u w:val="single"/>
          <w:shd w:val="clear" w:color="auto" w:fill="FFFFFF"/>
        </w:rPr>
        <w:t>Pagamenti</w:t>
      </w:r>
      <w:r w:rsidRPr="00A948E2">
        <w:rPr>
          <w:rFonts w:cstheme="minorHAnsi"/>
          <w:color w:val="212121"/>
          <w:shd w:val="clear" w:color="auto" w:fill="FFFFFF"/>
        </w:rPr>
        <w:t xml:space="preserve">: </w:t>
      </w:r>
    </w:p>
    <w:p w:rsidR="00D73C0F" w:rsidRPr="00A948E2" w:rsidRDefault="00D73C0F" w:rsidP="00D73C0F">
      <w:pPr>
        <w:spacing w:after="0" w:line="240" w:lineRule="auto"/>
        <w:jc w:val="both"/>
        <w:rPr>
          <w:rFonts w:cstheme="minorHAnsi"/>
          <w:color w:val="212121"/>
          <w:shd w:val="clear" w:color="auto" w:fill="FFFFFF"/>
        </w:rPr>
      </w:pPr>
      <w:r w:rsidRPr="00A948E2">
        <w:rPr>
          <w:rFonts w:cstheme="minorHAnsi"/>
          <w:color w:val="212121"/>
          <w:shd w:val="clear" w:color="auto" w:fill="FFFFFF"/>
        </w:rPr>
        <w:t xml:space="preserve">• La complessità nei pagamenti è spesso alla base di molti reclami comuni. </w:t>
      </w:r>
    </w:p>
    <w:p w:rsidR="00D73C0F" w:rsidRPr="00A948E2" w:rsidRDefault="00D73C0F" w:rsidP="00D73C0F">
      <w:pPr>
        <w:spacing w:after="0" w:line="240" w:lineRule="auto"/>
        <w:jc w:val="both"/>
        <w:rPr>
          <w:rFonts w:cstheme="minorHAnsi"/>
          <w:color w:val="212121"/>
          <w:shd w:val="clear" w:color="auto" w:fill="FFFFFF"/>
        </w:rPr>
      </w:pPr>
      <w:r w:rsidRPr="00A948E2">
        <w:rPr>
          <w:rFonts w:cstheme="minorHAnsi"/>
          <w:color w:val="212121"/>
          <w:shd w:val="clear" w:color="auto" w:fill="FFFFFF"/>
        </w:rPr>
        <w:t xml:space="preserve">• Se fosse più facile pagare per il trasporto pubblico, l'uso medio aumenterebbe del 27%. </w:t>
      </w:r>
    </w:p>
    <w:p w:rsidR="00D73C0F" w:rsidRPr="00A948E2" w:rsidRDefault="00D73C0F" w:rsidP="00D73C0F">
      <w:pPr>
        <w:spacing w:after="0" w:line="240" w:lineRule="auto"/>
        <w:jc w:val="both"/>
        <w:rPr>
          <w:rFonts w:cstheme="minorHAnsi"/>
          <w:color w:val="212121"/>
          <w:shd w:val="clear" w:color="auto" w:fill="FFFFFF"/>
        </w:rPr>
      </w:pPr>
      <w:r w:rsidRPr="00A948E2">
        <w:rPr>
          <w:rFonts w:cstheme="minorHAnsi"/>
          <w:color w:val="212121"/>
          <w:shd w:val="clear" w:color="auto" w:fill="FFFFFF"/>
        </w:rPr>
        <w:t>• Il 47</w:t>
      </w:r>
      <w:r w:rsidR="00AD3E0A" w:rsidRPr="00A948E2">
        <w:rPr>
          <w:rFonts w:cstheme="minorHAnsi"/>
          <w:color w:val="212121"/>
          <w:shd w:val="clear" w:color="auto" w:fill="FFFFFF"/>
        </w:rPr>
        <w:t xml:space="preserve">% </w:t>
      </w:r>
      <w:r w:rsidRPr="00A948E2">
        <w:rPr>
          <w:rFonts w:cstheme="minorHAnsi"/>
          <w:color w:val="212121"/>
          <w:shd w:val="clear" w:color="auto" w:fill="FFFFFF"/>
        </w:rPr>
        <w:t xml:space="preserve">afferma che la necessità di biglietti diversi per le diverse modalità di viaggio è un problema, </w:t>
      </w:r>
    </w:p>
    <w:p w:rsidR="00D73C0F" w:rsidRPr="00A948E2" w:rsidRDefault="00D73C0F" w:rsidP="00D73C0F">
      <w:pPr>
        <w:spacing w:after="0" w:line="240" w:lineRule="auto"/>
        <w:jc w:val="both"/>
        <w:rPr>
          <w:rFonts w:cstheme="minorHAnsi"/>
          <w:color w:val="212121"/>
          <w:shd w:val="clear" w:color="auto" w:fill="FFFFFF"/>
        </w:rPr>
      </w:pPr>
      <w:r w:rsidRPr="00A948E2">
        <w:rPr>
          <w:rFonts w:cstheme="minorHAnsi"/>
          <w:color w:val="212121"/>
          <w:shd w:val="clear" w:color="auto" w:fill="FFFFFF"/>
        </w:rPr>
        <w:t xml:space="preserve">• il 44% ha dichiarato </w:t>
      </w:r>
      <w:r w:rsidR="00AD3E0A" w:rsidRPr="00A948E2">
        <w:rPr>
          <w:rFonts w:cstheme="minorHAnsi"/>
          <w:color w:val="212121"/>
          <w:shd w:val="clear" w:color="auto" w:fill="FFFFFF"/>
        </w:rPr>
        <w:t>che</w:t>
      </w:r>
      <w:r w:rsidRPr="00A948E2">
        <w:rPr>
          <w:rFonts w:cstheme="minorHAnsi"/>
          <w:color w:val="212121"/>
          <w:shd w:val="clear" w:color="auto" w:fill="FFFFFF"/>
        </w:rPr>
        <w:t xml:space="preserve"> non sapere quanto pagare è un problema, e </w:t>
      </w:r>
    </w:p>
    <w:p w:rsidR="00D73C0F" w:rsidRPr="00A948E2" w:rsidRDefault="00D73C0F" w:rsidP="00D73C0F">
      <w:pPr>
        <w:spacing w:after="0" w:line="240" w:lineRule="auto"/>
        <w:jc w:val="both"/>
        <w:rPr>
          <w:rFonts w:cstheme="minorHAnsi"/>
          <w:color w:val="212121"/>
          <w:shd w:val="clear" w:color="auto" w:fill="FFFFFF"/>
        </w:rPr>
      </w:pPr>
      <w:r w:rsidRPr="00A948E2">
        <w:rPr>
          <w:rFonts w:cstheme="minorHAnsi"/>
          <w:color w:val="212121"/>
          <w:shd w:val="clear" w:color="auto" w:fill="FFFFFF"/>
        </w:rPr>
        <w:t xml:space="preserve">• Il 41% </w:t>
      </w:r>
      <w:r w:rsidR="005B43EB" w:rsidRPr="00A948E2">
        <w:rPr>
          <w:rFonts w:cstheme="minorHAnsi"/>
          <w:color w:val="212121"/>
          <w:shd w:val="clear" w:color="auto" w:fill="FFFFFF"/>
        </w:rPr>
        <w:t xml:space="preserve">ha dichiarato che i </w:t>
      </w:r>
      <w:r w:rsidRPr="00A948E2">
        <w:rPr>
          <w:rFonts w:cstheme="minorHAnsi"/>
          <w:color w:val="212121"/>
          <w:shd w:val="clear" w:color="auto" w:fill="FFFFFF"/>
        </w:rPr>
        <w:t>servizi "</w:t>
      </w:r>
      <w:r w:rsidR="00DE211A" w:rsidRPr="00A948E2">
        <w:rPr>
          <w:rFonts w:cstheme="minorHAnsi"/>
          <w:color w:val="212121"/>
          <w:shd w:val="clear" w:color="auto" w:fill="FFFFFF"/>
        </w:rPr>
        <w:t xml:space="preserve">cash </w:t>
      </w:r>
      <w:proofErr w:type="spellStart"/>
      <w:r w:rsidR="00DE211A" w:rsidRPr="00A948E2">
        <w:rPr>
          <w:rFonts w:cstheme="minorHAnsi"/>
          <w:color w:val="212121"/>
          <w:shd w:val="clear" w:color="auto" w:fill="FFFFFF"/>
        </w:rPr>
        <w:t>only</w:t>
      </w:r>
      <w:proofErr w:type="spellEnd"/>
      <w:r w:rsidRPr="00A948E2">
        <w:rPr>
          <w:rFonts w:cstheme="minorHAnsi"/>
          <w:color w:val="212121"/>
          <w:shd w:val="clear" w:color="auto" w:fill="FFFFFF"/>
        </w:rPr>
        <w:t xml:space="preserve">" </w:t>
      </w:r>
      <w:r w:rsidR="00DE211A" w:rsidRPr="00A948E2">
        <w:rPr>
          <w:rFonts w:cstheme="minorHAnsi"/>
          <w:color w:val="212121"/>
          <w:shd w:val="clear" w:color="auto" w:fill="FFFFFF"/>
        </w:rPr>
        <w:t>sono</w:t>
      </w:r>
      <w:r w:rsidRPr="00A948E2">
        <w:rPr>
          <w:rFonts w:cstheme="minorHAnsi"/>
          <w:color w:val="212121"/>
          <w:shd w:val="clear" w:color="auto" w:fill="FFFFFF"/>
        </w:rPr>
        <w:t xml:space="preserve"> </w:t>
      </w:r>
      <w:r w:rsidR="005B43EB" w:rsidRPr="00A948E2">
        <w:rPr>
          <w:rFonts w:cstheme="minorHAnsi"/>
          <w:color w:val="212121"/>
          <w:shd w:val="clear" w:color="auto" w:fill="FFFFFF"/>
        </w:rPr>
        <w:t>una noia</w:t>
      </w:r>
      <w:r w:rsidRPr="00A948E2">
        <w:rPr>
          <w:rFonts w:cstheme="minorHAnsi"/>
          <w:color w:val="212121"/>
          <w:shd w:val="clear" w:color="auto" w:fill="FFFFFF"/>
        </w:rPr>
        <w:t xml:space="preserve">. Secondo gli intervistati, queste frustrazioni li rendono meno propensi a utilizzare i trasporti pubblici e più probabilmente a guidare le proprie auto </w:t>
      </w:r>
    </w:p>
    <w:p w:rsidR="00D73C0F" w:rsidRPr="00A948E2" w:rsidRDefault="00D73C0F" w:rsidP="00D73C0F">
      <w:pPr>
        <w:spacing w:after="0" w:line="240" w:lineRule="auto"/>
        <w:jc w:val="both"/>
        <w:rPr>
          <w:rFonts w:cstheme="minorHAnsi"/>
          <w:color w:val="212121"/>
          <w:shd w:val="clear" w:color="auto" w:fill="FFFFFF"/>
        </w:rPr>
      </w:pPr>
      <w:r w:rsidRPr="00A948E2">
        <w:rPr>
          <w:rFonts w:cstheme="minorHAnsi"/>
          <w:color w:val="212121"/>
          <w:shd w:val="clear" w:color="auto" w:fill="FFFFFF"/>
        </w:rPr>
        <w:t xml:space="preserve">• Per gli utenti delle auto, il 47% vorrebbe vedere innovazioni che consigliano il combustibile più economico disponibile </w:t>
      </w:r>
    </w:p>
    <w:p w:rsidR="00D73C0F" w:rsidRPr="00A948E2" w:rsidRDefault="00D73C0F" w:rsidP="00D73C0F">
      <w:pPr>
        <w:spacing w:after="0" w:line="240" w:lineRule="auto"/>
        <w:jc w:val="both"/>
        <w:rPr>
          <w:rFonts w:cstheme="minorHAnsi"/>
          <w:color w:val="212121"/>
          <w:shd w:val="clear" w:color="auto" w:fill="FFFFFF"/>
        </w:rPr>
      </w:pPr>
      <w:r w:rsidRPr="00A948E2">
        <w:rPr>
          <w:rFonts w:cstheme="minorHAnsi"/>
          <w:color w:val="212121"/>
          <w:shd w:val="clear" w:color="auto" w:fill="FFFFFF"/>
        </w:rPr>
        <w:t xml:space="preserve">• Il 35% vorrebbe </w:t>
      </w:r>
      <w:proofErr w:type="spellStart"/>
      <w:r w:rsidRPr="00A948E2">
        <w:rPr>
          <w:rFonts w:cstheme="minorHAnsi"/>
          <w:color w:val="212121"/>
          <w:shd w:val="clear" w:color="auto" w:fill="FFFFFF"/>
        </w:rPr>
        <w:t>un'app</w:t>
      </w:r>
      <w:proofErr w:type="spellEnd"/>
      <w:r w:rsidRPr="00A948E2">
        <w:rPr>
          <w:rFonts w:cstheme="minorHAnsi"/>
          <w:color w:val="212121"/>
          <w:shd w:val="clear" w:color="auto" w:fill="FFFFFF"/>
        </w:rPr>
        <w:t xml:space="preserve"> che riconosca la posizione in cui sta tentando di effettuare il rifornimento e paga</w:t>
      </w:r>
      <w:r w:rsidR="00977611" w:rsidRPr="00A948E2">
        <w:rPr>
          <w:rFonts w:cstheme="minorHAnsi"/>
          <w:color w:val="212121"/>
          <w:shd w:val="clear" w:color="auto" w:fill="FFFFFF"/>
        </w:rPr>
        <w:t>re tramite</w:t>
      </w:r>
      <w:r w:rsidRPr="00A948E2">
        <w:rPr>
          <w:rFonts w:cstheme="minorHAnsi"/>
          <w:color w:val="212121"/>
          <w:shd w:val="clear" w:color="auto" w:fill="FFFFFF"/>
        </w:rPr>
        <w:t xml:space="preserve"> app</w:t>
      </w:r>
    </w:p>
    <w:p w:rsidR="00977611" w:rsidRPr="00A948E2" w:rsidRDefault="00977611" w:rsidP="00977611">
      <w:pPr>
        <w:spacing w:after="0" w:line="240" w:lineRule="auto"/>
        <w:jc w:val="both"/>
        <w:rPr>
          <w:rFonts w:cstheme="minorHAnsi"/>
          <w:color w:val="212121"/>
          <w:shd w:val="clear" w:color="auto" w:fill="FFFFFF"/>
        </w:rPr>
      </w:pPr>
    </w:p>
    <w:p w:rsidR="00977611" w:rsidRPr="00A948E2" w:rsidRDefault="00977611" w:rsidP="00977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b/>
          <w:color w:val="212121"/>
          <w:lang w:eastAsia="it-IT"/>
        </w:rPr>
      </w:pPr>
      <w:r w:rsidRPr="00A948E2">
        <w:rPr>
          <w:rFonts w:eastAsia="Times New Roman" w:cstheme="minorHAnsi"/>
          <w:b/>
          <w:color w:val="212121"/>
          <w:lang w:eastAsia="it-IT"/>
        </w:rPr>
        <w:t>LE TOP CINQUE RACCOMANDAZIONI DI VISA</w:t>
      </w:r>
    </w:p>
    <w:p w:rsidR="00977611" w:rsidRPr="00A948E2" w:rsidRDefault="00977611" w:rsidP="005B43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lang w:eastAsia="it-IT"/>
        </w:rPr>
      </w:pPr>
      <w:r w:rsidRPr="00A948E2">
        <w:rPr>
          <w:rFonts w:eastAsia="Times New Roman" w:cstheme="minorHAnsi"/>
          <w:color w:val="212121"/>
          <w:lang w:eastAsia="it-IT"/>
        </w:rPr>
        <w:t xml:space="preserve">• </w:t>
      </w:r>
      <w:r w:rsidRPr="00A948E2">
        <w:rPr>
          <w:rFonts w:eastAsia="Times New Roman" w:cstheme="minorHAnsi"/>
          <w:color w:val="212121"/>
          <w:u w:val="single"/>
          <w:lang w:eastAsia="it-IT"/>
        </w:rPr>
        <w:t xml:space="preserve">Investire </w:t>
      </w:r>
      <w:r w:rsidR="005B43EB" w:rsidRPr="00A948E2">
        <w:rPr>
          <w:rFonts w:eastAsia="Times New Roman" w:cstheme="minorHAnsi"/>
          <w:color w:val="212121"/>
          <w:u w:val="single"/>
          <w:lang w:eastAsia="it-IT"/>
        </w:rPr>
        <w:t>in</w:t>
      </w:r>
      <w:r w:rsidRPr="00A948E2">
        <w:rPr>
          <w:rFonts w:eastAsia="Times New Roman" w:cstheme="minorHAnsi"/>
          <w:color w:val="212121"/>
          <w:u w:val="single"/>
          <w:lang w:eastAsia="it-IT"/>
        </w:rPr>
        <w:t xml:space="preserve"> connettività</w:t>
      </w:r>
      <w:r w:rsidRPr="00A948E2">
        <w:rPr>
          <w:rFonts w:eastAsia="Times New Roman" w:cstheme="minorHAnsi"/>
          <w:color w:val="212121"/>
          <w:lang w:eastAsia="it-IT"/>
        </w:rPr>
        <w:t>. I governi delle città dovrebbero investire in un'infrastruttura di dati "</w:t>
      </w:r>
      <w:proofErr w:type="spellStart"/>
      <w:r w:rsidRPr="00A948E2">
        <w:rPr>
          <w:rFonts w:eastAsia="Times New Roman" w:cstheme="minorHAnsi"/>
          <w:color w:val="212121"/>
          <w:lang w:eastAsia="it-IT"/>
        </w:rPr>
        <w:t>always</w:t>
      </w:r>
      <w:proofErr w:type="spellEnd"/>
      <w:r w:rsidRPr="00A948E2">
        <w:rPr>
          <w:rFonts w:eastAsia="Times New Roman" w:cstheme="minorHAnsi"/>
          <w:color w:val="212121"/>
          <w:lang w:eastAsia="it-IT"/>
        </w:rPr>
        <w:t xml:space="preserve"> on", fondamentale per le soluzioni tecnologiche richieste dai consumatori. Essa supporta lo scambio di dati in tempo reale </w:t>
      </w:r>
      <w:r w:rsidR="00867C00" w:rsidRPr="00A948E2">
        <w:rPr>
          <w:rFonts w:eastAsia="Times New Roman" w:cstheme="minorHAnsi"/>
          <w:color w:val="212121"/>
          <w:lang w:eastAsia="it-IT"/>
        </w:rPr>
        <w:t>in modo da tenere</w:t>
      </w:r>
      <w:r w:rsidRPr="00A948E2">
        <w:rPr>
          <w:rFonts w:eastAsia="Times New Roman" w:cstheme="minorHAnsi"/>
          <w:color w:val="212121"/>
          <w:lang w:eastAsia="it-IT"/>
        </w:rPr>
        <w:t xml:space="preserve"> </w:t>
      </w:r>
      <w:r w:rsidR="00BA7826" w:rsidRPr="00A948E2">
        <w:rPr>
          <w:rFonts w:eastAsia="Times New Roman" w:cstheme="minorHAnsi"/>
          <w:color w:val="212121"/>
          <w:lang w:eastAsia="it-IT"/>
        </w:rPr>
        <w:t xml:space="preserve">sempre </w:t>
      </w:r>
      <w:r w:rsidRPr="00A948E2">
        <w:rPr>
          <w:rFonts w:eastAsia="Times New Roman" w:cstheme="minorHAnsi"/>
          <w:color w:val="212121"/>
          <w:lang w:eastAsia="it-IT"/>
        </w:rPr>
        <w:t>informa</w:t>
      </w:r>
      <w:r w:rsidR="00BA7826" w:rsidRPr="00A948E2">
        <w:rPr>
          <w:rFonts w:eastAsia="Times New Roman" w:cstheme="minorHAnsi"/>
          <w:color w:val="212121"/>
          <w:lang w:eastAsia="it-IT"/>
        </w:rPr>
        <w:t>te</w:t>
      </w:r>
      <w:r w:rsidRPr="00A948E2">
        <w:rPr>
          <w:rFonts w:eastAsia="Times New Roman" w:cstheme="minorHAnsi"/>
          <w:color w:val="212121"/>
          <w:lang w:eastAsia="it-IT"/>
        </w:rPr>
        <w:t xml:space="preserve"> le persone sul loro viaggio e </w:t>
      </w:r>
      <w:r w:rsidR="00BA7826" w:rsidRPr="00A948E2">
        <w:rPr>
          <w:rFonts w:eastAsia="Times New Roman" w:cstheme="minorHAnsi"/>
          <w:color w:val="212121"/>
          <w:lang w:eastAsia="it-IT"/>
        </w:rPr>
        <w:t xml:space="preserve">allo stesso tempo, può </w:t>
      </w:r>
      <w:r w:rsidRPr="00A948E2">
        <w:rPr>
          <w:rFonts w:eastAsia="Times New Roman" w:cstheme="minorHAnsi"/>
          <w:color w:val="212121"/>
          <w:lang w:eastAsia="it-IT"/>
        </w:rPr>
        <w:t xml:space="preserve">fornire informazioni </w:t>
      </w:r>
      <w:r w:rsidR="00BA7826" w:rsidRPr="00A948E2">
        <w:rPr>
          <w:rFonts w:eastAsia="Times New Roman" w:cstheme="minorHAnsi"/>
          <w:color w:val="212121"/>
          <w:lang w:eastAsia="it-IT"/>
        </w:rPr>
        <w:t>alla</w:t>
      </w:r>
      <w:r w:rsidRPr="00A948E2">
        <w:rPr>
          <w:rFonts w:eastAsia="Times New Roman" w:cstheme="minorHAnsi"/>
          <w:color w:val="212121"/>
          <w:lang w:eastAsia="it-IT"/>
        </w:rPr>
        <w:t xml:space="preserve"> città per garantire che i servizi soddisfino la domanda in continuo cambiamento.</w:t>
      </w:r>
    </w:p>
    <w:p w:rsidR="005B43EB" w:rsidRPr="00A948E2" w:rsidRDefault="00977611" w:rsidP="005B43EB">
      <w:pPr>
        <w:pStyle w:val="PreformattatoHTML"/>
        <w:shd w:val="clear" w:color="auto" w:fill="FFFFFF"/>
        <w:jc w:val="both"/>
        <w:rPr>
          <w:rFonts w:asciiTheme="minorHAnsi" w:hAnsiTheme="minorHAnsi" w:cstheme="minorHAnsi"/>
          <w:color w:val="212121"/>
          <w:sz w:val="22"/>
          <w:szCs w:val="22"/>
        </w:rPr>
      </w:pPr>
      <w:r w:rsidRPr="00A948E2">
        <w:rPr>
          <w:rFonts w:asciiTheme="minorHAnsi" w:hAnsiTheme="minorHAnsi" w:cstheme="minorHAnsi"/>
          <w:color w:val="212121"/>
          <w:sz w:val="22"/>
          <w:szCs w:val="22"/>
        </w:rPr>
        <w:t xml:space="preserve">• </w:t>
      </w:r>
      <w:r w:rsidRPr="00A948E2">
        <w:rPr>
          <w:rFonts w:asciiTheme="minorHAnsi" w:hAnsiTheme="minorHAnsi" w:cstheme="minorHAnsi"/>
          <w:color w:val="212121"/>
          <w:sz w:val="22"/>
          <w:szCs w:val="22"/>
          <w:u w:val="single"/>
        </w:rPr>
        <w:t>Crea</w:t>
      </w:r>
      <w:r w:rsidR="0026562F" w:rsidRPr="00A948E2">
        <w:rPr>
          <w:rFonts w:asciiTheme="minorHAnsi" w:hAnsiTheme="minorHAnsi" w:cstheme="minorHAnsi"/>
          <w:color w:val="212121"/>
          <w:sz w:val="22"/>
          <w:szCs w:val="22"/>
          <w:u w:val="single"/>
        </w:rPr>
        <w:t>re</w:t>
      </w:r>
      <w:r w:rsidRPr="00A948E2">
        <w:rPr>
          <w:rFonts w:asciiTheme="minorHAnsi" w:hAnsiTheme="minorHAnsi" w:cstheme="minorHAnsi"/>
          <w:color w:val="212121"/>
          <w:sz w:val="22"/>
          <w:szCs w:val="22"/>
          <w:u w:val="single"/>
        </w:rPr>
        <w:t xml:space="preserve"> un'esperienza di pagamento senza interruzioni per supportare i viaggi dei pendolari con più </w:t>
      </w:r>
      <w:r w:rsidR="0026562F" w:rsidRPr="00A948E2">
        <w:rPr>
          <w:rFonts w:asciiTheme="minorHAnsi" w:hAnsiTheme="minorHAnsi" w:cstheme="minorHAnsi"/>
          <w:color w:val="212121"/>
          <w:sz w:val="22"/>
          <w:szCs w:val="22"/>
          <w:u w:val="single"/>
        </w:rPr>
        <w:t>mezzi</w:t>
      </w:r>
      <w:r w:rsidRPr="00A948E2">
        <w:rPr>
          <w:rFonts w:asciiTheme="minorHAnsi" w:hAnsiTheme="minorHAnsi" w:cstheme="minorHAnsi"/>
          <w:color w:val="212121"/>
          <w:sz w:val="22"/>
          <w:szCs w:val="22"/>
        </w:rPr>
        <w:t>. I governi delle città e gli urbanisti d</w:t>
      </w:r>
      <w:r w:rsidR="0026562F" w:rsidRPr="00A948E2">
        <w:rPr>
          <w:rFonts w:asciiTheme="minorHAnsi" w:hAnsiTheme="minorHAnsi" w:cstheme="minorHAnsi"/>
          <w:color w:val="212121"/>
          <w:sz w:val="22"/>
          <w:szCs w:val="22"/>
        </w:rPr>
        <w:t>ovrebber</w:t>
      </w:r>
      <w:r w:rsidRPr="00A948E2">
        <w:rPr>
          <w:rFonts w:asciiTheme="minorHAnsi" w:hAnsiTheme="minorHAnsi" w:cstheme="minorHAnsi"/>
          <w:color w:val="212121"/>
          <w:sz w:val="22"/>
          <w:szCs w:val="22"/>
        </w:rPr>
        <w:t>o collaborare con gruppi di riflessione, aziende automobilistiche e tecnologiche e fornitori di pagamenti come Visa. Poiché un singolo viaggio coinvolgerà sempre più</w:t>
      </w:r>
      <w:r w:rsidR="00415507" w:rsidRPr="00A948E2">
        <w:rPr>
          <w:rFonts w:asciiTheme="minorHAnsi" w:hAnsiTheme="minorHAnsi" w:cstheme="minorHAnsi"/>
          <w:color w:val="212121"/>
          <w:sz w:val="22"/>
          <w:szCs w:val="22"/>
        </w:rPr>
        <w:t>, più</w:t>
      </w:r>
      <w:r w:rsidRPr="00A948E2">
        <w:rPr>
          <w:rFonts w:asciiTheme="minorHAnsi" w:hAnsiTheme="minorHAnsi" w:cstheme="minorHAnsi"/>
          <w:color w:val="212121"/>
          <w:sz w:val="22"/>
          <w:szCs w:val="22"/>
        </w:rPr>
        <w:t xml:space="preserve"> di un mezzo di trasporto (a esempio, auto + metropolitana + bici), diventa </w:t>
      </w:r>
      <w:r w:rsidR="00415507" w:rsidRPr="00A948E2">
        <w:rPr>
          <w:rFonts w:asciiTheme="minorHAnsi" w:hAnsiTheme="minorHAnsi" w:cstheme="minorHAnsi"/>
          <w:color w:val="212121"/>
          <w:sz w:val="22"/>
          <w:szCs w:val="22"/>
        </w:rPr>
        <w:t xml:space="preserve">quindi </w:t>
      </w:r>
      <w:r w:rsidRPr="00A948E2">
        <w:rPr>
          <w:rFonts w:asciiTheme="minorHAnsi" w:hAnsiTheme="minorHAnsi" w:cstheme="minorHAnsi"/>
          <w:color w:val="212121"/>
          <w:sz w:val="22"/>
          <w:szCs w:val="22"/>
        </w:rPr>
        <w:t xml:space="preserve">indispensabile creare </w:t>
      </w:r>
      <w:r w:rsidRPr="00A948E2">
        <w:rPr>
          <w:rFonts w:asciiTheme="minorHAnsi" w:hAnsiTheme="minorHAnsi" w:cstheme="minorHAnsi"/>
          <w:color w:val="212121"/>
          <w:sz w:val="22"/>
          <w:szCs w:val="22"/>
        </w:rPr>
        <w:lastRenderedPageBreak/>
        <w:t>un'esperienza di pagamento semplice per i pendolari</w:t>
      </w:r>
      <w:r w:rsidR="005B43EB" w:rsidRPr="00A948E2">
        <w:rPr>
          <w:rFonts w:asciiTheme="minorHAnsi" w:hAnsiTheme="minorHAnsi" w:cstheme="minorHAnsi"/>
          <w:color w:val="212121"/>
          <w:sz w:val="22"/>
          <w:szCs w:val="22"/>
        </w:rPr>
        <w:t>, a partire da soluzioni transito contactles</w:t>
      </w:r>
      <w:r w:rsidR="00F717F4">
        <w:rPr>
          <w:rFonts w:asciiTheme="minorHAnsi" w:hAnsiTheme="minorHAnsi" w:cstheme="minorHAnsi"/>
          <w:color w:val="212121"/>
          <w:sz w:val="22"/>
          <w:szCs w:val="22"/>
        </w:rPr>
        <w:t>s</w:t>
      </w:r>
      <w:bookmarkStart w:id="0" w:name="_GoBack"/>
      <w:bookmarkEnd w:id="0"/>
      <w:r w:rsidR="005B43EB" w:rsidRPr="00A948E2">
        <w:rPr>
          <w:rFonts w:asciiTheme="minorHAnsi" w:hAnsiTheme="minorHAnsi" w:cstheme="minorHAnsi"/>
          <w:color w:val="212121"/>
          <w:sz w:val="22"/>
          <w:szCs w:val="22"/>
        </w:rPr>
        <w:t xml:space="preserve"> ai pagamenti in-app o alle soluzioni basate su piattaforma.</w:t>
      </w:r>
    </w:p>
    <w:p w:rsidR="00977611" w:rsidRPr="00A948E2" w:rsidRDefault="00977611" w:rsidP="005B43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lang w:eastAsia="it-IT"/>
        </w:rPr>
      </w:pPr>
      <w:r w:rsidRPr="00A948E2">
        <w:rPr>
          <w:rFonts w:eastAsia="Times New Roman" w:cstheme="minorHAnsi"/>
          <w:color w:val="212121"/>
          <w:lang w:eastAsia="it-IT"/>
        </w:rPr>
        <w:t xml:space="preserve">• </w:t>
      </w:r>
      <w:r w:rsidRPr="00A948E2">
        <w:rPr>
          <w:rFonts w:eastAsia="Times New Roman" w:cstheme="minorHAnsi"/>
          <w:color w:val="212121"/>
          <w:u w:val="single"/>
          <w:lang w:eastAsia="it-IT"/>
        </w:rPr>
        <w:t>Integrare l'autenticazione personale nell'esperienza di pagamento</w:t>
      </w:r>
      <w:r w:rsidRPr="00A948E2">
        <w:rPr>
          <w:rFonts w:eastAsia="Times New Roman" w:cstheme="minorHAnsi"/>
          <w:color w:val="212121"/>
          <w:lang w:eastAsia="it-IT"/>
        </w:rPr>
        <w:t>. Poiché le aziende e i comuni incorporano sempre più pagamenti digitali, devono anche integrare l'autenticazione istantanea. Il ruolo dell'ID digitale nell'ecosistema è fondamentale per affrontare i cambiamenti nel modo in cui le persone utilizzano i trasporti, assicurando che sia l'autenticazione di pagamento sia quella personale siano facili e senza interruzioni.</w:t>
      </w:r>
    </w:p>
    <w:p w:rsidR="00977611" w:rsidRPr="00A948E2" w:rsidRDefault="00977611" w:rsidP="00977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lang w:eastAsia="it-IT"/>
        </w:rPr>
      </w:pPr>
      <w:r w:rsidRPr="00A948E2">
        <w:rPr>
          <w:rFonts w:eastAsia="Times New Roman" w:cstheme="minorHAnsi"/>
          <w:color w:val="212121"/>
          <w:lang w:eastAsia="it-IT"/>
        </w:rPr>
        <w:t xml:space="preserve">• </w:t>
      </w:r>
      <w:r w:rsidRPr="00A948E2">
        <w:rPr>
          <w:rFonts w:eastAsia="Times New Roman" w:cstheme="minorHAnsi"/>
          <w:color w:val="212121"/>
          <w:u w:val="single"/>
          <w:lang w:eastAsia="it-IT"/>
        </w:rPr>
        <w:t xml:space="preserve">Progettare </w:t>
      </w:r>
      <w:r w:rsidR="00415507" w:rsidRPr="00A948E2">
        <w:rPr>
          <w:rFonts w:eastAsia="Times New Roman" w:cstheme="minorHAnsi"/>
          <w:color w:val="212121"/>
          <w:u w:val="single"/>
          <w:lang w:eastAsia="it-IT"/>
        </w:rPr>
        <w:t>eco</w:t>
      </w:r>
      <w:r w:rsidRPr="00A948E2">
        <w:rPr>
          <w:rFonts w:eastAsia="Times New Roman" w:cstheme="minorHAnsi"/>
          <w:color w:val="212121"/>
          <w:u w:val="single"/>
          <w:lang w:eastAsia="it-IT"/>
        </w:rPr>
        <w:t>sistemi di commercio</w:t>
      </w:r>
      <w:r w:rsidR="00415507" w:rsidRPr="00A948E2">
        <w:rPr>
          <w:rFonts w:eastAsia="Times New Roman" w:cstheme="minorHAnsi"/>
          <w:color w:val="212121"/>
          <w:u w:val="single"/>
          <w:lang w:eastAsia="it-IT"/>
        </w:rPr>
        <w:t xml:space="preserve"> che</w:t>
      </w:r>
      <w:r w:rsidRPr="00A948E2">
        <w:rPr>
          <w:rFonts w:eastAsia="Times New Roman" w:cstheme="minorHAnsi"/>
          <w:color w:val="212121"/>
          <w:u w:val="single"/>
          <w:lang w:eastAsia="it-IT"/>
        </w:rPr>
        <w:t xml:space="preserve"> ten</w:t>
      </w:r>
      <w:r w:rsidR="00415507" w:rsidRPr="00A948E2">
        <w:rPr>
          <w:rFonts w:eastAsia="Times New Roman" w:cstheme="minorHAnsi"/>
          <w:color w:val="212121"/>
          <w:u w:val="single"/>
          <w:lang w:eastAsia="it-IT"/>
        </w:rPr>
        <w:t>gano</w:t>
      </w:r>
      <w:r w:rsidRPr="00A948E2">
        <w:rPr>
          <w:rFonts w:eastAsia="Times New Roman" w:cstheme="minorHAnsi"/>
          <w:color w:val="212121"/>
          <w:u w:val="single"/>
          <w:lang w:eastAsia="it-IT"/>
        </w:rPr>
        <w:t xml:space="preserve"> conto di tutti</w:t>
      </w:r>
      <w:r w:rsidR="005B43EB" w:rsidRPr="00A948E2">
        <w:rPr>
          <w:rFonts w:eastAsia="Times New Roman" w:cstheme="minorHAnsi"/>
          <w:color w:val="212121"/>
          <w:u w:val="single"/>
          <w:lang w:eastAsia="it-IT"/>
        </w:rPr>
        <w:t xml:space="preserve"> i membri della società</w:t>
      </w:r>
      <w:r w:rsidR="00415507" w:rsidRPr="00A948E2">
        <w:rPr>
          <w:rFonts w:eastAsia="Times New Roman" w:cstheme="minorHAnsi"/>
          <w:color w:val="212121"/>
          <w:lang w:eastAsia="it-IT"/>
        </w:rPr>
        <w:t>.</w:t>
      </w:r>
      <w:r w:rsidRPr="00A948E2">
        <w:rPr>
          <w:rFonts w:eastAsia="Times New Roman" w:cstheme="minorHAnsi"/>
          <w:color w:val="212121"/>
          <w:lang w:eastAsia="it-IT"/>
        </w:rPr>
        <w:t xml:space="preserve"> Quando si progetta l'ecosistema del commercio, tutti i membri dell'ecosistema dei trasporti devono sfidare il proprio pensiero per includere anziani e </w:t>
      </w:r>
      <w:r w:rsidR="00415507" w:rsidRPr="00A948E2">
        <w:rPr>
          <w:rFonts w:eastAsia="Times New Roman" w:cstheme="minorHAnsi"/>
          <w:color w:val="212121"/>
          <w:lang w:eastAsia="it-IT"/>
        </w:rPr>
        <w:t>meno abbienti</w:t>
      </w:r>
      <w:r w:rsidRPr="00A948E2">
        <w:rPr>
          <w:rFonts w:eastAsia="Times New Roman" w:cstheme="minorHAnsi"/>
          <w:color w:val="212121"/>
          <w:lang w:eastAsia="it-IT"/>
        </w:rPr>
        <w:t xml:space="preserve">, garantendo che nessuno </w:t>
      </w:r>
      <w:r w:rsidR="005B43EB" w:rsidRPr="00A948E2">
        <w:rPr>
          <w:rFonts w:eastAsia="Times New Roman" w:cstheme="minorHAnsi"/>
          <w:color w:val="212121"/>
          <w:lang w:eastAsia="it-IT"/>
        </w:rPr>
        <w:t>venga dimenticato</w:t>
      </w:r>
      <w:r w:rsidRPr="00A948E2">
        <w:rPr>
          <w:rFonts w:eastAsia="Times New Roman" w:cstheme="minorHAnsi"/>
          <w:color w:val="212121"/>
          <w:lang w:eastAsia="it-IT"/>
        </w:rPr>
        <w:t>.</w:t>
      </w:r>
    </w:p>
    <w:p w:rsidR="00977611" w:rsidRPr="00A948E2" w:rsidRDefault="00977611" w:rsidP="00977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lang w:eastAsia="it-IT"/>
        </w:rPr>
      </w:pPr>
      <w:r w:rsidRPr="00A948E2">
        <w:rPr>
          <w:rFonts w:eastAsia="Times New Roman" w:cstheme="minorHAnsi"/>
          <w:color w:val="212121"/>
          <w:lang w:eastAsia="it-IT"/>
        </w:rPr>
        <w:t xml:space="preserve">• </w:t>
      </w:r>
      <w:r w:rsidRPr="00A948E2">
        <w:rPr>
          <w:rFonts w:eastAsia="Times New Roman" w:cstheme="minorHAnsi"/>
          <w:color w:val="212121"/>
          <w:u w:val="single"/>
          <w:lang w:eastAsia="it-IT"/>
        </w:rPr>
        <w:t xml:space="preserve">Sviluppare partnership strategiche per guidare </w:t>
      </w:r>
      <w:r w:rsidR="005B43EB" w:rsidRPr="00A948E2">
        <w:rPr>
          <w:rFonts w:eastAsia="Times New Roman" w:cstheme="minorHAnsi"/>
          <w:color w:val="212121"/>
          <w:u w:val="single"/>
          <w:lang w:eastAsia="it-IT"/>
        </w:rPr>
        <w:t>la visione</w:t>
      </w:r>
      <w:r w:rsidRPr="00A948E2">
        <w:rPr>
          <w:rFonts w:eastAsia="Times New Roman" w:cstheme="minorHAnsi"/>
          <w:color w:val="212121"/>
          <w:lang w:eastAsia="it-IT"/>
        </w:rPr>
        <w:t xml:space="preserve">. Le città dovrebbero collaborare con le aziende che possono avere una visione più ampia, aiutando nella pianificazione. L'Intelligenza Artificiale in combinazione con i Big Data può essere utilizzata per analizzare i dati sui consumi, i movimenti e le tendenze in evoluzione per anticipare i bisogni in tempo reale e fornire alle città informazioni dettagliate che possano aiutare nella pianificazione futura. </w:t>
      </w:r>
    </w:p>
    <w:p w:rsidR="005B43EB" w:rsidRPr="00A948E2" w:rsidRDefault="009A60A9" w:rsidP="005B43EB">
      <w:pPr>
        <w:contextualSpacing/>
        <w:rPr>
          <w:rFonts w:cstheme="minorHAnsi"/>
          <w:color w:val="000000"/>
        </w:rPr>
      </w:pPr>
      <w:r w:rsidRPr="00A948E2">
        <w:rPr>
          <w:rFonts w:eastAsia="Times New Roman" w:cstheme="minorHAnsi"/>
          <w:color w:val="212121"/>
          <w:lang w:eastAsia="it-IT"/>
        </w:rPr>
        <w:t xml:space="preserve">Per ulteriori informazioni, </w:t>
      </w:r>
      <w:r w:rsidR="005B43EB" w:rsidRPr="00A948E2">
        <w:rPr>
          <w:rFonts w:eastAsia="Times New Roman" w:cstheme="minorHAnsi"/>
          <w:color w:val="212121"/>
          <w:lang w:eastAsia="it-IT"/>
        </w:rPr>
        <w:t xml:space="preserve">download </w:t>
      </w:r>
      <w:r w:rsidRPr="00A948E2">
        <w:rPr>
          <w:rFonts w:eastAsia="Times New Roman" w:cstheme="minorHAnsi"/>
          <w:color w:val="212121"/>
          <w:lang w:eastAsia="it-IT"/>
        </w:rPr>
        <w:t>il rapporto completo</w:t>
      </w:r>
      <w:r w:rsidR="005B43EB" w:rsidRPr="00A948E2">
        <w:rPr>
          <w:rFonts w:eastAsia="Times New Roman" w:cstheme="minorHAnsi"/>
          <w:color w:val="212121"/>
          <w:lang w:eastAsia="it-IT"/>
        </w:rPr>
        <w:t xml:space="preserve"> qui</w:t>
      </w:r>
      <w:r w:rsidRPr="00A948E2">
        <w:rPr>
          <w:rFonts w:eastAsia="Times New Roman" w:cstheme="minorHAnsi"/>
          <w:color w:val="212121"/>
          <w:lang w:eastAsia="it-IT"/>
        </w:rPr>
        <w:t xml:space="preserve">: </w:t>
      </w:r>
      <w:hyperlink r:id="rId8" w:history="1">
        <w:r w:rsidR="005B43EB" w:rsidRPr="00A948E2">
          <w:rPr>
            <w:rStyle w:val="Collegamentoipertestuale"/>
            <w:rFonts w:cstheme="minorHAnsi"/>
          </w:rPr>
          <w:t>https://vision.visaeurope.com/blogs/future-of-transportation</w:t>
        </w:r>
      </w:hyperlink>
    </w:p>
    <w:p w:rsidR="00887E8D" w:rsidRPr="00A948E2" w:rsidRDefault="00887E8D" w:rsidP="00977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b/>
          <w:color w:val="212121"/>
          <w:lang w:eastAsia="it-IT"/>
        </w:rPr>
      </w:pPr>
      <w:r w:rsidRPr="00A948E2">
        <w:rPr>
          <w:rFonts w:eastAsia="Times New Roman" w:cstheme="minorHAnsi"/>
          <w:color w:val="212121"/>
          <w:lang w:eastAsia="it-IT"/>
        </w:rPr>
        <w:br/>
      </w:r>
      <w:r w:rsidRPr="00A948E2">
        <w:rPr>
          <w:rFonts w:eastAsia="Times New Roman" w:cstheme="minorHAnsi"/>
          <w:b/>
          <w:color w:val="212121"/>
          <w:lang w:eastAsia="it-IT"/>
        </w:rPr>
        <w:t xml:space="preserve">Metodologia </w:t>
      </w:r>
    </w:p>
    <w:p w:rsidR="009A60A9" w:rsidRPr="00A948E2" w:rsidRDefault="00887E8D" w:rsidP="00977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lang w:eastAsia="it-IT"/>
        </w:rPr>
      </w:pPr>
      <w:r w:rsidRPr="00A948E2">
        <w:rPr>
          <w:rFonts w:eastAsia="Times New Roman" w:cstheme="minorHAnsi"/>
          <w:color w:val="212121"/>
          <w:lang w:eastAsia="it-IT"/>
        </w:rPr>
        <w:t xml:space="preserve">Questo studio è stato condotto con 19.384 consumatori che vivono in una delle due città più grandi in 19 paesi. Tutte le interviste sono state condotte online nel mese di luglio 2018.   </w:t>
      </w:r>
    </w:p>
    <w:p w:rsidR="009A60A9" w:rsidRPr="00A948E2" w:rsidRDefault="009A60A9" w:rsidP="00977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lang w:eastAsia="it-IT"/>
        </w:rPr>
      </w:pPr>
    </w:p>
    <w:p w:rsidR="009A60A9" w:rsidRPr="00A948E2" w:rsidRDefault="00887E8D" w:rsidP="00977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lang w:eastAsia="it-IT"/>
        </w:rPr>
      </w:pPr>
      <w:r w:rsidRPr="00A948E2">
        <w:rPr>
          <w:rFonts w:eastAsia="Times New Roman" w:cstheme="minorHAnsi"/>
          <w:color w:val="212121"/>
          <w:lang w:eastAsia="it-IT"/>
        </w:rPr>
        <w:t xml:space="preserve">Le città e i paesi coperti erano: Argentina (Buenos Aires, Cordoba), Australia (Sydney, Melbourne), Brasile (Rio de Janeiro, San Paolo), Canada (Toronto, Montreal), Cina (Shanghai, Pechino), Egitto (Il Cairo, Alessandria), Francia (Parigi, Marsiglia), Germania (Berlino, Amburgo), India (Mumbai, Delhi), Giappone (Tokyo, Osaka), Messico (Città del Messico, Guadalajara), Polonia (Varsavia, Cracovia), Russia (Mosca, San Pietroburgo), Sudafrica (Città del Capo, Johannesburg), Svezia (Stoccolma, Göteborg), Corea del Sud (Seoul, Busan), Emirati Arabi Uniti (Dubai, Abu Dhabi), Regno Unito (Londra, Birmingham), Stati Uniti (New York, Los Angeles ).   </w:t>
      </w:r>
    </w:p>
    <w:p w:rsidR="009A60A9" w:rsidRPr="00A948E2" w:rsidRDefault="009A60A9" w:rsidP="00977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lang w:eastAsia="it-IT"/>
        </w:rPr>
      </w:pPr>
    </w:p>
    <w:p w:rsidR="009A60A9" w:rsidRPr="00A948E2" w:rsidRDefault="00D6571B" w:rsidP="00977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lang w:eastAsia="it-IT"/>
        </w:rPr>
      </w:pPr>
      <w:r w:rsidRPr="00A948E2">
        <w:rPr>
          <w:rFonts w:eastAsia="Times New Roman" w:cstheme="minorHAnsi"/>
          <w:color w:val="212121"/>
          <w:lang w:eastAsia="it-IT"/>
        </w:rPr>
        <w:t xml:space="preserve">Gli </w:t>
      </w:r>
      <w:r w:rsidR="00887E8D" w:rsidRPr="00A948E2">
        <w:rPr>
          <w:rFonts w:eastAsia="Times New Roman" w:cstheme="minorHAnsi"/>
          <w:color w:val="212121"/>
          <w:lang w:eastAsia="it-IT"/>
        </w:rPr>
        <w:t xml:space="preserve">intervistati </w:t>
      </w:r>
      <w:r w:rsidRPr="00A948E2">
        <w:rPr>
          <w:rFonts w:eastAsia="Times New Roman" w:cstheme="minorHAnsi"/>
          <w:color w:val="212121"/>
          <w:lang w:eastAsia="it-IT"/>
        </w:rPr>
        <w:t>so</w:t>
      </w:r>
      <w:r w:rsidR="00887E8D" w:rsidRPr="00A948E2">
        <w:rPr>
          <w:rFonts w:eastAsia="Times New Roman" w:cstheme="minorHAnsi"/>
          <w:color w:val="212121"/>
          <w:lang w:eastAsia="it-IT"/>
        </w:rPr>
        <w:t xml:space="preserve">no composti per il 65% da residenti nel centro città e dal 35% nella periferia e nella periferia. Più della metà (55%) </w:t>
      </w:r>
      <w:r w:rsidRPr="00A948E2">
        <w:rPr>
          <w:rFonts w:eastAsia="Times New Roman" w:cstheme="minorHAnsi"/>
          <w:color w:val="212121"/>
          <w:lang w:eastAsia="it-IT"/>
        </w:rPr>
        <w:t>è</w:t>
      </w:r>
      <w:r w:rsidR="00887E8D" w:rsidRPr="00A948E2">
        <w:rPr>
          <w:rFonts w:eastAsia="Times New Roman" w:cstheme="minorHAnsi"/>
          <w:color w:val="212121"/>
          <w:lang w:eastAsia="it-IT"/>
        </w:rPr>
        <w:t xml:space="preserve"> occupata a tempo pieno.   </w:t>
      </w:r>
    </w:p>
    <w:p w:rsidR="009A60A9" w:rsidRPr="00A948E2" w:rsidRDefault="009A60A9" w:rsidP="00977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lang w:eastAsia="it-IT"/>
        </w:rPr>
      </w:pPr>
    </w:p>
    <w:p w:rsidR="00887E8D" w:rsidRPr="00A948E2" w:rsidRDefault="00887E8D" w:rsidP="00977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lang w:eastAsia="it-IT"/>
        </w:rPr>
      </w:pPr>
      <w:r w:rsidRPr="00A948E2">
        <w:rPr>
          <w:rFonts w:eastAsia="Times New Roman" w:cstheme="minorHAnsi"/>
          <w:color w:val="212121"/>
          <w:lang w:eastAsia="it-IT"/>
        </w:rPr>
        <w:t>Abbiamo chiesto alle persone le modalità di trasporto che utilizzano, la loro esperienza di pendolarismo (comprese le loro maggiori preoccupazioni), le ragioni per non scegliere determinati metodi di trasporto e le loro opinioni sul pagamento per il trasporto e le diverse innovazioni che potrebbero influire sulla loro esperienza di viaggio.</w:t>
      </w:r>
      <w:r w:rsidR="00D6571B" w:rsidRPr="00A948E2">
        <w:rPr>
          <w:rFonts w:eastAsia="Times New Roman" w:cstheme="minorHAnsi"/>
          <w:color w:val="212121"/>
          <w:lang w:eastAsia="it-IT"/>
        </w:rPr>
        <w:t xml:space="preserve"> I risultati su frustrazioni e note dolenti sono stati condivisi con i ricercatori della Stanford University che hanno poi esplorato tecnologie e prodotti attualmente disponibili che potrebbero risolvere alcuni di questi problemi.</w:t>
      </w:r>
    </w:p>
    <w:p w:rsidR="009A60A9" w:rsidRDefault="009A60A9" w:rsidP="009776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lang w:eastAsia="it-IT"/>
        </w:rPr>
      </w:pPr>
    </w:p>
    <w:p w:rsidR="009A60A9" w:rsidRPr="00CE5877" w:rsidRDefault="009A60A9" w:rsidP="00CE5877">
      <w:pPr>
        <w:spacing w:after="0" w:line="240" w:lineRule="auto"/>
        <w:jc w:val="both"/>
        <w:rPr>
          <w:rFonts w:cstheme="minorHAnsi"/>
          <w:b/>
        </w:rPr>
      </w:pPr>
      <w:r w:rsidRPr="00CE5877">
        <w:rPr>
          <w:rFonts w:cstheme="minorHAnsi"/>
          <w:b/>
        </w:rPr>
        <w:t>Visa</w:t>
      </w:r>
    </w:p>
    <w:p w:rsidR="009A60A9" w:rsidRPr="00CE5877" w:rsidRDefault="009A60A9" w:rsidP="00CE5877">
      <w:pPr>
        <w:pStyle w:val="StyleSecondLevelTextBold"/>
        <w:numPr>
          <w:ilvl w:val="0"/>
          <w:numId w:val="0"/>
        </w:numPr>
        <w:spacing w:after="0" w:line="240" w:lineRule="auto"/>
        <w:jc w:val="both"/>
        <w:rPr>
          <w:rFonts w:asciiTheme="minorHAnsi" w:hAnsiTheme="minorHAnsi" w:cstheme="minorHAnsi"/>
          <w:b w:val="0"/>
          <w:color w:val="auto"/>
          <w:shd w:val="clear" w:color="auto" w:fill="FFFFFF"/>
          <w:lang w:val="it-IT"/>
        </w:rPr>
      </w:pPr>
      <w:r w:rsidRPr="00CE5877">
        <w:rPr>
          <w:rFonts w:asciiTheme="minorHAnsi" w:hAnsiTheme="minorHAnsi" w:cstheme="minorHAnsi"/>
          <w:b w:val="0"/>
          <w:color w:val="auto"/>
          <w:shd w:val="clear" w:color="auto" w:fill="FFFFFF"/>
          <w:lang w:val="it-IT"/>
        </w:rPr>
        <w:t xml:space="preserve">Visa </w:t>
      </w:r>
      <w:proofErr w:type="spellStart"/>
      <w:r w:rsidRPr="00CE5877">
        <w:rPr>
          <w:rFonts w:asciiTheme="minorHAnsi" w:hAnsiTheme="minorHAnsi" w:cstheme="minorHAnsi"/>
          <w:b w:val="0"/>
          <w:color w:val="auto"/>
          <w:shd w:val="clear" w:color="auto" w:fill="FFFFFF"/>
          <w:lang w:val="it-IT"/>
        </w:rPr>
        <w:t>Inc</w:t>
      </w:r>
      <w:proofErr w:type="spellEnd"/>
      <w:r w:rsidRPr="00CE5877">
        <w:rPr>
          <w:rFonts w:asciiTheme="minorHAnsi" w:hAnsiTheme="minorHAnsi" w:cstheme="minorHAnsi"/>
          <w:b w:val="0"/>
          <w:color w:val="auto"/>
          <w:shd w:val="clear" w:color="auto" w:fill="FFFFFF"/>
          <w:lang w:val="it-IT"/>
        </w:rPr>
        <w:t xml:space="preserve">. (NYSE: V) è leader mondiale nei pagamenti digitali. La nostra missione è quella di connettere il mondo attraverso una rete di pagamento innovativa, affidabile e sicura, che consenta a privati, aziende ed economie di prosperare. Il nostro avanzato sistema di elaborazione globale, </w:t>
      </w:r>
      <w:proofErr w:type="spellStart"/>
      <w:r w:rsidRPr="00CE5877">
        <w:rPr>
          <w:rFonts w:asciiTheme="minorHAnsi" w:hAnsiTheme="minorHAnsi" w:cstheme="minorHAnsi"/>
          <w:b w:val="0"/>
          <w:color w:val="auto"/>
          <w:shd w:val="clear" w:color="auto" w:fill="FFFFFF"/>
          <w:lang w:val="it-IT"/>
        </w:rPr>
        <w:t>VisaNet</w:t>
      </w:r>
      <w:proofErr w:type="spellEnd"/>
      <w:r w:rsidRPr="00CE5877">
        <w:rPr>
          <w:rFonts w:asciiTheme="minorHAnsi" w:hAnsiTheme="minorHAnsi" w:cstheme="minorHAnsi"/>
          <w:b w:val="0"/>
          <w:color w:val="auto"/>
          <w:shd w:val="clear" w:color="auto" w:fill="FFFFFF"/>
          <w:lang w:val="it-IT"/>
        </w:rPr>
        <w:t>, fornisce pagamenti sicuri e affidabili in tutto il mondo ed è in grado di gestire oltre 65.000 messaggi di transazione al secondo. L'attenzione incessante dell'azienda verso l'innovazione è un catalizzatore per la rapida crescita del commercio connesso su qualsiasi tipo di device e una forza trainante dietro il sogno di un futuro senza contanti per tutti, ovunque. Mentre il mondo si muove dall'analogico al digitale, Visa sta dedicando il brand, i prodotti</w:t>
      </w:r>
      <w:r w:rsidRPr="00CE5877">
        <w:rPr>
          <w:rFonts w:asciiTheme="minorHAnsi" w:hAnsiTheme="minorHAnsi" w:cstheme="minorHAnsi"/>
          <w:b w:val="0"/>
          <w:color w:val="555555"/>
          <w:shd w:val="clear" w:color="auto" w:fill="FFFFFF"/>
          <w:lang w:val="it-IT"/>
        </w:rPr>
        <w:t xml:space="preserve">, </w:t>
      </w:r>
      <w:r w:rsidRPr="00CE5877">
        <w:rPr>
          <w:rFonts w:asciiTheme="minorHAnsi" w:hAnsiTheme="minorHAnsi" w:cstheme="minorHAnsi"/>
          <w:b w:val="0"/>
          <w:color w:val="auto"/>
          <w:shd w:val="clear" w:color="auto" w:fill="FFFFFF"/>
          <w:lang w:val="it-IT"/>
        </w:rPr>
        <w:t xml:space="preserve">le persone, la rete e le dimensioni per rimodellare il futuro del commercio. </w:t>
      </w:r>
    </w:p>
    <w:p w:rsidR="00977611" w:rsidRPr="00101163" w:rsidRDefault="009A60A9" w:rsidP="002F6613">
      <w:pPr>
        <w:pStyle w:val="StyleSecondLevelTextBold"/>
        <w:numPr>
          <w:ilvl w:val="0"/>
          <w:numId w:val="0"/>
        </w:numPr>
        <w:jc w:val="both"/>
        <w:rPr>
          <w:rFonts w:asciiTheme="minorHAnsi" w:hAnsiTheme="minorHAnsi" w:cstheme="minorHAnsi"/>
          <w:color w:val="212121"/>
          <w:lang w:val="it-IT" w:eastAsia="it-IT"/>
        </w:rPr>
      </w:pPr>
      <w:r w:rsidRPr="00CE5877">
        <w:rPr>
          <w:rFonts w:asciiTheme="minorHAnsi" w:hAnsiTheme="minorHAnsi" w:cstheme="minorHAnsi"/>
          <w:b w:val="0"/>
          <w:color w:val="auto"/>
          <w:shd w:val="clear" w:color="auto" w:fill="FFFFFF"/>
          <w:lang w:val="it-IT"/>
        </w:rPr>
        <w:t>Per maggiori informazioni, visita</w:t>
      </w:r>
      <w:r w:rsidR="00D6571B">
        <w:rPr>
          <w:rFonts w:asciiTheme="minorHAnsi" w:hAnsiTheme="minorHAnsi" w:cstheme="minorHAnsi"/>
          <w:b w:val="0"/>
          <w:color w:val="auto"/>
          <w:shd w:val="clear" w:color="auto" w:fill="FFFFFF"/>
          <w:lang w:val="it-IT"/>
        </w:rPr>
        <w:t xml:space="preserve"> </w:t>
      </w:r>
      <w:hyperlink r:id="rId9" w:history="1">
        <w:r w:rsidR="00D6571B" w:rsidRPr="008B681F">
          <w:rPr>
            <w:rStyle w:val="Collegamentoipertestuale"/>
            <w:rFonts w:ascii="Calibri" w:hAnsi="Calibri" w:cs="Calibri"/>
            <w:b w:val="0"/>
            <w:lang w:val="it-IT"/>
          </w:rPr>
          <w:t>https://vision.visaeurope.com/</w:t>
        </w:r>
      </w:hyperlink>
      <w:r w:rsidRPr="00CE5877">
        <w:rPr>
          <w:rFonts w:asciiTheme="minorHAnsi" w:hAnsiTheme="minorHAnsi" w:cstheme="minorHAnsi"/>
          <w:b w:val="0"/>
          <w:color w:val="555555"/>
          <w:shd w:val="clear" w:color="auto" w:fill="FFFFFF"/>
          <w:lang w:val="it-IT"/>
        </w:rPr>
        <w:t>, e</w:t>
      </w:r>
      <w:r w:rsidR="00D6571B">
        <w:rPr>
          <w:rFonts w:asciiTheme="minorHAnsi" w:hAnsiTheme="minorHAnsi" w:cstheme="minorHAnsi"/>
          <w:b w:val="0"/>
          <w:color w:val="555555"/>
          <w:shd w:val="clear" w:color="auto" w:fill="FFFFFF"/>
          <w:lang w:val="it-IT"/>
        </w:rPr>
        <w:t xml:space="preserve"> seguici su</w:t>
      </w:r>
      <w:r w:rsidRPr="00CE5877">
        <w:rPr>
          <w:rFonts w:asciiTheme="minorHAnsi" w:hAnsiTheme="minorHAnsi" w:cstheme="minorHAnsi"/>
          <w:b w:val="0"/>
          <w:color w:val="555555"/>
          <w:shd w:val="clear" w:color="auto" w:fill="FFFFFF"/>
          <w:lang w:val="it-IT"/>
        </w:rPr>
        <w:t> </w:t>
      </w:r>
      <w:hyperlink r:id="rId10" w:history="1">
        <w:r w:rsidRPr="00CE5877">
          <w:rPr>
            <w:rStyle w:val="Collegamentoipertestuale"/>
            <w:rFonts w:asciiTheme="minorHAnsi" w:hAnsiTheme="minorHAnsi" w:cstheme="minorHAnsi"/>
            <w:b w:val="0"/>
            <w:shd w:val="clear" w:color="auto" w:fill="FFFFFF"/>
            <w:lang w:val="it-IT"/>
          </w:rPr>
          <w:t>@</w:t>
        </w:r>
        <w:proofErr w:type="spellStart"/>
        <w:r w:rsidRPr="00CE5877">
          <w:rPr>
            <w:rStyle w:val="Collegamentoipertestuale"/>
            <w:rFonts w:asciiTheme="minorHAnsi" w:hAnsiTheme="minorHAnsi" w:cstheme="minorHAnsi"/>
            <w:b w:val="0"/>
            <w:shd w:val="clear" w:color="auto" w:fill="FFFFFF"/>
            <w:lang w:val="it-IT"/>
          </w:rPr>
          <w:t>VisaNewsEurope</w:t>
        </w:r>
        <w:proofErr w:type="spellEnd"/>
      </w:hyperlink>
      <w:r w:rsidRPr="00CE5877">
        <w:rPr>
          <w:rFonts w:asciiTheme="minorHAnsi" w:hAnsiTheme="minorHAnsi" w:cstheme="minorHAnsi"/>
          <w:b w:val="0"/>
          <w:color w:val="555555"/>
          <w:shd w:val="clear" w:color="auto" w:fill="FFFFFF"/>
          <w:lang w:val="it-IT"/>
        </w:rPr>
        <w:t>.</w:t>
      </w:r>
    </w:p>
    <w:sectPr w:rsidR="00977611" w:rsidRPr="00101163">
      <w:headerReference w:type="default" r:id="rId1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1BA6" w:rsidRDefault="006F1BA6" w:rsidP="007E5DA0">
      <w:pPr>
        <w:spacing w:after="0" w:line="240" w:lineRule="auto"/>
      </w:pPr>
      <w:r>
        <w:separator/>
      </w:r>
    </w:p>
  </w:endnote>
  <w:endnote w:type="continuationSeparator" w:id="0">
    <w:p w:rsidR="006F1BA6" w:rsidRDefault="006F1BA6" w:rsidP="007E5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1BA6" w:rsidRDefault="006F1BA6" w:rsidP="007E5DA0">
      <w:pPr>
        <w:spacing w:after="0" w:line="240" w:lineRule="auto"/>
      </w:pPr>
      <w:r>
        <w:separator/>
      </w:r>
    </w:p>
  </w:footnote>
  <w:footnote w:type="continuationSeparator" w:id="0">
    <w:p w:rsidR="006F1BA6" w:rsidRDefault="006F1BA6" w:rsidP="007E5DA0">
      <w:pPr>
        <w:spacing w:after="0" w:line="240" w:lineRule="auto"/>
      </w:pPr>
      <w:r>
        <w:continuationSeparator/>
      </w:r>
    </w:p>
  </w:footnote>
  <w:footnote w:id="1">
    <w:p w:rsidR="00101163" w:rsidRPr="00101163" w:rsidRDefault="00101163">
      <w:pPr>
        <w:pStyle w:val="Testonotaapidipagina"/>
        <w:rPr>
          <w:lang w:val="en-US"/>
        </w:rPr>
      </w:pPr>
      <w:r>
        <w:rPr>
          <w:rStyle w:val="Rimandonotaapidipagina"/>
        </w:rPr>
        <w:footnoteRef/>
      </w:r>
      <w:r w:rsidRPr="00101163">
        <w:rPr>
          <w:lang w:val="en-US"/>
        </w:rPr>
        <w:t xml:space="preserve"> </w:t>
      </w:r>
      <w:r>
        <w:rPr>
          <w:lang w:val="en-GB"/>
        </w:rPr>
        <w:t>United Nations, 2018 Revision of World Urbanization Prospects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DA0" w:rsidRDefault="007E5DA0">
    <w:pPr>
      <w:pStyle w:val="Intestazione"/>
    </w:pPr>
    <w:r w:rsidRPr="00B10BCA">
      <w:rPr>
        <w:rFonts w:ascii="Times New Roman" w:hAnsi="Times New Roman"/>
        <w:noProof/>
        <w:color w:val="FF0000"/>
        <w:sz w:val="24"/>
        <w:lang w:val="en-GB" w:eastAsia="en-GB"/>
      </w:rPr>
      <w:drawing>
        <wp:anchor distT="0" distB="0" distL="114300" distR="114300" simplePos="0" relativeHeight="251659264" behindDoc="0" locked="0" layoutInCell="1" allowOverlap="1" wp14:anchorId="19BF97BB" wp14:editId="662CA557">
          <wp:simplePos x="0" y="0"/>
          <wp:positionH relativeFrom="margin">
            <wp:align>right</wp:align>
          </wp:positionH>
          <wp:positionV relativeFrom="paragraph">
            <wp:posOffset>8890</wp:posOffset>
          </wp:positionV>
          <wp:extent cx="1115695" cy="630555"/>
          <wp:effectExtent l="0" t="0" r="825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630555"/>
                  </a:xfrm>
                  <a:prstGeom prst="rect">
                    <a:avLst/>
                  </a:prstGeom>
                  <a:noFill/>
                </pic:spPr>
              </pic:pic>
            </a:graphicData>
          </a:graphic>
          <wp14:sizeRelH relativeFrom="page">
            <wp14:pctWidth>0</wp14:pctWidth>
          </wp14:sizeRelH>
          <wp14:sizeRelV relativeFrom="page">
            <wp14:pctHeight>0</wp14:pctHeight>
          </wp14:sizeRelV>
        </wp:anchor>
      </w:drawing>
    </w:r>
  </w:p>
  <w:p w:rsidR="007E5DA0" w:rsidRDefault="007E5DA0">
    <w:pPr>
      <w:pStyle w:val="Intestazione"/>
    </w:pPr>
  </w:p>
  <w:p w:rsidR="007E5DA0" w:rsidRDefault="007E5DA0">
    <w:pPr>
      <w:pStyle w:val="Intestazione"/>
    </w:pPr>
  </w:p>
  <w:p w:rsidR="007E5DA0" w:rsidRDefault="007E5DA0">
    <w:pPr>
      <w:pStyle w:val="Intestazione"/>
    </w:pPr>
  </w:p>
  <w:p w:rsidR="007E5DA0" w:rsidRDefault="007E5DA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0D65FE"/>
    <w:multiLevelType w:val="hybridMultilevel"/>
    <w:tmpl w:val="345639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69532DC"/>
    <w:multiLevelType w:val="hybridMultilevel"/>
    <w:tmpl w:val="9D30C26C"/>
    <w:lvl w:ilvl="0" w:tplc="04100003">
      <w:start w:val="1"/>
      <w:numFmt w:val="bullet"/>
      <w:lvlText w:val="o"/>
      <w:lvlJc w:val="left"/>
      <w:pPr>
        <w:ind w:left="1428" w:hanging="360"/>
      </w:pPr>
      <w:rPr>
        <w:rFonts w:ascii="Courier New" w:hAnsi="Courier New" w:cs="Courier New"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 w15:restartNumberingAfterBreak="0">
    <w:nsid w:val="71744EC6"/>
    <w:multiLevelType w:val="hybridMultilevel"/>
    <w:tmpl w:val="F42A8C18"/>
    <w:lvl w:ilvl="0" w:tplc="E0826CCA">
      <w:start w:val="1"/>
      <w:numFmt w:val="bullet"/>
      <w:pStyle w:val="SecondLevelTex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DA0"/>
    <w:rsid w:val="00101163"/>
    <w:rsid w:val="0026562F"/>
    <w:rsid w:val="002B3690"/>
    <w:rsid w:val="002F6613"/>
    <w:rsid w:val="003B5F27"/>
    <w:rsid w:val="00415507"/>
    <w:rsid w:val="005B43EB"/>
    <w:rsid w:val="00660852"/>
    <w:rsid w:val="006F1BA6"/>
    <w:rsid w:val="007E5DA0"/>
    <w:rsid w:val="00867C00"/>
    <w:rsid w:val="00887E8D"/>
    <w:rsid w:val="00977611"/>
    <w:rsid w:val="009A60A9"/>
    <w:rsid w:val="00A948E2"/>
    <w:rsid w:val="00AD3E0A"/>
    <w:rsid w:val="00BA7826"/>
    <w:rsid w:val="00C55A07"/>
    <w:rsid w:val="00CE5877"/>
    <w:rsid w:val="00D6571B"/>
    <w:rsid w:val="00D73C0F"/>
    <w:rsid w:val="00DA6113"/>
    <w:rsid w:val="00DE211A"/>
    <w:rsid w:val="00DF37AF"/>
    <w:rsid w:val="00EF404A"/>
    <w:rsid w:val="00F717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C4BF0"/>
  <w15:chartTrackingRefBased/>
  <w15:docId w15:val="{813909D7-3B06-41A1-AD23-879C3630A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E5DA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E5DA0"/>
  </w:style>
  <w:style w:type="paragraph" w:styleId="Pidipagina">
    <w:name w:val="footer"/>
    <w:basedOn w:val="Normale"/>
    <w:link w:val="PidipaginaCarattere"/>
    <w:uiPriority w:val="99"/>
    <w:unhideWhenUsed/>
    <w:rsid w:val="007E5DA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E5DA0"/>
  </w:style>
  <w:style w:type="paragraph" w:customStyle="1" w:styleId="VisaHeadline">
    <w:name w:val="Visa Headline"/>
    <w:rsid w:val="007E5DA0"/>
    <w:pPr>
      <w:pBdr>
        <w:top w:val="single" w:sz="8" w:space="6" w:color="0023A0"/>
        <w:bottom w:val="single" w:sz="8" w:space="6" w:color="0023A0"/>
      </w:pBdr>
      <w:autoSpaceDE w:val="0"/>
      <w:autoSpaceDN w:val="0"/>
      <w:adjustRightInd w:val="0"/>
      <w:spacing w:after="0" w:line="480" w:lineRule="exact"/>
    </w:pPr>
    <w:rPr>
      <w:rFonts w:ascii="Arial" w:eastAsia="Times New Roman" w:hAnsi="Arial" w:cs="Times New Roman"/>
      <w:color w:val="0023A0"/>
      <w:sz w:val="40"/>
      <w:szCs w:val="20"/>
      <w:lang w:val="en-US"/>
    </w:rPr>
  </w:style>
  <w:style w:type="paragraph" w:styleId="Paragrafoelenco">
    <w:name w:val="List Paragraph"/>
    <w:basedOn w:val="Normale"/>
    <w:uiPriority w:val="34"/>
    <w:qFormat/>
    <w:rsid w:val="00D73C0F"/>
    <w:pPr>
      <w:ind w:left="720"/>
      <w:contextualSpacing/>
    </w:pPr>
  </w:style>
  <w:style w:type="paragraph" w:styleId="PreformattatoHTML">
    <w:name w:val="HTML Preformatted"/>
    <w:basedOn w:val="Normale"/>
    <w:link w:val="PreformattatoHTMLCarattere"/>
    <w:uiPriority w:val="99"/>
    <w:semiHidden/>
    <w:unhideWhenUsed/>
    <w:rsid w:val="00977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977611"/>
    <w:rPr>
      <w:rFonts w:ascii="Courier New" w:eastAsia="Times New Roman" w:hAnsi="Courier New" w:cs="Courier New"/>
      <w:sz w:val="20"/>
      <w:szCs w:val="20"/>
      <w:lang w:eastAsia="it-IT"/>
    </w:rPr>
  </w:style>
  <w:style w:type="character" w:styleId="Collegamentoipertestuale">
    <w:name w:val="Hyperlink"/>
    <w:basedOn w:val="Carpredefinitoparagrafo"/>
    <w:uiPriority w:val="99"/>
    <w:unhideWhenUsed/>
    <w:rsid w:val="009A60A9"/>
    <w:rPr>
      <w:color w:val="0563C1"/>
      <w:u w:val="single"/>
    </w:rPr>
  </w:style>
  <w:style w:type="paragraph" w:customStyle="1" w:styleId="SecondLevelText">
    <w:name w:val="Second Level Text"/>
    <w:basedOn w:val="Normale"/>
    <w:rsid w:val="009A60A9"/>
    <w:pPr>
      <w:numPr>
        <w:numId w:val="2"/>
      </w:numPr>
      <w:spacing w:line="280" w:lineRule="exact"/>
    </w:pPr>
    <w:rPr>
      <w:rFonts w:ascii="Segoe UI" w:eastAsia="Times New Roman" w:hAnsi="Segoe UI" w:cs="Arial"/>
      <w:color w:val="75787B"/>
      <w:lang w:val="en-US"/>
    </w:rPr>
  </w:style>
  <w:style w:type="paragraph" w:customStyle="1" w:styleId="StyleSecondLevelTextBold">
    <w:name w:val="Style Second Level Text + Bold"/>
    <w:basedOn w:val="SecondLevelText"/>
    <w:rsid w:val="009A60A9"/>
    <w:rPr>
      <w:b/>
      <w:bCs/>
    </w:rPr>
  </w:style>
  <w:style w:type="paragraph" w:styleId="Testonotaapidipagina">
    <w:name w:val="footnote text"/>
    <w:basedOn w:val="Normale"/>
    <w:link w:val="TestonotaapidipaginaCarattere"/>
    <w:uiPriority w:val="99"/>
    <w:semiHidden/>
    <w:unhideWhenUsed/>
    <w:rsid w:val="0010116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101163"/>
    <w:rPr>
      <w:sz w:val="20"/>
      <w:szCs w:val="20"/>
    </w:rPr>
  </w:style>
  <w:style w:type="character" w:styleId="Rimandonotaapidipagina">
    <w:name w:val="footnote reference"/>
    <w:basedOn w:val="Carpredefinitoparagrafo"/>
    <w:uiPriority w:val="99"/>
    <w:semiHidden/>
    <w:unhideWhenUsed/>
    <w:rsid w:val="00101163"/>
    <w:rPr>
      <w:vertAlign w:val="superscript"/>
    </w:rPr>
  </w:style>
  <w:style w:type="character" w:styleId="Menzionenonrisolta">
    <w:name w:val="Unresolved Mention"/>
    <w:basedOn w:val="Carpredefinitoparagrafo"/>
    <w:uiPriority w:val="99"/>
    <w:semiHidden/>
    <w:unhideWhenUsed/>
    <w:rsid w:val="00D65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5118157">
      <w:bodyDiv w:val="1"/>
      <w:marLeft w:val="0"/>
      <w:marRight w:val="0"/>
      <w:marTop w:val="0"/>
      <w:marBottom w:val="0"/>
      <w:divBdr>
        <w:top w:val="none" w:sz="0" w:space="0" w:color="auto"/>
        <w:left w:val="none" w:sz="0" w:space="0" w:color="auto"/>
        <w:bottom w:val="none" w:sz="0" w:space="0" w:color="auto"/>
        <w:right w:val="none" w:sz="0" w:space="0" w:color="auto"/>
      </w:divBdr>
    </w:div>
    <w:div w:id="211165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sion.visaeurope.com/blogs/future-of-transportatio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twitter.com/VisaNewsEurope" TargetMode="External"/><Relationship Id="rId4" Type="http://schemas.openxmlformats.org/officeDocument/2006/relationships/settings" Target="settings.xml"/><Relationship Id="rId9" Type="http://schemas.openxmlformats.org/officeDocument/2006/relationships/hyperlink" Target="https://vision.visaeurop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A7538-BD75-4EB8-803A-4C0155945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3</Pages>
  <Words>1623</Words>
  <Characters>9256</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standard</dc:creator>
  <cp:keywords/>
  <dc:description/>
  <cp:lastModifiedBy>dag36</cp:lastModifiedBy>
  <cp:revision>9</cp:revision>
  <dcterms:created xsi:type="dcterms:W3CDTF">2019-02-20T11:17:00Z</dcterms:created>
  <dcterms:modified xsi:type="dcterms:W3CDTF">2019-02-25T15:11:00Z</dcterms:modified>
</cp:coreProperties>
</file>