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A11E" w14:textId="77777777" w:rsidR="001A2A6C" w:rsidRPr="00BE5AA9" w:rsidRDefault="001A2A6C" w:rsidP="00BF7E47">
      <w:pPr>
        <w:spacing w:after="0"/>
        <w:jc w:val="center"/>
        <w:rPr>
          <w:rFonts w:ascii="Century Gothic" w:eastAsia="Arial" w:hAnsi="Century Gothic" w:cs="Arial"/>
          <w:b/>
          <w:sz w:val="32"/>
          <w:szCs w:val="32"/>
          <w:lang w:val="es-ES_tradnl" w:eastAsia="ja-JP"/>
        </w:rPr>
      </w:pPr>
      <w:bookmarkStart w:id="0" w:name="_GoBack"/>
      <w:bookmarkEnd w:id="0"/>
    </w:p>
    <w:p w14:paraId="466B5403" w14:textId="7E291972" w:rsidR="00B70C17" w:rsidRDefault="0049117A" w:rsidP="00BF7E47">
      <w:pPr>
        <w:spacing w:after="0" w:line="240" w:lineRule="auto"/>
        <w:jc w:val="center"/>
        <w:rPr>
          <w:rFonts w:ascii="Century Gothic" w:eastAsia="Arial" w:hAnsi="Century Gothic" w:cs="Arial"/>
          <w:b/>
          <w:sz w:val="32"/>
          <w:szCs w:val="32"/>
          <w:lang w:val="es-ES_tradnl" w:eastAsia="ja-JP"/>
        </w:rPr>
      </w:pPr>
      <w:r>
        <w:rPr>
          <w:rFonts w:ascii="Century Gothic" w:eastAsia="Arial" w:hAnsi="Century Gothic" w:cs="Arial"/>
          <w:b/>
          <w:sz w:val="32"/>
          <w:szCs w:val="32"/>
          <w:lang w:val="es-ES_tradnl" w:eastAsia="ja-JP"/>
        </w:rPr>
        <w:t xml:space="preserve">“Compromiso </w:t>
      </w:r>
      <w:proofErr w:type="spellStart"/>
      <w:r>
        <w:rPr>
          <w:rFonts w:ascii="Century Gothic" w:eastAsia="Arial" w:hAnsi="Century Gothic" w:cs="Arial"/>
          <w:b/>
          <w:sz w:val="32"/>
          <w:szCs w:val="32"/>
          <w:lang w:val="es-ES_tradnl" w:eastAsia="ja-JP"/>
        </w:rPr>
        <w:t>Harmony</w:t>
      </w:r>
      <w:proofErr w:type="spellEnd"/>
      <w:r>
        <w:rPr>
          <w:rFonts w:ascii="Century Gothic" w:eastAsia="Arial" w:hAnsi="Century Gothic" w:cs="Arial"/>
          <w:b/>
          <w:sz w:val="32"/>
          <w:szCs w:val="32"/>
          <w:lang w:val="es-ES_tradnl" w:eastAsia="ja-JP"/>
        </w:rPr>
        <w:t>”</w:t>
      </w:r>
      <w:r w:rsidR="00F307AE">
        <w:rPr>
          <w:rFonts w:ascii="Century Gothic" w:eastAsia="Arial" w:hAnsi="Century Gothic" w:cs="Arial"/>
          <w:b/>
          <w:sz w:val="32"/>
          <w:szCs w:val="32"/>
          <w:lang w:val="es-ES_tradnl" w:eastAsia="ja-JP"/>
        </w:rPr>
        <w:t xml:space="preserve"> </w:t>
      </w:r>
      <w:r w:rsidR="00536E28">
        <w:rPr>
          <w:rFonts w:ascii="Century Gothic" w:eastAsia="Arial" w:hAnsi="Century Gothic" w:cs="Arial"/>
          <w:b/>
          <w:sz w:val="32"/>
          <w:szCs w:val="32"/>
          <w:lang w:val="es-ES_tradnl" w:eastAsia="ja-JP"/>
        </w:rPr>
        <w:t>recoge</w:t>
      </w:r>
      <w:r w:rsidR="001A2A6C">
        <w:rPr>
          <w:rFonts w:ascii="Century Gothic" w:eastAsia="Arial" w:hAnsi="Century Gothic" w:cs="Arial"/>
          <w:b/>
          <w:sz w:val="32"/>
          <w:szCs w:val="32"/>
          <w:lang w:val="es-ES_tradnl" w:eastAsia="ja-JP"/>
        </w:rPr>
        <w:t xml:space="preserve">, </w:t>
      </w:r>
      <w:r w:rsidR="00ED37D4">
        <w:rPr>
          <w:rFonts w:ascii="Century Gothic" w:eastAsia="Arial" w:hAnsi="Century Gothic" w:cs="Arial"/>
          <w:b/>
          <w:sz w:val="32"/>
          <w:szCs w:val="32"/>
          <w:lang w:val="es-ES_tradnl" w:eastAsia="ja-JP"/>
        </w:rPr>
        <w:t>una</w:t>
      </w:r>
    </w:p>
    <w:p w14:paraId="4DDD86F8" w14:textId="59B61F6D" w:rsidR="0061715D" w:rsidRDefault="00ED37D4" w:rsidP="00BF7E47">
      <w:pPr>
        <w:spacing w:after="0" w:line="240" w:lineRule="auto"/>
        <w:jc w:val="center"/>
        <w:rPr>
          <w:rFonts w:ascii="Century Gothic" w:eastAsia="Arial" w:hAnsi="Century Gothic" w:cs="Arial"/>
          <w:b/>
          <w:sz w:val="32"/>
          <w:szCs w:val="32"/>
          <w:lang w:val="es-ES_tradnl" w:eastAsia="ja-JP"/>
        </w:rPr>
      </w:pPr>
      <w:proofErr w:type="gramStart"/>
      <w:r>
        <w:rPr>
          <w:rFonts w:ascii="Century Gothic" w:eastAsia="Arial" w:hAnsi="Century Gothic" w:cs="Arial"/>
          <w:b/>
          <w:sz w:val="32"/>
          <w:szCs w:val="32"/>
          <w:lang w:val="es-ES_tradnl" w:eastAsia="ja-JP"/>
        </w:rPr>
        <w:t>temporada</w:t>
      </w:r>
      <w:proofErr w:type="gramEnd"/>
      <w:r>
        <w:rPr>
          <w:rFonts w:ascii="Century Gothic" w:eastAsia="Arial" w:hAnsi="Century Gothic" w:cs="Arial"/>
          <w:b/>
          <w:sz w:val="32"/>
          <w:szCs w:val="32"/>
          <w:lang w:val="es-ES_tradnl" w:eastAsia="ja-JP"/>
        </w:rPr>
        <w:t xml:space="preserve"> más</w:t>
      </w:r>
      <w:r w:rsidR="001A2A6C">
        <w:rPr>
          <w:rFonts w:ascii="Century Gothic" w:eastAsia="Arial" w:hAnsi="Century Gothic" w:cs="Arial"/>
          <w:b/>
          <w:sz w:val="32"/>
          <w:szCs w:val="32"/>
          <w:lang w:val="es-ES_tradnl" w:eastAsia="ja-JP"/>
        </w:rPr>
        <w:t>,</w:t>
      </w:r>
      <w:r>
        <w:rPr>
          <w:rFonts w:ascii="Century Gothic" w:eastAsia="Arial" w:hAnsi="Century Gothic" w:cs="Arial"/>
          <w:b/>
          <w:sz w:val="32"/>
          <w:szCs w:val="32"/>
          <w:lang w:val="es-ES_tradnl" w:eastAsia="ja-JP"/>
        </w:rPr>
        <w:t xml:space="preserve"> trigo de agricultura sostenible</w:t>
      </w:r>
    </w:p>
    <w:p w14:paraId="00C151B3" w14:textId="77777777" w:rsidR="00B70C17" w:rsidRPr="00AD6C42" w:rsidRDefault="00B70C17" w:rsidP="00B70C17">
      <w:pPr>
        <w:spacing w:after="0" w:line="240" w:lineRule="auto"/>
        <w:jc w:val="center"/>
        <w:rPr>
          <w:rFonts w:ascii="Century Gothic" w:eastAsia="Arial" w:hAnsi="Century Gothic" w:cs="Arial"/>
          <w:b/>
          <w:sz w:val="32"/>
          <w:szCs w:val="32"/>
          <w:lang w:val="es-ES_tradnl" w:eastAsia="ja-JP"/>
        </w:rPr>
      </w:pPr>
    </w:p>
    <w:p w14:paraId="3D669306" w14:textId="77777777" w:rsidR="00EF2CCB" w:rsidRPr="00EF2CCB" w:rsidRDefault="00EF2CCB" w:rsidP="00BF7E47">
      <w:pPr>
        <w:pStyle w:val="Prrafodelista"/>
        <w:numPr>
          <w:ilvl w:val="0"/>
          <w:numId w:val="4"/>
        </w:numPr>
        <w:spacing w:after="0"/>
        <w:rPr>
          <w:rFonts w:ascii="Century Gothic" w:eastAsia="Arial" w:hAnsi="Century Gothic" w:cs="Arial"/>
          <w:b/>
          <w:color w:val="000000"/>
          <w:sz w:val="20"/>
          <w:szCs w:val="20"/>
          <w:lang w:val="es-ES_tradnl" w:eastAsia="ja-JP"/>
        </w:rPr>
      </w:pPr>
      <w:r w:rsidRPr="00EF2CCB">
        <w:rPr>
          <w:rFonts w:ascii="Century Gothic" w:eastAsia="Arial" w:hAnsi="Century Gothic" w:cs="Arial"/>
          <w:b/>
          <w:color w:val="000000"/>
          <w:sz w:val="20"/>
          <w:szCs w:val="20"/>
          <w:lang w:val="es-ES_tradnl" w:eastAsia="ja-JP"/>
        </w:rPr>
        <w:t xml:space="preserve">Impulsado por la marca </w:t>
      </w:r>
      <w:proofErr w:type="spellStart"/>
      <w:r w:rsidRPr="00EF2CCB">
        <w:rPr>
          <w:rFonts w:ascii="Century Gothic" w:eastAsia="Arial" w:hAnsi="Century Gothic" w:cs="Arial"/>
          <w:b/>
          <w:color w:val="000000"/>
          <w:sz w:val="20"/>
          <w:szCs w:val="20"/>
          <w:lang w:val="es-ES_tradnl" w:eastAsia="ja-JP"/>
        </w:rPr>
        <w:t>Fontaneda</w:t>
      </w:r>
      <w:proofErr w:type="spellEnd"/>
      <w:r w:rsidRPr="00EF2CCB">
        <w:rPr>
          <w:rFonts w:ascii="Century Gothic" w:eastAsia="Arial" w:hAnsi="Century Gothic" w:cs="Arial"/>
          <w:b/>
          <w:color w:val="000000"/>
          <w:sz w:val="20"/>
          <w:szCs w:val="20"/>
          <w:lang w:val="es-ES_tradnl" w:eastAsia="ja-JP"/>
        </w:rPr>
        <w:t xml:space="preserve">, busca preservar la biodiversidad, </w:t>
      </w:r>
    </w:p>
    <w:p w14:paraId="3977A0F4" w14:textId="4283BD8A" w:rsidR="00EF2CCB" w:rsidRDefault="00EF2CCB" w:rsidP="00BF7E47">
      <w:pPr>
        <w:pStyle w:val="Prrafodelista"/>
        <w:spacing w:after="0"/>
        <w:rPr>
          <w:rFonts w:ascii="Century Gothic" w:eastAsia="Arial" w:hAnsi="Century Gothic" w:cs="Arial"/>
          <w:b/>
          <w:color w:val="000000"/>
          <w:sz w:val="20"/>
          <w:szCs w:val="20"/>
          <w:lang w:val="es-ES_tradnl" w:eastAsia="ja-JP"/>
        </w:rPr>
      </w:pPr>
      <w:proofErr w:type="gramStart"/>
      <w:r w:rsidRPr="00EF2CCB">
        <w:rPr>
          <w:rFonts w:ascii="Century Gothic" w:eastAsia="Arial" w:hAnsi="Century Gothic" w:cs="Arial"/>
          <w:b/>
          <w:color w:val="000000"/>
          <w:sz w:val="20"/>
          <w:szCs w:val="20"/>
          <w:lang w:val="es-ES_tradnl" w:eastAsia="ja-JP"/>
        </w:rPr>
        <w:t>fomentar</w:t>
      </w:r>
      <w:proofErr w:type="gramEnd"/>
      <w:r w:rsidRPr="00EF2CCB">
        <w:rPr>
          <w:rFonts w:ascii="Century Gothic" w:eastAsia="Arial" w:hAnsi="Century Gothic" w:cs="Arial"/>
          <w:b/>
          <w:color w:val="000000"/>
          <w:sz w:val="20"/>
          <w:szCs w:val="20"/>
          <w:lang w:val="es-ES_tradnl" w:eastAsia="ja-JP"/>
        </w:rPr>
        <w:t xml:space="preserve"> la agricultura local y ofrecer al consumidor galletas de mayor calidad</w:t>
      </w:r>
    </w:p>
    <w:p w14:paraId="530B2967" w14:textId="77777777" w:rsidR="00EF2CCB" w:rsidRPr="00EF2CCB" w:rsidRDefault="00EF2CCB" w:rsidP="00EF2CCB">
      <w:pPr>
        <w:spacing w:after="0"/>
        <w:rPr>
          <w:rFonts w:ascii="Century Gothic" w:eastAsia="Arial" w:hAnsi="Century Gothic" w:cs="Arial"/>
          <w:b/>
          <w:color w:val="000000"/>
          <w:sz w:val="20"/>
          <w:szCs w:val="20"/>
          <w:lang w:val="es-ES_tradnl" w:eastAsia="ja-JP"/>
        </w:rPr>
      </w:pPr>
    </w:p>
    <w:p w14:paraId="6E147485" w14:textId="70AE4617" w:rsidR="001A2A6C" w:rsidRPr="001A2A6C" w:rsidRDefault="001A2A6C" w:rsidP="00EF2CCB">
      <w:pPr>
        <w:pStyle w:val="Normal1"/>
        <w:numPr>
          <w:ilvl w:val="0"/>
          <w:numId w:val="4"/>
        </w:numPr>
        <w:spacing w:after="240"/>
        <w:jc w:val="both"/>
        <w:rPr>
          <w:rFonts w:ascii="Century Gothic" w:hAnsi="Century Gothic"/>
          <w:b/>
          <w:sz w:val="20"/>
          <w:szCs w:val="20"/>
          <w:lang w:val="es-ES_tradnl"/>
        </w:rPr>
      </w:pPr>
      <w:r>
        <w:rPr>
          <w:rFonts w:ascii="Century Gothic" w:hAnsi="Century Gothic"/>
          <w:b/>
          <w:color w:val="auto"/>
          <w:sz w:val="20"/>
          <w:szCs w:val="20"/>
          <w:lang w:val="es-ES_tradnl"/>
        </w:rPr>
        <w:t>La iniciativa cuenta con la participación de 282 agricultores y 17 cooperativas locales</w:t>
      </w:r>
      <w:r w:rsidR="00EF2CCB">
        <w:rPr>
          <w:rFonts w:ascii="Century Gothic" w:hAnsi="Century Gothic"/>
          <w:b/>
          <w:color w:val="auto"/>
          <w:sz w:val="20"/>
          <w:szCs w:val="20"/>
          <w:lang w:val="es-ES_tradnl"/>
        </w:rPr>
        <w:t xml:space="preserve"> que recogerán este año </w:t>
      </w:r>
      <w:r w:rsidRPr="001A2A6C">
        <w:rPr>
          <w:rFonts w:ascii="Century Gothic" w:hAnsi="Century Gothic"/>
          <w:b/>
          <w:sz w:val="20"/>
          <w:szCs w:val="20"/>
          <w:lang w:val="es-ES_tradnl"/>
        </w:rPr>
        <w:t>entre 23.000 y 25.000 toneladas de tri</w:t>
      </w:r>
      <w:r>
        <w:rPr>
          <w:rFonts w:ascii="Century Gothic" w:hAnsi="Century Gothic"/>
          <w:b/>
          <w:sz w:val="20"/>
          <w:szCs w:val="20"/>
          <w:lang w:val="es-ES_tradnl"/>
        </w:rPr>
        <w:t xml:space="preserve">go </w:t>
      </w:r>
      <w:r w:rsidR="00EF2CCB">
        <w:rPr>
          <w:rFonts w:ascii="Century Gothic" w:hAnsi="Century Gothic"/>
          <w:b/>
          <w:sz w:val="20"/>
          <w:szCs w:val="20"/>
          <w:lang w:val="es-ES_tradnl"/>
        </w:rPr>
        <w:t>en España</w:t>
      </w:r>
    </w:p>
    <w:p w14:paraId="0938638A" w14:textId="712089A0" w:rsidR="001A2A6C" w:rsidRPr="00EF2CCB" w:rsidRDefault="001A2A6C" w:rsidP="003B6915">
      <w:pPr>
        <w:pStyle w:val="Normal1"/>
        <w:numPr>
          <w:ilvl w:val="0"/>
          <w:numId w:val="4"/>
        </w:numPr>
        <w:spacing w:after="240"/>
        <w:jc w:val="both"/>
        <w:rPr>
          <w:rFonts w:ascii="Century Gothic" w:hAnsi="Century Gothic"/>
          <w:b/>
          <w:color w:val="auto"/>
          <w:sz w:val="20"/>
          <w:szCs w:val="20"/>
          <w:lang w:val="es-ES_tradnl"/>
        </w:rPr>
      </w:pPr>
      <w:r w:rsidRPr="001A2A6C">
        <w:rPr>
          <w:rFonts w:ascii="Century Gothic" w:hAnsi="Century Gothic"/>
          <w:b/>
          <w:color w:val="auto"/>
          <w:sz w:val="20"/>
          <w:szCs w:val="20"/>
          <w:lang w:val="es-ES_tradnl"/>
        </w:rPr>
        <w:t xml:space="preserve">Desde </w:t>
      </w:r>
      <w:r>
        <w:rPr>
          <w:rFonts w:ascii="Century Gothic" w:hAnsi="Century Gothic"/>
          <w:b/>
          <w:color w:val="auto"/>
          <w:sz w:val="20"/>
          <w:szCs w:val="20"/>
          <w:lang w:val="es-ES_tradnl"/>
        </w:rPr>
        <w:t>su puesta en marcha, en 2012,</w:t>
      </w:r>
      <w:r w:rsidRPr="001A2A6C">
        <w:rPr>
          <w:rFonts w:ascii="Century Gothic" w:hAnsi="Century Gothic"/>
          <w:b/>
          <w:color w:val="auto"/>
          <w:sz w:val="20"/>
          <w:szCs w:val="20"/>
          <w:lang w:val="es-ES_tradnl"/>
        </w:rPr>
        <w:t xml:space="preserve"> se han sembrado más de 21.000 hectáreas de trigo </w:t>
      </w:r>
      <w:proofErr w:type="spellStart"/>
      <w:r w:rsidRPr="001A2A6C">
        <w:rPr>
          <w:rFonts w:ascii="Century Gothic" w:hAnsi="Century Gothic"/>
          <w:b/>
          <w:color w:val="auto"/>
          <w:sz w:val="20"/>
          <w:szCs w:val="20"/>
          <w:lang w:val="es-ES_tradnl"/>
        </w:rPr>
        <w:t>Harmony</w:t>
      </w:r>
      <w:proofErr w:type="spellEnd"/>
      <w:r w:rsidRPr="001A2A6C">
        <w:rPr>
          <w:rFonts w:ascii="Century Gothic" w:hAnsi="Century Gothic"/>
          <w:b/>
          <w:color w:val="auto"/>
          <w:sz w:val="20"/>
          <w:szCs w:val="20"/>
          <w:lang w:val="es-ES_tradnl"/>
        </w:rPr>
        <w:t>, complementadas con más de 217 hectáreas dedicadas al cultivo de flores melíferas</w:t>
      </w:r>
      <w:r>
        <w:rPr>
          <w:rFonts w:ascii="Century Gothic" w:hAnsi="Century Gothic"/>
          <w:b/>
          <w:color w:val="auto"/>
          <w:sz w:val="20"/>
          <w:szCs w:val="20"/>
          <w:lang w:val="es-ES_tradnl"/>
        </w:rPr>
        <w:t xml:space="preserve"> con el fin de favorecer la polinización</w:t>
      </w:r>
    </w:p>
    <w:p w14:paraId="7147F1F3" w14:textId="46A30170" w:rsidR="003B6915" w:rsidRDefault="00B7778C" w:rsidP="003B6915">
      <w:pPr>
        <w:jc w:val="both"/>
        <w:rPr>
          <w:rStyle w:val="Hipervnculo"/>
          <w:rFonts w:ascii="Century Gothic" w:eastAsiaTheme="minorEastAsia" w:hAnsi="Century Gothic"/>
          <w:b/>
          <w:sz w:val="20"/>
          <w:szCs w:val="24"/>
          <w:lang w:val="es-ES_tradnl" w:eastAsia="es-ES"/>
        </w:rPr>
      </w:pPr>
      <w:r>
        <w:rPr>
          <w:rFonts w:ascii="Century Gothic" w:eastAsiaTheme="minorEastAsia" w:hAnsi="Century Gothic"/>
          <w:noProof/>
          <w:sz w:val="20"/>
          <w:szCs w:val="24"/>
          <w:lang w:eastAsia="es-ES"/>
        </w:rPr>
        <w:drawing>
          <wp:anchor distT="0" distB="0" distL="114300" distR="114300" simplePos="0" relativeHeight="251658240" behindDoc="0" locked="0" layoutInCell="1" allowOverlap="1" wp14:anchorId="5048DA3F" wp14:editId="59370F8C">
            <wp:simplePos x="0" y="0"/>
            <wp:positionH relativeFrom="column">
              <wp:posOffset>0</wp:posOffset>
            </wp:positionH>
            <wp:positionV relativeFrom="paragraph">
              <wp:posOffset>380365</wp:posOffset>
            </wp:positionV>
            <wp:extent cx="1867535" cy="1244600"/>
            <wp:effectExtent l="0" t="0" r="12065" b="0"/>
            <wp:wrapSquare wrapText="bothSides"/>
            <wp:docPr id="3" name="Imagen 3" descr="Macintosh HD:Users:esp:Desktop:VIAJE DE PRENSA  2015:fotos baja par nota de presna :HARMONY_PAMPLONA_FONTANEDA_NOTA_COMPROMISO HARMONY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sp:Desktop:VIAJE DE PRENSA  2015:fotos baja par nota de presna :HARMONY_PAMPLONA_FONTANEDA_NOTA_COMPROMISO HARMONY_4.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867535" cy="1244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96F56" w:rsidRPr="00E96F56">
        <w:rPr>
          <w:rFonts w:ascii="Century Gothic" w:eastAsiaTheme="minorEastAsia" w:hAnsi="Century Gothic"/>
          <w:b/>
          <w:sz w:val="20"/>
          <w:szCs w:val="24"/>
          <w:lang w:val="es-ES_tradnl" w:eastAsia="es-ES"/>
        </w:rPr>
        <w:t xml:space="preserve">Madrid, </w:t>
      </w:r>
      <w:r w:rsidR="002125F2">
        <w:rPr>
          <w:rFonts w:ascii="Century Gothic" w:eastAsiaTheme="minorEastAsia" w:hAnsi="Century Gothic"/>
          <w:b/>
          <w:sz w:val="20"/>
          <w:szCs w:val="24"/>
          <w:lang w:val="es-ES_tradnl" w:eastAsia="es-ES"/>
        </w:rPr>
        <w:t>27</w:t>
      </w:r>
      <w:r w:rsidR="00E96F56" w:rsidRPr="00E96F56">
        <w:rPr>
          <w:rFonts w:ascii="Century Gothic" w:eastAsiaTheme="minorEastAsia" w:hAnsi="Century Gothic"/>
          <w:b/>
          <w:sz w:val="20"/>
          <w:szCs w:val="24"/>
          <w:lang w:val="es-ES_tradnl" w:eastAsia="es-ES"/>
        </w:rPr>
        <w:t xml:space="preserve"> de julio de 2015</w:t>
      </w:r>
      <w:r w:rsidR="00E96F56" w:rsidRPr="00E96F56">
        <w:rPr>
          <w:rFonts w:ascii="Century Gothic" w:eastAsiaTheme="minorEastAsia" w:hAnsi="Century Gothic"/>
          <w:sz w:val="20"/>
          <w:szCs w:val="24"/>
          <w:lang w:val="es-ES_tradnl" w:eastAsia="es-ES"/>
        </w:rPr>
        <w:t xml:space="preserve"> </w:t>
      </w:r>
      <w:r w:rsidR="00E96F56">
        <w:rPr>
          <w:rFonts w:ascii="Century Gothic" w:eastAsiaTheme="minorEastAsia" w:hAnsi="Century Gothic"/>
          <w:sz w:val="20"/>
          <w:szCs w:val="24"/>
          <w:lang w:val="es-ES_tradnl" w:eastAsia="es-ES"/>
        </w:rPr>
        <w:t>–</w:t>
      </w:r>
      <w:r w:rsidR="00E96F56" w:rsidRPr="00E96F56">
        <w:rPr>
          <w:rFonts w:ascii="Century Gothic" w:eastAsiaTheme="minorEastAsia" w:hAnsi="Century Gothic"/>
          <w:sz w:val="20"/>
          <w:szCs w:val="24"/>
          <w:lang w:val="es-ES_tradnl" w:eastAsia="es-ES"/>
        </w:rPr>
        <w:t xml:space="preserve"> </w:t>
      </w:r>
      <w:r w:rsidR="003B6915">
        <w:rPr>
          <w:rFonts w:ascii="Century Gothic" w:eastAsiaTheme="minorEastAsia" w:hAnsi="Century Gothic"/>
          <w:sz w:val="20"/>
          <w:szCs w:val="24"/>
          <w:lang w:val="es-ES_tradnl" w:eastAsia="es-ES"/>
        </w:rPr>
        <w:t xml:space="preserve">Pese a lo que pueda parecer, la llegada de las altas temperaturas que se </w:t>
      </w:r>
      <w:r w:rsidR="001A2A6C">
        <w:rPr>
          <w:rFonts w:ascii="Century Gothic" w:eastAsiaTheme="minorEastAsia" w:hAnsi="Century Gothic"/>
          <w:sz w:val="20"/>
          <w:szCs w:val="24"/>
          <w:lang w:val="es-ES_tradnl" w:eastAsia="es-ES"/>
        </w:rPr>
        <w:t>viven</w:t>
      </w:r>
      <w:r w:rsidR="003B6915">
        <w:rPr>
          <w:rFonts w:ascii="Century Gothic" w:eastAsiaTheme="minorEastAsia" w:hAnsi="Century Gothic"/>
          <w:sz w:val="20"/>
          <w:szCs w:val="24"/>
          <w:lang w:val="es-ES_tradnl" w:eastAsia="es-ES"/>
        </w:rPr>
        <w:t xml:space="preserve"> estos días </w:t>
      </w:r>
      <w:proofErr w:type="gramStart"/>
      <w:r w:rsidR="003B6915">
        <w:rPr>
          <w:rFonts w:ascii="Century Gothic" w:eastAsiaTheme="minorEastAsia" w:hAnsi="Century Gothic"/>
          <w:sz w:val="20"/>
          <w:szCs w:val="24"/>
          <w:lang w:val="es-ES_tradnl" w:eastAsia="es-ES"/>
        </w:rPr>
        <w:t>son</w:t>
      </w:r>
      <w:proofErr w:type="gramEnd"/>
      <w:r w:rsidR="003B6915">
        <w:rPr>
          <w:rFonts w:ascii="Century Gothic" w:eastAsiaTheme="minorEastAsia" w:hAnsi="Century Gothic"/>
          <w:sz w:val="20"/>
          <w:szCs w:val="24"/>
          <w:lang w:val="es-ES_tradnl" w:eastAsia="es-ES"/>
        </w:rPr>
        <w:t xml:space="preserve"> beneficiosas para algunos, ya que el calor termina de secar en los campos el cereal, y marca el inicio de la recogida de la cosecha. Sin embargo no todos los campos, ni todos los trigales son iguales y Navarra, Aragón, Castilla y León son de las pocas comunidades en </w:t>
      </w:r>
      <w:r w:rsidR="00B70C17">
        <w:rPr>
          <w:rFonts w:ascii="Century Gothic" w:eastAsiaTheme="minorEastAsia" w:hAnsi="Century Gothic"/>
          <w:sz w:val="20"/>
          <w:szCs w:val="24"/>
          <w:lang w:val="es-ES_tradnl" w:eastAsia="es-ES"/>
        </w:rPr>
        <w:t>España que acogen el proyecto de agricultura sostenible</w:t>
      </w:r>
      <w:r w:rsidR="003B6915">
        <w:rPr>
          <w:rFonts w:ascii="Century Gothic" w:eastAsiaTheme="minorEastAsia" w:hAnsi="Century Gothic"/>
          <w:sz w:val="20"/>
          <w:szCs w:val="24"/>
          <w:lang w:val="es-ES_tradnl" w:eastAsia="es-ES"/>
        </w:rPr>
        <w:t xml:space="preserve"> </w:t>
      </w:r>
      <w:hyperlink r:id="rId8" w:history="1">
        <w:r w:rsidR="003B6915" w:rsidRPr="002F3789">
          <w:rPr>
            <w:rStyle w:val="Hipervnculo"/>
            <w:rFonts w:ascii="Century Gothic" w:eastAsiaTheme="minorEastAsia" w:hAnsi="Century Gothic"/>
            <w:b/>
            <w:sz w:val="20"/>
            <w:szCs w:val="24"/>
            <w:lang w:val="es-ES_tradnl" w:eastAsia="es-ES"/>
          </w:rPr>
          <w:t xml:space="preserve">Compromiso </w:t>
        </w:r>
        <w:proofErr w:type="spellStart"/>
        <w:r w:rsidR="003B6915" w:rsidRPr="002F3789">
          <w:rPr>
            <w:rStyle w:val="Hipervnculo"/>
            <w:rFonts w:ascii="Century Gothic" w:eastAsiaTheme="minorEastAsia" w:hAnsi="Century Gothic"/>
            <w:b/>
            <w:sz w:val="20"/>
            <w:szCs w:val="24"/>
            <w:lang w:val="es-ES_tradnl" w:eastAsia="es-ES"/>
          </w:rPr>
          <w:t>Harmony</w:t>
        </w:r>
        <w:proofErr w:type="spellEnd"/>
      </w:hyperlink>
      <w:r w:rsidR="003B6915">
        <w:rPr>
          <w:rStyle w:val="Hipervnculo"/>
          <w:rFonts w:ascii="Century Gothic" w:eastAsiaTheme="minorEastAsia" w:hAnsi="Century Gothic"/>
          <w:b/>
          <w:sz w:val="20"/>
          <w:szCs w:val="24"/>
          <w:lang w:val="es-ES_tradnl" w:eastAsia="es-ES"/>
        </w:rPr>
        <w:t>.</w:t>
      </w:r>
    </w:p>
    <w:p w14:paraId="431D6497" w14:textId="3E7958A4" w:rsidR="003B6915" w:rsidRPr="007653CC" w:rsidRDefault="003B6915" w:rsidP="00B70C17">
      <w:pPr>
        <w:jc w:val="both"/>
        <w:rPr>
          <w:rFonts w:ascii="Century Gothic" w:eastAsiaTheme="minorEastAsia" w:hAnsi="Century Gothic"/>
          <w:sz w:val="20"/>
          <w:szCs w:val="24"/>
          <w:lang w:val="es-ES_tradnl" w:eastAsia="es-ES"/>
        </w:rPr>
      </w:pPr>
      <w:r>
        <w:rPr>
          <w:rFonts w:ascii="Century Gothic" w:eastAsiaTheme="minorEastAsia" w:hAnsi="Century Gothic"/>
          <w:sz w:val="20"/>
          <w:szCs w:val="24"/>
          <w:lang w:val="es-ES_tradnl" w:eastAsia="es-ES"/>
        </w:rPr>
        <w:t xml:space="preserve">Impulsado por </w:t>
      </w:r>
      <w:r w:rsidR="00B70C17">
        <w:rPr>
          <w:rFonts w:ascii="Century Gothic" w:eastAsiaTheme="minorEastAsia" w:hAnsi="Century Gothic"/>
          <w:sz w:val="20"/>
          <w:szCs w:val="24"/>
          <w:lang w:val="es-ES_tradnl" w:eastAsia="es-ES"/>
        </w:rPr>
        <w:t xml:space="preserve">la marca de galletas </w:t>
      </w:r>
      <w:proofErr w:type="spellStart"/>
      <w:r>
        <w:rPr>
          <w:rFonts w:ascii="Century Gothic" w:eastAsiaTheme="minorEastAsia" w:hAnsi="Century Gothic"/>
          <w:sz w:val="20"/>
          <w:szCs w:val="24"/>
          <w:lang w:val="es-ES_tradnl" w:eastAsia="es-ES"/>
        </w:rPr>
        <w:t>Fontaneda</w:t>
      </w:r>
      <w:proofErr w:type="spellEnd"/>
      <w:r>
        <w:rPr>
          <w:rFonts w:ascii="Century Gothic" w:eastAsiaTheme="minorEastAsia" w:hAnsi="Century Gothic"/>
          <w:sz w:val="20"/>
          <w:szCs w:val="24"/>
          <w:lang w:val="es-ES_tradnl" w:eastAsia="es-ES"/>
        </w:rPr>
        <w:t>, este programa refleja el</w:t>
      </w:r>
      <w:r>
        <w:rPr>
          <w:rFonts w:ascii="Century Gothic" w:hAnsi="Century Gothic"/>
          <w:sz w:val="20"/>
        </w:rPr>
        <w:t xml:space="preserve"> compromiso de la marca con sus</w:t>
      </w:r>
      <w:r w:rsidRPr="00AC7FE0">
        <w:rPr>
          <w:rFonts w:ascii="Century Gothic" w:hAnsi="Century Gothic"/>
          <w:sz w:val="20"/>
        </w:rPr>
        <w:t xml:space="preserve"> </w:t>
      </w:r>
      <w:r>
        <w:rPr>
          <w:rFonts w:ascii="Century Gothic" w:hAnsi="Century Gothic"/>
          <w:sz w:val="20"/>
        </w:rPr>
        <w:t xml:space="preserve">consumidores, así como con los </w:t>
      </w:r>
      <w:r w:rsidRPr="007A5E5B">
        <w:rPr>
          <w:rFonts w:ascii="Century Gothic" w:hAnsi="Century Gothic"/>
          <w:sz w:val="20"/>
        </w:rPr>
        <w:t>agric</w:t>
      </w:r>
      <w:r>
        <w:rPr>
          <w:rFonts w:ascii="Century Gothic" w:hAnsi="Century Gothic"/>
          <w:sz w:val="20"/>
        </w:rPr>
        <w:t xml:space="preserve">ultores locales y el entorno. </w:t>
      </w:r>
    </w:p>
    <w:p w14:paraId="299BE47B" w14:textId="30416A53" w:rsidR="003B6915" w:rsidRDefault="003B6915" w:rsidP="003B6915">
      <w:pPr>
        <w:pStyle w:val="Paragraphedeliste1"/>
        <w:ind w:left="0"/>
        <w:jc w:val="both"/>
        <w:rPr>
          <w:rFonts w:ascii="Century Gothic" w:eastAsiaTheme="minorEastAsia" w:hAnsi="Century Gothic"/>
          <w:sz w:val="20"/>
          <w:szCs w:val="24"/>
          <w:lang w:val="es-ES_tradnl" w:eastAsia="es-ES"/>
        </w:rPr>
      </w:pPr>
      <w:r>
        <w:rPr>
          <w:rFonts w:ascii="Century Gothic" w:eastAsiaTheme="minorEastAsia" w:hAnsi="Century Gothic" w:cstheme="minorBidi"/>
          <w:sz w:val="20"/>
          <w:szCs w:val="24"/>
          <w:lang w:val="es-ES_tradnl" w:eastAsia="es-ES"/>
        </w:rPr>
        <w:t xml:space="preserve">España es el segundo país, después de Francia, en implantar este proyecto que </w:t>
      </w:r>
      <w:r>
        <w:rPr>
          <w:rFonts w:ascii="Century Gothic" w:eastAsiaTheme="minorEastAsia" w:hAnsi="Century Gothic"/>
          <w:sz w:val="20"/>
          <w:szCs w:val="24"/>
          <w:lang w:val="es-ES_tradnl" w:eastAsia="es-ES"/>
        </w:rPr>
        <w:t xml:space="preserve">ha ido creciendo año tras año gracias a la participación de agricultores locales, cooperativas y harineras. Así, para el fin de la cosecha en los campos en este mes de julio se habrán recogido entre </w:t>
      </w:r>
      <w:r w:rsidRPr="00415C21">
        <w:rPr>
          <w:rFonts w:ascii="Century Gothic" w:eastAsiaTheme="minorEastAsia" w:hAnsi="Century Gothic"/>
          <w:b/>
          <w:sz w:val="20"/>
          <w:szCs w:val="24"/>
          <w:lang w:val="es-ES_tradnl" w:eastAsia="es-ES"/>
        </w:rPr>
        <w:t xml:space="preserve">23.000 y 25.000 toneladas de trigo </w:t>
      </w:r>
      <w:proofErr w:type="spellStart"/>
      <w:r w:rsidRPr="00415C21">
        <w:rPr>
          <w:rFonts w:ascii="Century Gothic" w:eastAsiaTheme="minorEastAsia" w:hAnsi="Century Gothic"/>
          <w:b/>
          <w:sz w:val="20"/>
          <w:szCs w:val="24"/>
          <w:lang w:val="es-ES_tradnl" w:eastAsia="es-ES"/>
        </w:rPr>
        <w:t>Harmony</w:t>
      </w:r>
      <w:proofErr w:type="spellEnd"/>
      <w:r w:rsidRPr="00415C21">
        <w:rPr>
          <w:rFonts w:ascii="Century Gothic" w:eastAsiaTheme="minorEastAsia" w:hAnsi="Century Gothic"/>
          <w:b/>
          <w:sz w:val="20"/>
          <w:szCs w:val="24"/>
          <w:lang w:val="es-ES_tradnl" w:eastAsia="es-ES"/>
        </w:rPr>
        <w:t xml:space="preserve"> en toda la península</w:t>
      </w:r>
      <w:r>
        <w:rPr>
          <w:rFonts w:ascii="Century Gothic" w:eastAsiaTheme="minorEastAsia" w:hAnsi="Century Gothic"/>
          <w:sz w:val="20"/>
          <w:szCs w:val="24"/>
          <w:lang w:val="es-ES_tradnl" w:eastAsia="es-ES"/>
        </w:rPr>
        <w:t xml:space="preserve">, gracias </w:t>
      </w:r>
      <w:r w:rsidRPr="000F1C23">
        <w:rPr>
          <w:rFonts w:ascii="Century Gothic" w:eastAsiaTheme="minorEastAsia" w:hAnsi="Century Gothic"/>
          <w:sz w:val="20"/>
          <w:szCs w:val="24"/>
          <w:lang w:val="es-ES_tradnl" w:eastAsia="es-ES"/>
        </w:rPr>
        <w:t xml:space="preserve">al trabajo de los </w:t>
      </w:r>
      <w:r w:rsidRPr="000F1C23">
        <w:rPr>
          <w:rFonts w:ascii="Century Gothic" w:eastAsiaTheme="minorEastAsia" w:hAnsi="Century Gothic"/>
          <w:b/>
          <w:sz w:val="20"/>
          <w:szCs w:val="24"/>
          <w:lang w:val="es-ES_tradnl" w:eastAsia="es-ES"/>
        </w:rPr>
        <w:t>282 agricultores</w:t>
      </w:r>
      <w:r w:rsidRPr="000F1C23">
        <w:rPr>
          <w:rFonts w:ascii="Century Gothic" w:eastAsiaTheme="minorEastAsia" w:hAnsi="Century Gothic"/>
          <w:sz w:val="20"/>
          <w:szCs w:val="24"/>
          <w:lang w:val="es-ES_tradnl" w:eastAsia="es-ES"/>
        </w:rPr>
        <w:t xml:space="preserve"> y las 17 cooperativas locales implicadas en </w:t>
      </w:r>
      <w:r w:rsidR="001A2A6C" w:rsidRPr="000F1C23">
        <w:rPr>
          <w:rFonts w:ascii="Century Gothic" w:eastAsiaTheme="minorEastAsia" w:hAnsi="Century Gothic"/>
          <w:sz w:val="20"/>
          <w:szCs w:val="24"/>
          <w:lang w:val="es-ES_tradnl" w:eastAsia="es-ES"/>
        </w:rPr>
        <w:t>esta iniciativa</w:t>
      </w:r>
      <w:r w:rsidRPr="000F1C23">
        <w:rPr>
          <w:rFonts w:ascii="Century Gothic" w:eastAsiaTheme="minorEastAsia" w:hAnsi="Century Gothic"/>
          <w:sz w:val="20"/>
          <w:szCs w:val="24"/>
          <w:lang w:val="es-ES_tradnl" w:eastAsia="es-ES"/>
        </w:rPr>
        <w:t xml:space="preserve">. </w:t>
      </w:r>
      <w:r w:rsidR="001A2A6C" w:rsidRPr="000F1C23">
        <w:rPr>
          <w:rFonts w:ascii="Century Gothic" w:eastAsiaTheme="minorEastAsia" w:hAnsi="Century Gothic"/>
          <w:sz w:val="20"/>
          <w:szCs w:val="24"/>
          <w:lang w:val="es-ES_tradnl" w:eastAsia="es-ES"/>
        </w:rPr>
        <w:t>Desde el comienzo del programa</w:t>
      </w:r>
      <w:r w:rsidRPr="000F1C23">
        <w:rPr>
          <w:rFonts w:ascii="Century Gothic" w:eastAsiaTheme="minorEastAsia" w:hAnsi="Century Gothic"/>
          <w:sz w:val="20"/>
          <w:szCs w:val="24"/>
          <w:lang w:val="es-ES_tradnl" w:eastAsia="es-ES"/>
        </w:rPr>
        <w:t xml:space="preserve"> </w:t>
      </w:r>
      <w:r w:rsidR="005C7419" w:rsidRPr="000F1C23">
        <w:rPr>
          <w:rFonts w:ascii="Century Gothic" w:eastAsiaTheme="minorEastAsia" w:hAnsi="Century Gothic"/>
          <w:sz w:val="20"/>
          <w:szCs w:val="24"/>
          <w:lang w:val="es-ES_tradnl" w:eastAsia="es-ES"/>
        </w:rPr>
        <w:t>-</w:t>
      </w:r>
      <w:r w:rsidRPr="000F1C23">
        <w:rPr>
          <w:rFonts w:ascii="Century Gothic" w:eastAsiaTheme="minorEastAsia" w:hAnsi="Century Gothic"/>
          <w:sz w:val="20"/>
          <w:szCs w:val="24"/>
          <w:lang w:val="es-ES_tradnl" w:eastAsia="es-ES"/>
        </w:rPr>
        <w:t>a principios de 2012</w:t>
      </w:r>
      <w:r w:rsidR="005C7419" w:rsidRPr="000F1C23">
        <w:rPr>
          <w:rFonts w:ascii="Century Gothic" w:eastAsiaTheme="minorEastAsia" w:hAnsi="Century Gothic"/>
          <w:sz w:val="20"/>
          <w:szCs w:val="24"/>
          <w:lang w:val="es-ES_tradnl" w:eastAsia="es-ES"/>
        </w:rPr>
        <w:t>-</w:t>
      </w:r>
      <w:r w:rsidRPr="000F1C23">
        <w:rPr>
          <w:rFonts w:ascii="Century Gothic" w:eastAsiaTheme="minorEastAsia" w:hAnsi="Century Gothic"/>
          <w:sz w:val="20"/>
          <w:szCs w:val="24"/>
          <w:lang w:val="es-ES_tradnl" w:eastAsia="es-ES"/>
        </w:rPr>
        <w:t xml:space="preserve"> se han sembrado más de </w:t>
      </w:r>
      <w:r w:rsidRPr="000F1C23">
        <w:rPr>
          <w:rFonts w:ascii="Century Gothic" w:eastAsiaTheme="minorEastAsia" w:hAnsi="Century Gothic"/>
          <w:b/>
          <w:sz w:val="20"/>
          <w:szCs w:val="24"/>
          <w:lang w:val="es-ES_tradnl" w:eastAsia="es-ES"/>
        </w:rPr>
        <w:t xml:space="preserve">21.000 hectáreas de trigo </w:t>
      </w:r>
      <w:proofErr w:type="spellStart"/>
      <w:r w:rsidRPr="000F1C23">
        <w:rPr>
          <w:rFonts w:ascii="Century Gothic" w:eastAsiaTheme="minorEastAsia" w:hAnsi="Century Gothic"/>
          <w:b/>
          <w:sz w:val="20"/>
          <w:szCs w:val="24"/>
          <w:lang w:val="es-ES_tradnl" w:eastAsia="es-ES"/>
        </w:rPr>
        <w:t>Harmony</w:t>
      </w:r>
      <w:proofErr w:type="spellEnd"/>
      <w:r w:rsidRPr="000F1C23">
        <w:rPr>
          <w:rFonts w:ascii="Century Gothic" w:eastAsiaTheme="minorEastAsia" w:hAnsi="Century Gothic"/>
          <w:sz w:val="20"/>
          <w:szCs w:val="24"/>
          <w:lang w:val="es-ES_tradnl" w:eastAsia="es-ES"/>
        </w:rPr>
        <w:t xml:space="preserve">, complementadas con más de </w:t>
      </w:r>
      <w:r w:rsidRPr="000F1C23">
        <w:rPr>
          <w:rFonts w:ascii="Century Gothic" w:eastAsiaTheme="minorEastAsia" w:hAnsi="Century Gothic"/>
          <w:b/>
          <w:sz w:val="20"/>
          <w:szCs w:val="24"/>
          <w:lang w:val="es-ES_tradnl" w:eastAsia="es-ES"/>
        </w:rPr>
        <w:t>217 hectáreas</w:t>
      </w:r>
      <w:r w:rsidRPr="000F1C23">
        <w:rPr>
          <w:rFonts w:ascii="Century Gothic" w:eastAsiaTheme="minorEastAsia" w:hAnsi="Century Gothic"/>
          <w:sz w:val="20"/>
          <w:szCs w:val="24"/>
          <w:lang w:val="es-ES_tradnl" w:eastAsia="es-ES"/>
        </w:rPr>
        <w:t xml:space="preserve"> dedicadas al cultivo de </w:t>
      </w:r>
      <w:r w:rsidRPr="000F1C23">
        <w:rPr>
          <w:rFonts w:ascii="Century Gothic" w:eastAsiaTheme="minorEastAsia" w:hAnsi="Century Gothic"/>
          <w:b/>
          <w:sz w:val="20"/>
          <w:szCs w:val="24"/>
          <w:lang w:val="es-ES_tradnl" w:eastAsia="es-ES"/>
        </w:rPr>
        <w:t>flores melíferas</w:t>
      </w:r>
      <w:r w:rsidRPr="000F1C23">
        <w:rPr>
          <w:rFonts w:ascii="Century Gothic" w:eastAsiaTheme="minorEastAsia" w:hAnsi="Century Gothic"/>
          <w:sz w:val="20"/>
          <w:szCs w:val="24"/>
          <w:lang w:val="es-ES_tradnl" w:eastAsia="es-ES"/>
        </w:rPr>
        <w:t>.</w:t>
      </w:r>
      <w:r>
        <w:rPr>
          <w:rFonts w:ascii="Century Gothic" w:eastAsiaTheme="minorEastAsia" w:hAnsi="Century Gothic"/>
          <w:sz w:val="20"/>
          <w:szCs w:val="24"/>
          <w:lang w:val="es-ES_tradnl" w:eastAsia="es-ES"/>
        </w:rPr>
        <w:t xml:space="preserve"> </w:t>
      </w:r>
    </w:p>
    <w:p w14:paraId="120A75A4" w14:textId="77777777" w:rsidR="00B70C17" w:rsidRDefault="00B70C17" w:rsidP="00B70C17">
      <w:pPr>
        <w:pStyle w:val="Paragraphedeliste1"/>
        <w:ind w:left="0"/>
        <w:jc w:val="both"/>
        <w:rPr>
          <w:rFonts w:ascii="Century Gothic" w:eastAsiaTheme="minorEastAsia" w:hAnsi="Century Gothic"/>
          <w:sz w:val="20"/>
          <w:szCs w:val="24"/>
          <w:lang w:val="es-ES_tradnl" w:eastAsia="es-ES"/>
        </w:rPr>
      </w:pPr>
      <w:r>
        <w:rPr>
          <w:rFonts w:ascii="Century Gothic" w:eastAsiaTheme="minorEastAsia" w:hAnsi="Century Gothic"/>
          <w:sz w:val="20"/>
          <w:szCs w:val="24"/>
          <w:lang w:val="es-ES_tradnl" w:eastAsia="es-ES"/>
        </w:rPr>
        <w:t xml:space="preserve"> </w:t>
      </w:r>
    </w:p>
    <w:p w14:paraId="56E8BFC6" w14:textId="290109E8" w:rsidR="00B70C17" w:rsidRDefault="001A2A6C" w:rsidP="001A2A6C">
      <w:pPr>
        <w:pStyle w:val="Paragraphedeliste1"/>
        <w:ind w:left="0"/>
        <w:jc w:val="both"/>
        <w:rPr>
          <w:rFonts w:ascii="Century Gothic" w:eastAsiaTheme="minorEastAsia" w:hAnsi="Century Gothic"/>
          <w:sz w:val="20"/>
          <w:szCs w:val="24"/>
          <w:lang w:val="es-ES_tradnl" w:eastAsia="es-ES"/>
        </w:rPr>
      </w:pPr>
      <w:r>
        <w:rPr>
          <w:rFonts w:ascii="Century Gothic" w:eastAsiaTheme="minorEastAsia" w:hAnsi="Century Gothic"/>
          <w:sz w:val="20"/>
          <w:szCs w:val="24"/>
          <w:lang w:val="es-ES_tradnl" w:eastAsia="es-ES"/>
        </w:rPr>
        <w:t>El proyecto</w:t>
      </w:r>
      <w:r w:rsidR="00B70C17">
        <w:rPr>
          <w:rFonts w:ascii="Century Gothic" w:eastAsiaTheme="minorEastAsia" w:hAnsi="Century Gothic"/>
          <w:sz w:val="20"/>
          <w:szCs w:val="24"/>
          <w:lang w:val="es-ES_tradnl" w:eastAsia="es-ES"/>
        </w:rPr>
        <w:t>, por tanto</w:t>
      </w:r>
      <w:r w:rsidR="00536E28">
        <w:rPr>
          <w:rFonts w:ascii="Century Gothic" w:eastAsiaTheme="minorEastAsia" w:hAnsi="Century Gothic"/>
          <w:sz w:val="20"/>
          <w:szCs w:val="24"/>
          <w:lang w:val="es-ES_tradnl" w:eastAsia="es-ES"/>
        </w:rPr>
        <w:t>,</w:t>
      </w:r>
      <w:r w:rsidR="00B70C17" w:rsidRPr="00B70C17">
        <w:rPr>
          <w:rFonts w:ascii="Century Gothic" w:eastAsiaTheme="minorEastAsia" w:hAnsi="Century Gothic"/>
          <w:sz w:val="20"/>
          <w:szCs w:val="24"/>
          <w:lang w:val="es-ES_tradnl" w:eastAsia="es-ES"/>
        </w:rPr>
        <w:t xml:space="preserve"> </w:t>
      </w:r>
      <w:r w:rsidR="00B70C17">
        <w:rPr>
          <w:rFonts w:ascii="Century Gothic" w:eastAsiaTheme="minorEastAsia" w:hAnsi="Century Gothic"/>
          <w:sz w:val="20"/>
          <w:szCs w:val="24"/>
          <w:lang w:val="es-ES_tradnl" w:eastAsia="es-ES"/>
        </w:rPr>
        <w:t>consigue l</w:t>
      </w:r>
      <w:r w:rsidR="00B70C17" w:rsidRPr="00B70C17">
        <w:rPr>
          <w:rFonts w:ascii="Century Gothic" w:eastAsiaTheme="minorEastAsia" w:hAnsi="Century Gothic"/>
          <w:sz w:val="20"/>
          <w:szCs w:val="24"/>
          <w:lang w:val="es-ES_tradnl" w:eastAsia="es-ES"/>
        </w:rPr>
        <w:t>imitar el impacto medioambiental a través del abastecimiento de proveedores locales</w:t>
      </w:r>
      <w:r w:rsidR="00B70C17">
        <w:rPr>
          <w:rFonts w:ascii="Century Gothic" w:eastAsiaTheme="minorEastAsia" w:hAnsi="Century Gothic"/>
          <w:sz w:val="20"/>
          <w:szCs w:val="24"/>
          <w:lang w:val="es-ES_tradnl" w:eastAsia="es-ES"/>
        </w:rPr>
        <w:t xml:space="preserve"> y m</w:t>
      </w:r>
      <w:r w:rsidR="00B70C17" w:rsidRPr="00B70C17">
        <w:rPr>
          <w:rFonts w:ascii="Century Gothic" w:eastAsiaTheme="minorEastAsia" w:hAnsi="Century Gothic"/>
          <w:sz w:val="20"/>
          <w:szCs w:val="24"/>
          <w:lang w:val="es-ES_tradnl" w:eastAsia="es-ES"/>
        </w:rPr>
        <w:t xml:space="preserve">ejorar la producción de trigo </w:t>
      </w:r>
      <w:r w:rsidR="00B70C17">
        <w:rPr>
          <w:rFonts w:ascii="Century Gothic" w:eastAsiaTheme="minorEastAsia" w:hAnsi="Century Gothic"/>
          <w:sz w:val="20"/>
          <w:szCs w:val="24"/>
          <w:lang w:val="es-ES_tradnl" w:eastAsia="es-ES"/>
        </w:rPr>
        <w:t>gracias al</w:t>
      </w:r>
      <w:r w:rsidR="00B70C17" w:rsidRPr="00B70C17">
        <w:rPr>
          <w:rFonts w:ascii="Century Gothic" w:eastAsiaTheme="minorEastAsia" w:hAnsi="Century Gothic"/>
          <w:sz w:val="20"/>
          <w:szCs w:val="24"/>
          <w:lang w:val="es-ES_tradnl" w:eastAsia="es-ES"/>
        </w:rPr>
        <w:t xml:space="preserve"> uso de semillas certificadas o la selecció</w:t>
      </w:r>
      <w:r w:rsidR="00B70C17">
        <w:rPr>
          <w:rFonts w:ascii="Century Gothic" w:eastAsiaTheme="minorEastAsia" w:hAnsi="Century Gothic"/>
          <w:sz w:val="20"/>
          <w:szCs w:val="24"/>
          <w:lang w:val="es-ES_tradnl" w:eastAsia="es-ES"/>
        </w:rPr>
        <w:t xml:space="preserve">n de la mejor variedad de trigo. Asimismo, Compromiso </w:t>
      </w:r>
      <w:proofErr w:type="spellStart"/>
      <w:r w:rsidR="00B70C17">
        <w:rPr>
          <w:rFonts w:ascii="Century Gothic" w:eastAsiaTheme="minorEastAsia" w:hAnsi="Century Gothic"/>
          <w:sz w:val="20"/>
          <w:szCs w:val="24"/>
          <w:lang w:val="es-ES_tradnl" w:eastAsia="es-ES"/>
        </w:rPr>
        <w:t>Harmony</w:t>
      </w:r>
      <w:proofErr w:type="spellEnd"/>
      <w:r w:rsidR="00B70C17">
        <w:rPr>
          <w:rFonts w:ascii="Century Gothic" w:eastAsiaTheme="minorEastAsia" w:hAnsi="Century Gothic"/>
          <w:sz w:val="20"/>
          <w:szCs w:val="24"/>
          <w:lang w:val="es-ES_tradnl" w:eastAsia="es-ES"/>
        </w:rPr>
        <w:t xml:space="preserve">, preserva </w:t>
      </w:r>
      <w:r w:rsidR="00B70C17" w:rsidRPr="00B70C17">
        <w:rPr>
          <w:rFonts w:ascii="Century Gothic" w:eastAsiaTheme="minorEastAsia" w:hAnsi="Century Gothic"/>
          <w:sz w:val="20"/>
          <w:szCs w:val="24"/>
          <w:lang w:val="es-ES_tradnl" w:eastAsia="es-ES"/>
        </w:rPr>
        <w:t>la biodiversidad local destinando el 3% de los campos que forman parte este proyecto al cultivo de flores melíferas para favorecer la supervivencia de las po</w:t>
      </w:r>
      <w:r>
        <w:rPr>
          <w:rFonts w:ascii="Century Gothic" w:eastAsiaTheme="minorEastAsia" w:hAnsi="Century Gothic"/>
          <w:sz w:val="20"/>
          <w:szCs w:val="24"/>
          <w:lang w:val="es-ES_tradnl" w:eastAsia="es-ES"/>
        </w:rPr>
        <w:t xml:space="preserve">blaciones de abejas y mariposas. La iniciativa también </w:t>
      </w:r>
      <w:r w:rsidR="00B70C17">
        <w:rPr>
          <w:rFonts w:ascii="Century Gothic" w:eastAsiaTheme="minorEastAsia" w:hAnsi="Century Gothic"/>
          <w:sz w:val="20"/>
          <w:szCs w:val="24"/>
          <w:lang w:val="es-ES_tradnl" w:eastAsia="es-ES"/>
        </w:rPr>
        <w:t xml:space="preserve">garantiza </w:t>
      </w:r>
      <w:r w:rsidR="00B70C17" w:rsidRPr="00B70C17">
        <w:rPr>
          <w:rFonts w:ascii="Century Gothic" w:eastAsiaTheme="minorEastAsia" w:hAnsi="Century Gothic"/>
          <w:sz w:val="20"/>
          <w:szCs w:val="24"/>
          <w:lang w:val="es-ES_tradnl" w:eastAsia="es-ES"/>
        </w:rPr>
        <w:t xml:space="preserve">la trazabilidad pudiendo conocer en todo momento en qué etapa de la </w:t>
      </w:r>
      <w:r w:rsidR="00B70C17" w:rsidRPr="00B70C17">
        <w:rPr>
          <w:rFonts w:ascii="Century Gothic" w:eastAsiaTheme="minorEastAsia" w:hAnsi="Century Gothic"/>
          <w:sz w:val="20"/>
          <w:szCs w:val="24"/>
          <w:lang w:val="es-ES_tradnl" w:eastAsia="es-ES"/>
        </w:rPr>
        <w:lastRenderedPageBreak/>
        <w:t xml:space="preserve">cadena de producción se encuentra el trigo, desde su siembra hasta la elaboración </w:t>
      </w:r>
      <w:r w:rsidR="00B70C17" w:rsidRPr="00BA50E7">
        <w:rPr>
          <w:rFonts w:ascii="Century Gothic" w:eastAsiaTheme="minorEastAsia" w:hAnsi="Century Gothic"/>
          <w:sz w:val="20"/>
          <w:szCs w:val="24"/>
          <w:lang w:val="es-ES_tradnl" w:eastAsia="es-ES"/>
        </w:rPr>
        <w:t>final del producto.</w:t>
      </w:r>
    </w:p>
    <w:p w14:paraId="0CD030F9" w14:textId="77777777" w:rsidR="00BA50E7" w:rsidRPr="00BA50E7" w:rsidRDefault="00BA50E7" w:rsidP="001A2A6C">
      <w:pPr>
        <w:pStyle w:val="Paragraphedeliste1"/>
        <w:ind w:left="0"/>
        <w:jc w:val="both"/>
        <w:rPr>
          <w:rFonts w:ascii="Century Gothic" w:eastAsiaTheme="minorEastAsia" w:hAnsi="Century Gothic"/>
          <w:b/>
          <w:sz w:val="24"/>
          <w:szCs w:val="24"/>
          <w:lang w:val="es-ES_tradnl" w:eastAsia="es-ES"/>
        </w:rPr>
      </w:pPr>
    </w:p>
    <w:p w14:paraId="7CB2C601" w14:textId="504EBF53" w:rsidR="009661C9" w:rsidRPr="00BA50E7" w:rsidRDefault="00BA50E7" w:rsidP="00BA50E7">
      <w:pPr>
        <w:pStyle w:val="Paragraphedeliste1"/>
        <w:ind w:left="0"/>
        <w:jc w:val="both"/>
        <w:rPr>
          <w:rFonts w:ascii="Century Gothic" w:eastAsiaTheme="minorEastAsia" w:hAnsi="Century Gothic"/>
          <w:b/>
          <w:sz w:val="24"/>
          <w:szCs w:val="24"/>
          <w:lang w:val="es-ES_tradnl" w:eastAsia="es-ES"/>
        </w:rPr>
      </w:pPr>
      <w:r w:rsidRPr="00BA50E7">
        <w:rPr>
          <w:rFonts w:ascii="Century Gothic" w:eastAsiaTheme="minorEastAsia" w:hAnsi="Century Gothic"/>
          <w:b/>
          <w:sz w:val="24"/>
          <w:szCs w:val="24"/>
          <w:lang w:val="es-ES_tradnl" w:eastAsia="es-ES"/>
        </w:rPr>
        <w:t>Una Carta de Calidad como guía</w:t>
      </w:r>
    </w:p>
    <w:p w14:paraId="3C38437C" w14:textId="400E2CAD" w:rsidR="00415C21" w:rsidRDefault="00BA50E7" w:rsidP="00A53D71">
      <w:pPr>
        <w:jc w:val="both"/>
        <w:rPr>
          <w:rFonts w:ascii="Century Gothic" w:eastAsiaTheme="minorEastAsia" w:hAnsi="Century Gothic"/>
          <w:sz w:val="20"/>
          <w:szCs w:val="24"/>
          <w:lang w:val="es-ES_tradnl" w:eastAsia="es-ES"/>
        </w:rPr>
      </w:pPr>
      <w:r w:rsidRPr="00BA50E7">
        <w:rPr>
          <w:rFonts w:ascii="Century Gothic" w:eastAsiaTheme="minorEastAsia" w:hAnsi="Century Gothic"/>
          <w:noProof/>
          <w:sz w:val="20"/>
          <w:szCs w:val="24"/>
          <w:lang w:eastAsia="es-ES"/>
        </w:rPr>
        <w:drawing>
          <wp:anchor distT="0" distB="0" distL="114300" distR="114300" simplePos="0" relativeHeight="251659264" behindDoc="0" locked="0" layoutInCell="1" allowOverlap="1" wp14:anchorId="21150B27" wp14:editId="7AD4C9CD">
            <wp:simplePos x="0" y="0"/>
            <wp:positionH relativeFrom="column">
              <wp:posOffset>0</wp:posOffset>
            </wp:positionH>
            <wp:positionV relativeFrom="paragraph">
              <wp:posOffset>217805</wp:posOffset>
            </wp:positionV>
            <wp:extent cx="1828800" cy="1219200"/>
            <wp:effectExtent l="0" t="0" r="0" b="0"/>
            <wp:wrapSquare wrapText="bothSides"/>
            <wp:docPr id="4" name="Imagen 4" descr="Macintosh HD:Users:esp:Desktop:VIAJE DE PRENSA  2015:fotos baja par nota de presna :HARMONY_PAMPLONA_FONTANEDA_COMPROMISO HARM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sp:Desktop:VIAJE DE PRENSA  2015:fotos baja par nota de presna :HARMONY_PAMPLONA_FONTANEDA_COMPROMISO HARMONY.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28800" cy="12192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15C21">
        <w:rPr>
          <w:rFonts w:ascii="Century Gothic" w:eastAsiaTheme="minorEastAsia" w:hAnsi="Century Gothic"/>
          <w:sz w:val="20"/>
          <w:szCs w:val="24"/>
          <w:lang w:val="es-ES_tradnl" w:eastAsia="es-ES"/>
        </w:rPr>
        <w:t xml:space="preserve">En este sentido, los agricultores </w:t>
      </w:r>
      <w:r w:rsidR="00EA7C01">
        <w:rPr>
          <w:rFonts w:ascii="Century Gothic" w:eastAsiaTheme="minorEastAsia" w:hAnsi="Century Gothic"/>
          <w:sz w:val="20"/>
          <w:szCs w:val="24"/>
          <w:lang w:val="es-ES_tradnl" w:eastAsia="es-ES"/>
        </w:rPr>
        <w:t xml:space="preserve">que participan en el programa </w:t>
      </w:r>
      <w:r w:rsidR="00415C21" w:rsidRPr="00463E59">
        <w:rPr>
          <w:rFonts w:ascii="Century Gothic" w:eastAsiaTheme="minorEastAsia" w:hAnsi="Century Gothic"/>
          <w:sz w:val="20"/>
          <w:szCs w:val="24"/>
          <w:lang w:val="es-ES_tradnl" w:eastAsia="es-ES"/>
        </w:rPr>
        <w:t>siguen la “</w:t>
      </w:r>
      <w:r w:rsidR="00415C21" w:rsidRPr="00EA7C01">
        <w:rPr>
          <w:rFonts w:ascii="Century Gothic" w:hAnsi="Century Gothic"/>
          <w:b/>
          <w:i/>
          <w:iCs/>
          <w:sz w:val="20"/>
        </w:rPr>
        <w:t xml:space="preserve">Carta de Calidad </w:t>
      </w:r>
      <w:proofErr w:type="spellStart"/>
      <w:r w:rsidR="00415C21" w:rsidRPr="00EA7C01">
        <w:rPr>
          <w:rFonts w:ascii="Century Gothic" w:hAnsi="Century Gothic"/>
          <w:b/>
          <w:i/>
          <w:iCs/>
          <w:sz w:val="20"/>
        </w:rPr>
        <w:t>Harmony</w:t>
      </w:r>
      <w:proofErr w:type="spellEnd"/>
      <w:r w:rsidR="00415C21" w:rsidRPr="00463E59">
        <w:rPr>
          <w:rFonts w:ascii="Century Gothic" w:hAnsi="Century Gothic"/>
          <w:iCs/>
          <w:sz w:val="20"/>
        </w:rPr>
        <w:t xml:space="preserve">”, un código que recoge </w:t>
      </w:r>
      <w:r w:rsidR="00415C21" w:rsidRPr="00463E59">
        <w:rPr>
          <w:rFonts w:ascii="Century Gothic" w:hAnsi="Century Gothic"/>
          <w:b/>
          <w:iCs/>
          <w:sz w:val="20"/>
        </w:rPr>
        <w:t>51 buenas prácticas</w:t>
      </w:r>
      <w:r w:rsidR="00415C21" w:rsidRPr="00463E59">
        <w:rPr>
          <w:rFonts w:ascii="Century Gothic" w:hAnsi="Century Gothic"/>
          <w:iCs/>
          <w:sz w:val="20"/>
        </w:rPr>
        <w:t xml:space="preserve"> que se revisan anualmente, y que abordan recomendaciones en relación uso al agua, la gestión de residuos, el transporte y el almacenamiento de la cosecha, la fertilización y la sanidad de los cultivos o la trazabilidad desde la parcela </w:t>
      </w:r>
      <w:r w:rsidR="00415C21" w:rsidRPr="00EA7C01">
        <w:rPr>
          <w:rFonts w:ascii="Century Gothic" w:hAnsi="Century Gothic"/>
          <w:i/>
          <w:iCs/>
          <w:sz w:val="20"/>
        </w:rPr>
        <w:t>hasta</w:t>
      </w:r>
      <w:r w:rsidR="00415C21" w:rsidRPr="00463E59">
        <w:rPr>
          <w:rFonts w:ascii="Century Gothic" w:hAnsi="Century Gothic"/>
          <w:iCs/>
          <w:sz w:val="20"/>
        </w:rPr>
        <w:t xml:space="preserve"> la recepción del trigo. Además, la empresa externa SGS, líder mundial en inspección, verificación, análisis y certificación, efectúa auditorías aleatorias tanto a los agricultores como a las harineras para asegurar la calidad del producto.</w:t>
      </w:r>
      <w:r w:rsidR="00415C21">
        <w:rPr>
          <w:rFonts w:ascii="Century Gothic" w:hAnsi="Century Gothic"/>
          <w:iCs/>
          <w:sz w:val="20"/>
        </w:rPr>
        <w:t xml:space="preserve"> </w:t>
      </w:r>
    </w:p>
    <w:p w14:paraId="5581B301" w14:textId="31634732" w:rsidR="00A53D71" w:rsidRDefault="005C7419" w:rsidP="00A53D71">
      <w:pPr>
        <w:jc w:val="both"/>
        <w:rPr>
          <w:rFonts w:ascii="Century Gothic" w:eastAsiaTheme="minorEastAsia" w:hAnsi="Century Gothic"/>
          <w:sz w:val="20"/>
          <w:szCs w:val="24"/>
          <w:lang w:val="es-ES_tradnl" w:eastAsia="es-ES"/>
        </w:rPr>
      </w:pPr>
      <w:r>
        <w:rPr>
          <w:rFonts w:ascii="Century Gothic" w:eastAsiaTheme="minorEastAsia" w:hAnsi="Century Gothic"/>
          <w:i/>
          <w:noProof/>
          <w:sz w:val="20"/>
          <w:szCs w:val="24"/>
          <w:lang w:eastAsia="es-ES"/>
        </w:rPr>
        <w:drawing>
          <wp:anchor distT="0" distB="0" distL="114300" distR="114300" simplePos="0" relativeHeight="251660288" behindDoc="0" locked="0" layoutInCell="1" allowOverlap="1" wp14:anchorId="76934283" wp14:editId="4B846D46">
            <wp:simplePos x="0" y="0"/>
            <wp:positionH relativeFrom="column">
              <wp:posOffset>0</wp:posOffset>
            </wp:positionH>
            <wp:positionV relativeFrom="paragraph">
              <wp:posOffset>70485</wp:posOffset>
            </wp:positionV>
            <wp:extent cx="2103755" cy="1402715"/>
            <wp:effectExtent l="0" t="0" r="4445" b="0"/>
            <wp:wrapSquare wrapText="bothSides"/>
            <wp:docPr id="5" name="Imagen 5" descr="Macintosh HD:Users:esp:Desktop:FONTANEDA:FOTOS MEDIA SIESTA VIAJE DE PRENSA :BAJA 72 ppp:FÁBRICA VIANA :HARMONY_PAMPLONA_FONTANEDA_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esp:Desktop:FONTANEDA:FOTOS MEDIA SIESTA VIAJE DE PRENSA :BAJA 72 ppp:FÁBRICA VIANA :HARMONY_PAMPLONA_FONTANEDA_114.jpg"/>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2103755" cy="14027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53D71">
        <w:rPr>
          <w:rFonts w:ascii="Century Gothic" w:eastAsiaTheme="minorEastAsia" w:hAnsi="Century Gothic"/>
          <w:sz w:val="20"/>
          <w:szCs w:val="24"/>
          <w:lang w:val="es-ES_tradnl" w:eastAsia="es-ES"/>
        </w:rPr>
        <w:t xml:space="preserve">Este trigo llega a la harinera de Harinas </w:t>
      </w:r>
      <w:proofErr w:type="spellStart"/>
      <w:r w:rsidR="00A53D71">
        <w:rPr>
          <w:rFonts w:ascii="Century Gothic" w:eastAsiaTheme="minorEastAsia" w:hAnsi="Century Gothic"/>
          <w:sz w:val="20"/>
          <w:szCs w:val="24"/>
          <w:lang w:val="es-ES_tradnl" w:eastAsia="es-ES"/>
        </w:rPr>
        <w:t>Guría</w:t>
      </w:r>
      <w:proofErr w:type="spellEnd"/>
      <w:r w:rsidR="00A53D71">
        <w:rPr>
          <w:rFonts w:ascii="Century Gothic" w:eastAsiaTheme="minorEastAsia" w:hAnsi="Century Gothic"/>
          <w:sz w:val="20"/>
          <w:szCs w:val="24"/>
          <w:lang w:val="es-ES_tradnl" w:eastAsia="es-ES"/>
        </w:rPr>
        <w:t xml:space="preserve"> para transformarse en la harina de las galletas </w:t>
      </w:r>
      <w:proofErr w:type="spellStart"/>
      <w:r w:rsidR="00A53D71">
        <w:rPr>
          <w:rFonts w:ascii="Century Gothic" w:eastAsiaTheme="minorEastAsia" w:hAnsi="Century Gothic"/>
          <w:sz w:val="20"/>
          <w:szCs w:val="24"/>
          <w:lang w:val="es-ES_tradnl" w:eastAsia="es-ES"/>
        </w:rPr>
        <w:t>Harmony</w:t>
      </w:r>
      <w:proofErr w:type="spellEnd"/>
      <w:r w:rsidR="00A53D71">
        <w:rPr>
          <w:rFonts w:ascii="Century Gothic" w:eastAsiaTheme="minorEastAsia" w:hAnsi="Century Gothic"/>
          <w:sz w:val="20"/>
          <w:szCs w:val="24"/>
          <w:lang w:val="es-ES_tradnl" w:eastAsia="es-ES"/>
        </w:rPr>
        <w:t xml:space="preserve"> de </w:t>
      </w:r>
      <w:proofErr w:type="spellStart"/>
      <w:r w:rsidR="00A53D71">
        <w:rPr>
          <w:rFonts w:ascii="Century Gothic" w:eastAsiaTheme="minorEastAsia" w:hAnsi="Century Gothic"/>
          <w:sz w:val="20"/>
          <w:szCs w:val="24"/>
          <w:lang w:val="es-ES_tradnl" w:eastAsia="es-ES"/>
        </w:rPr>
        <w:t>Fontaneda</w:t>
      </w:r>
      <w:proofErr w:type="spellEnd"/>
      <w:r w:rsidR="00A53D71">
        <w:rPr>
          <w:rFonts w:ascii="Century Gothic" w:eastAsiaTheme="minorEastAsia" w:hAnsi="Century Gothic"/>
          <w:sz w:val="20"/>
          <w:szCs w:val="24"/>
          <w:lang w:val="es-ES_tradnl" w:eastAsia="es-ES"/>
        </w:rPr>
        <w:t>. Como explica el director gerente de la harinera</w:t>
      </w:r>
      <w:r w:rsidR="00EA7C01">
        <w:rPr>
          <w:rFonts w:ascii="Century Gothic" w:eastAsiaTheme="minorEastAsia" w:hAnsi="Century Gothic"/>
          <w:sz w:val="20"/>
          <w:szCs w:val="24"/>
          <w:lang w:val="es-ES_tradnl" w:eastAsia="es-ES"/>
        </w:rPr>
        <w:t xml:space="preserve"> en Navarra</w:t>
      </w:r>
      <w:r w:rsidR="00A53D71">
        <w:rPr>
          <w:rFonts w:ascii="Century Gothic" w:eastAsiaTheme="minorEastAsia" w:hAnsi="Century Gothic"/>
          <w:sz w:val="20"/>
          <w:szCs w:val="24"/>
          <w:lang w:val="es-ES_tradnl" w:eastAsia="es-ES"/>
        </w:rPr>
        <w:t>, Javier Alonso; “</w:t>
      </w:r>
      <w:r w:rsidR="00A53D71" w:rsidRPr="00874D61">
        <w:rPr>
          <w:rFonts w:ascii="Century Gothic" w:eastAsiaTheme="minorEastAsia" w:hAnsi="Century Gothic"/>
          <w:i/>
          <w:sz w:val="20"/>
          <w:szCs w:val="24"/>
          <w:lang w:val="es-ES_tradnl" w:eastAsia="es-ES"/>
        </w:rPr>
        <w:t xml:space="preserve">el trigo de los campos </w:t>
      </w:r>
      <w:proofErr w:type="spellStart"/>
      <w:r w:rsidR="00A53D71" w:rsidRPr="00874D61">
        <w:rPr>
          <w:rFonts w:ascii="Century Gothic" w:eastAsiaTheme="minorEastAsia" w:hAnsi="Century Gothic"/>
          <w:i/>
          <w:sz w:val="20"/>
          <w:szCs w:val="24"/>
          <w:lang w:val="es-ES_tradnl" w:eastAsia="es-ES"/>
        </w:rPr>
        <w:t>Harmony</w:t>
      </w:r>
      <w:proofErr w:type="spellEnd"/>
      <w:r w:rsidR="00A53D71" w:rsidRPr="00874D61">
        <w:rPr>
          <w:rFonts w:ascii="Century Gothic" w:eastAsiaTheme="minorEastAsia" w:hAnsi="Century Gothic"/>
          <w:i/>
          <w:sz w:val="20"/>
          <w:szCs w:val="24"/>
          <w:lang w:val="es-ES_tradnl" w:eastAsia="es-ES"/>
        </w:rPr>
        <w:t xml:space="preserve"> es tratado de forma especial y separado del resto de trigo que llega a nuestras instalaciones. Mediante un proceso de seguimiento sabemos en todo momento dónde se encuentra esta materia prima, asegurando la trazabilidad  y calidad del producto final</w:t>
      </w:r>
      <w:r w:rsidR="00A53D71">
        <w:rPr>
          <w:rFonts w:ascii="Century Gothic" w:eastAsiaTheme="minorEastAsia" w:hAnsi="Century Gothic"/>
          <w:i/>
          <w:sz w:val="20"/>
          <w:szCs w:val="24"/>
          <w:lang w:val="es-ES_tradnl" w:eastAsia="es-ES"/>
        </w:rPr>
        <w:t>”.</w:t>
      </w:r>
    </w:p>
    <w:p w14:paraId="6BBD07B9" w14:textId="12A644F3" w:rsidR="00A53D71" w:rsidRDefault="00A53D71" w:rsidP="00A53D71">
      <w:pPr>
        <w:jc w:val="both"/>
        <w:rPr>
          <w:rFonts w:ascii="Century Gothic" w:eastAsiaTheme="minorEastAsia" w:hAnsi="Century Gothic"/>
          <w:sz w:val="20"/>
          <w:szCs w:val="24"/>
          <w:lang w:val="es-ES_tradnl" w:eastAsia="es-ES"/>
        </w:rPr>
      </w:pPr>
      <w:r>
        <w:rPr>
          <w:rFonts w:ascii="Century Gothic" w:eastAsiaTheme="minorEastAsia" w:hAnsi="Century Gothic"/>
          <w:sz w:val="20"/>
          <w:szCs w:val="24"/>
          <w:lang w:val="es-ES_tradnl" w:eastAsia="es-ES"/>
        </w:rPr>
        <w:t xml:space="preserve">Posteriormente, la harina es enviada hasta la planta de </w:t>
      </w:r>
      <w:proofErr w:type="spellStart"/>
      <w:r>
        <w:rPr>
          <w:rFonts w:ascii="Century Gothic" w:eastAsiaTheme="minorEastAsia" w:hAnsi="Century Gothic"/>
          <w:sz w:val="20"/>
          <w:szCs w:val="24"/>
          <w:lang w:val="es-ES_tradnl" w:eastAsia="es-ES"/>
        </w:rPr>
        <w:t>Fontaneda</w:t>
      </w:r>
      <w:proofErr w:type="spellEnd"/>
      <w:r>
        <w:rPr>
          <w:rFonts w:ascii="Century Gothic" w:eastAsiaTheme="minorEastAsia" w:hAnsi="Century Gothic"/>
          <w:sz w:val="20"/>
          <w:szCs w:val="24"/>
          <w:lang w:val="es-ES_tradnl" w:eastAsia="es-ES"/>
        </w:rPr>
        <w:t xml:space="preserve">, en la localidad de Viana, que cuenta también con sus propias líneas de producción para la elaboración de estas galletas con el sello de Compromiso </w:t>
      </w:r>
      <w:proofErr w:type="spellStart"/>
      <w:r>
        <w:rPr>
          <w:rFonts w:ascii="Century Gothic" w:eastAsiaTheme="minorEastAsia" w:hAnsi="Century Gothic"/>
          <w:sz w:val="20"/>
          <w:szCs w:val="24"/>
          <w:lang w:val="es-ES_tradnl" w:eastAsia="es-ES"/>
        </w:rPr>
        <w:t>Harmony</w:t>
      </w:r>
      <w:proofErr w:type="spellEnd"/>
      <w:r>
        <w:rPr>
          <w:rFonts w:ascii="Century Gothic" w:eastAsiaTheme="minorEastAsia" w:hAnsi="Century Gothic"/>
          <w:sz w:val="20"/>
          <w:szCs w:val="24"/>
          <w:lang w:val="es-ES_tradnl" w:eastAsia="es-ES"/>
        </w:rPr>
        <w:t xml:space="preserve">, entre las que se encuentran La Buena María, </w:t>
      </w:r>
      <w:proofErr w:type="spellStart"/>
      <w:r>
        <w:rPr>
          <w:rFonts w:ascii="Century Gothic" w:eastAsiaTheme="minorEastAsia" w:hAnsi="Century Gothic"/>
          <w:sz w:val="20"/>
          <w:szCs w:val="24"/>
          <w:lang w:val="es-ES_tradnl" w:eastAsia="es-ES"/>
        </w:rPr>
        <w:t>Digestive</w:t>
      </w:r>
      <w:proofErr w:type="spellEnd"/>
      <w:r>
        <w:rPr>
          <w:rFonts w:ascii="Century Gothic" w:eastAsiaTheme="minorEastAsia" w:hAnsi="Century Gothic"/>
          <w:sz w:val="20"/>
          <w:szCs w:val="24"/>
          <w:lang w:val="es-ES_tradnl" w:eastAsia="es-ES"/>
        </w:rPr>
        <w:t xml:space="preserve">, Osito Lulú y Marie Lu. También en la </w:t>
      </w:r>
      <w:r w:rsidR="00536E28">
        <w:rPr>
          <w:rFonts w:ascii="Century Gothic" w:eastAsiaTheme="minorEastAsia" w:hAnsi="Century Gothic"/>
          <w:sz w:val="20"/>
          <w:szCs w:val="24"/>
          <w:lang w:val="es-ES_tradnl" w:eastAsia="es-ES"/>
        </w:rPr>
        <w:t>fabricación</w:t>
      </w:r>
      <w:r>
        <w:rPr>
          <w:rFonts w:ascii="Century Gothic" w:eastAsiaTheme="minorEastAsia" w:hAnsi="Century Gothic"/>
          <w:sz w:val="20"/>
          <w:szCs w:val="24"/>
          <w:lang w:val="es-ES_tradnl" w:eastAsia="es-ES"/>
        </w:rPr>
        <w:t xml:space="preserve"> de las galletas se cumplen objetivos de sostenibilidad; “</w:t>
      </w:r>
      <w:r w:rsidRPr="00EA7C01">
        <w:rPr>
          <w:rFonts w:ascii="Century Gothic" w:eastAsiaTheme="minorEastAsia" w:hAnsi="Century Gothic"/>
          <w:b/>
          <w:i/>
          <w:sz w:val="20"/>
          <w:szCs w:val="24"/>
          <w:lang w:val="es-ES_tradnl" w:eastAsia="es-ES"/>
        </w:rPr>
        <w:t>en cuatro años hemos reducido en un 15% la producción de residuos, hemos recortado en casi un 12% el consumo energético y ahorrado un 50% de consumo de agua</w:t>
      </w:r>
      <w:r>
        <w:rPr>
          <w:rFonts w:ascii="Century Gothic" w:eastAsiaTheme="minorEastAsia" w:hAnsi="Century Gothic"/>
          <w:sz w:val="20"/>
          <w:szCs w:val="24"/>
          <w:lang w:val="es-ES_tradnl" w:eastAsia="es-ES"/>
        </w:rPr>
        <w:t xml:space="preserve">”, afirma el responsable de desarrollo de negocio e ingeniería en la </w:t>
      </w:r>
      <w:r w:rsidR="00536E28">
        <w:rPr>
          <w:rFonts w:ascii="Century Gothic" w:eastAsiaTheme="minorEastAsia" w:hAnsi="Century Gothic"/>
          <w:sz w:val="20"/>
          <w:szCs w:val="24"/>
          <w:lang w:val="es-ES_tradnl" w:eastAsia="es-ES"/>
        </w:rPr>
        <w:t>planta</w:t>
      </w:r>
      <w:r>
        <w:rPr>
          <w:rFonts w:ascii="Century Gothic" w:eastAsiaTheme="minorEastAsia" w:hAnsi="Century Gothic"/>
          <w:sz w:val="20"/>
          <w:szCs w:val="24"/>
          <w:lang w:val="es-ES_tradnl" w:eastAsia="es-ES"/>
        </w:rPr>
        <w:t xml:space="preserve"> de Viana, Diego Ruiz de </w:t>
      </w:r>
      <w:proofErr w:type="spellStart"/>
      <w:r>
        <w:rPr>
          <w:rFonts w:ascii="Century Gothic" w:eastAsiaTheme="minorEastAsia" w:hAnsi="Century Gothic"/>
          <w:sz w:val="20"/>
          <w:szCs w:val="24"/>
          <w:lang w:val="es-ES_tradnl" w:eastAsia="es-ES"/>
        </w:rPr>
        <w:t>Alda</w:t>
      </w:r>
      <w:proofErr w:type="spellEnd"/>
      <w:r>
        <w:rPr>
          <w:rFonts w:ascii="Century Gothic" w:eastAsiaTheme="minorEastAsia" w:hAnsi="Century Gothic"/>
          <w:sz w:val="20"/>
          <w:szCs w:val="24"/>
          <w:lang w:val="es-ES_tradnl" w:eastAsia="es-ES"/>
        </w:rPr>
        <w:t xml:space="preserve">. </w:t>
      </w:r>
    </w:p>
    <w:p w14:paraId="4DDE46A8" w14:textId="20D003AF" w:rsidR="00A53D71" w:rsidRPr="00826A2C" w:rsidRDefault="002E2A47" w:rsidP="00A53D71">
      <w:pPr>
        <w:jc w:val="both"/>
        <w:rPr>
          <w:rFonts w:ascii="Century Gothic" w:eastAsiaTheme="minorEastAsia" w:hAnsi="Century Gothic"/>
          <w:sz w:val="20"/>
          <w:szCs w:val="24"/>
          <w:lang w:eastAsia="es-ES"/>
        </w:rPr>
      </w:pPr>
      <w:r>
        <w:rPr>
          <w:rFonts w:ascii="Century Gothic" w:eastAsiaTheme="minorEastAsia" w:hAnsi="Century Gothic"/>
          <w:sz w:val="20"/>
          <w:szCs w:val="24"/>
          <w:lang w:val="es-ES_tradnl" w:eastAsia="es-ES"/>
        </w:rPr>
        <w:t>Sólo en una hora,</w:t>
      </w:r>
      <w:r w:rsidR="00A53D71" w:rsidRPr="002E2A47">
        <w:rPr>
          <w:rFonts w:ascii="Century Gothic" w:eastAsiaTheme="minorEastAsia" w:hAnsi="Century Gothic"/>
          <w:sz w:val="20"/>
          <w:szCs w:val="24"/>
          <w:lang w:val="es-ES_tradnl" w:eastAsia="es-ES"/>
        </w:rPr>
        <w:t xml:space="preserve"> esta </w:t>
      </w:r>
      <w:r w:rsidR="00536E28">
        <w:rPr>
          <w:rFonts w:ascii="Century Gothic" w:eastAsiaTheme="minorEastAsia" w:hAnsi="Century Gothic"/>
          <w:sz w:val="20"/>
          <w:szCs w:val="24"/>
          <w:lang w:val="es-ES_tradnl" w:eastAsia="es-ES"/>
        </w:rPr>
        <w:t>fábrica produce</w:t>
      </w:r>
      <w:r w:rsidR="00A53D71" w:rsidRPr="002E2A47">
        <w:rPr>
          <w:rFonts w:ascii="Century Gothic" w:eastAsiaTheme="minorEastAsia" w:hAnsi="Century Gothic"/>
          <w:sz w:val="20"/>
          <w:szCs w:val="24"/>
          <w:lang w:val="es-ES_tradnl" w:eastAsia="es-ES"/>
        </w:rPr>
        <w:t xml:space="preserve"> </w:t>
      </w:r>
      <w:r w:rsidR="00A53D71" w:rsidRPr="002E2A47">
        <w:rPr>
          <w:rFonts w:ascii="Century Gothic" w:eastAsiaTheme="minorEastAsia" w:hAnsi="Century Gothic"/>
          <w:b/>
          <w:sz w:val="20"/>
          <w:szCs w:val="24"/>
          <w:lang w:val="es-ES_tradnl" w:eastAsia="es-ES"/>
        </w:rPr>
        <w:t xml:space="preserve">71.000 galletas </w:t>
      </w:r>
      <w:r>
        <w:rPr>
          <w:rFonts w:ascii="Century Gothic" w:eastAsiaTheme="minorEastAsia" w:hAnsi="Century Gothic"/>
          <w:b/>
          <w:sz w:val="20"/>
          <w:szCs w:val="24"/>
          <w:lang w:val="es-ES_tradnl" w:eastAsia="es-ES"/>
        </w:rPr>
        <w:t xml:space="preserve">para Compromiso </w:t>
      </w:r>
      <w:proofErr w:type="spellStart"/>
      <w:r w:rsidR="00A53D71" w:rsidRPr="002E2A47">
        <w:rPr>
          <w:rFonts w:ascii="Century Gothic" w:eastAsiaTheme="minorEastAsia" w:hAnsi="Century Gothic"/>
          <w:b/>
          <w:sz w:val="20"/>
          <w:szCs w:val="24"/>
          <w:lang w:val="es-ES_tradnl" w:eastAsia="es-ES"/>
        </w:rPr>
        <w:t>Harmony</w:t>
      </w:r>
      <w:proofErr w:type="spellEnd"/>
      <w:r w:rsidR="001A2A6C" w:rsidRPr="002E2A47">
        <w:rPr>
          <w:rFonts w:ascii="Century Gothic" w:eastAsiaTheme="minorEastAsia" w:hAnsi="Century Gothic"/>
          <w:sz w:val="20"/>
          <w:szCs w:val="24"/>
          <w:lang w:val="es-ES_tradnl" w:eastAsia="es-ES"/>
        </w:rPr>
        <w:t>.</w:t>
      </w:r>
      <w:r w:rsidR="00A53D71">
        <w:rPr>
          <w:rFonts w:ascii="Century Gothic" w:eastAsiaTheme="minorEastAsia" w:hAnsi="Century Gothic"/>
          <w:sz w:val="20"/>
          <w:szCs w:val="24"/>
          <w:lang w:val="es-ES_tradnl" w:eastAsia="es-ES"/>
        </w:rPr>
        <w:t xml:space="preserve"> Las galletas </w:t>
      </w:r>
      <w:proofErr w:type="spellStart"/>
      <w:r w:rsidR="00A53D71">
        <w:rPr>
          <w:rFonts w:ascii="Century Gothic" w:eastAsiaTheme="minorEastAsia" w:hAnsi="Century Gothic"/>
          <w:sz w:val="20"/>
          <w:szCs w:val="24"/>
          <w:lang w:val="es-ES_tradnl" w:eastAsia="es-ES"/>
        </w:rPr>
        <w:t>Harmony</w:t>
      </w:r>
      <w:proofErr w:type="spellEnd"/>
      <w:r w:rsidR="00A53D71">
        <w:rPr>
          <w:rFonts w:ascii="Century Gothic" w:eastAsiaTheme="minorEastAsia" w:hAnsi="Century Gothic"/>
          <w:sz w:val="20"/>
          <w:szCs w:val="24"/>
          <w:lang w:val="es-ES_tradnl" w:eastAsia="es-ES"/>
        </w:rPr>
        <w:t xml:space="preserve"> suponen el 74% de la producción de </w:t>
      </w:r>
      <w:proofErr w:type="spellStart"/>
      <w:r w:rsidR="00A53D71">
        <w:rPr>
          <w:rFonts w:ascii="Century Gothic" w:eastAsiaTheme="minorEastAsia" w:hAnsi="Century Gothic"/>
          <w:sz w:val="20"/>
          <w:szCs w:val="24"/>
          <w:lang w:val="es-ES_tradnl" w:eastAsia="es-ES"/>
        </w:rPr>
        <w:t>Fontaneda</w:t>
      </w:r>
      <w:proofErr w:type="spellEnd"/>
      <w:r w:rsidR="00A53D71">
        <w:rPr>
          <w:rFonts w:ascii="Century Gothic" w:eastAsiaTheme="minorEastAsia" w:hAnsi="Century Gothic"/>
          <w:sz w:val="20"/>
          <w:szCs w:val="24"/>
          <w:lang w:val="es-ES_tradnl" w:eastAsia="es-ES"/>
        </w:rPr>
        <w:t xml:space="preserve">, aunque se espera que esta cifra alcance el 99% en 2016 con la adhesión de dos nuevas marcas: </w:t>
      </w:r>
      <w:proofErr w:type="spellStart"/>
      <w:r w:rsidR="00826A2C">
        <w:rPr>
          <w:rFonts w:ascii="Century Gothic" w:hAnsi="Century Gothic"/>
          <w:iCs/>
          <w:sz w:val="20"/>
          <w:szCs w:val="20"/>
        </w:rPr>
        <w:t>Belvita</w:t>
      </w:r>
      <w:proofErr w:type="spellEnd"/>
      <w:r w:rsidR="00826A2C">
        <w:rPr>
          <w:rFonts w:ascii="Century Gothic" w:hAnsi="Century Gothic"/>
          <w:iCs/>
          <w:sz w:val="20"/>
          <w:szCs w:val="20"/>
        </w:rPr>
        <w:t xml:space="preserve"> Desayuno y </w:t>
      </w:r>
      <w:proofErr w:type="spellStart"/>
      <w:r w:rsidR="00826A2C">
        <w:rPr>
          <w:rFonts w:ascii="Century Gothic" w:hAnsi="Century Gothic"/>
          <w:iCs/>
          <w:sz w:val="20"/>
          <w:szCs w:val="20"/>
        </w:rPr>
        <w:t>Fruit</w:t>
      </w:r>
      <w:proofErr w:type="spellEnd"/>
      <w:r w:rsidR="00826A2C">
        <w:rPr>
          <w:rFonts w:ascii="Century Gothic" w:hAnsi="Century Gothic"/>
          <w:iCs/>
          <w:sz w:val="20"/>
          <w:szCs w:val="20"/>
        </w:rPr>
        <w:t xml:space="preserve"> &amp; </w:t>
      </w:r>
      <w:proofErr w:type="spellStart"/>
      <w:r w:rsidR="00826A2C">
        <w:rPr>
          <w:rFonts w:ascii="Century Gothic" w:hAnsi="Century Gothic"/>
          <w:iCs/>
          <w:sz w:val="20"/>
          <w:szCs w:val="20"/>
        </w:rPr>
        <w:t>Fit</w:t>
      </w:r>
      <w:proofErr w:type="spellEnd"/>
      <w:r w:rsidR="00826A2C">
        <w:rPr>
          <w:rFonts w:ascii="Century Gothic" w:hAnsi="Century Gothic"/>
          <w:iCs/>
          <w:sz w:val="20"/>
          <w:szCs w:val="20"/>
        </w:rPr>
        <w:t>.</w:t>
      </w:r>
    </w:p>
    <w:p w14:paraId="63497E02" w14:textId="6843A13C" w:rsidR="00A53D71" w:rsidRDefault="00A53D71" w:rsidP="00A53D71">
      <w:pPr>
        <w:jc w:val="both"/>
        <w:rPr>
          <w:rFonts w:ascii="Century Gothic" w:hAnsi="Century Gothic"/>
          <w:iCs/>
          <w:sz w:val="20"/>
          <w:szCs w:val="20"/>
        </w:rPr>
      </w:pPr>
      <w:r>
        <w:rPr>
          <w:rFonts w:ascii="Century Gothic" w:hAnsi="Century Gothic"/>
          <w:iCs/>
          <w:sz w:val="20"/>
          <w:szCs w:val="20"/>
          <w:lang w:val="es-ES_tradnl"/>
        </w:rPr>
        <w:t>Por su parte, e</w:t>
      </w:r>
      <w:r>
        <w:rPr>
          <w:rFonts w:ascii="Century Gothic" w:hAnsi="Century Gothic"/>
          <w:iCs/>
          <w:sz w:val="20"/>
          <w:szCs w:val="20"/>
        </w:rPr>
        <w:t>l B</w:t>
      </w:r>
      <w:r w:rsidRPr="00463E59">
        <w:rPr>
          <w:rFonts w:ascii="Century Gothic" w:hAnsi="Century Gothic"/>
          <w:iCs/>
          <w:sz w:val="20"/>
          <w:szCs w:val="20"/>
        </w:rPr>
        <w:t>ran</w:t>
      </w:r>
      <w:r>
        <w:rPr>
          <w:rFonts w:ascii="Century Gothic" w:hAnsi="Century Gothic"/>
          <w:iCs/>
          <w:sz w:val="20"/>
          <w:szCs w:val="20"/>
        </w:rPr>
        <w:t xml:space="preserve">d </w:t>
      </w:r>
      <w:r w:rsidR="00B70C17">
        <w:rPr>
          <w:rFonts w:ascii="Century Gothic" w:hAnsi="Century Gothic"/>
          <w:iCs/>
          <w:sz w:val="20"/>
          <w:szCs w:val="20"/>
        </w:rPr>
        <w:t>M</w:t>
      </w:r>
      <w:r>
        <w:rPr>
          <w:rFonts w:ascii="Century Gothic" w:hAnsi="Century Gothic"/>
          <w:iCs/>
          <w:sz w:val="20"/>
          <w:szCs w:val="20"/>
        </w:rPr>
        <w:t xml:space="preserve">anager de </w:t>
      </w:r>
      <w:proofErr w:type="spellStart"/>
      <w:r>
        <w:rPr>
          <w:rFonts w:ascii="Century Gothic" w:hAnsi="Century Gothic"/>
          <w:iCs/>
          <w:sz w:val="20"/>
          <w:szCs w:val="20"/>
        </w:rPr>
        <w:t>Fontaneda</w:t>
      </w:r>
      <w:proofErr w:type="spellEnd"/>
      <w:r>
        <w:rPr>
          <w:rFonts w:ascii="Century Gothic" w:hAnsi="Century Gothic"/>
          <w:iCs/>
          <w:sz w:val="20"/>
          <w:szCs w:val="20"/>
        </w:rPr>
        <w:t xml:space="preserve">, </w:t>
      </w:r>
      <w:proofErr w:type="spellStart"/>
      <w:r>
        <w:rPr>
          <w:rFonts w:ascii="Century Gothic" w:hAnsi="Century Gothic"/>
          <w:iCs/>
          <w:sz w:val="20"/>
          <w:szCs w:val="20"/>
        </w:rPr>
        <w:t>Nuno</w:t>
      </w:r>
      <w:proofErr w:type="spellEnd"/>
      <w:r>
        <w:rPr>
          <w:rFonts w:ascii="Century Gothic" w:hAnsi="Century Gothic"/>
          <w:iCs/>
          <w:sz w:val="20"/>
          <w:szCs w:val="20"/>
        </w:rPr>
        <w:t xml:space="preserve"> </w:t>
      </w:r>
      <w:proofErr w:type="spellStart"/>
      <w:r>
        <w:rPr>
          <w:rFonts w:ascii="Century Gothic" w:hAnsi="Century Gothic"/>
          <w:iCs/>
          <w:sz w:val="20"/>
          <w:szCs w:val="20"/>
        </w:rPr>
        <w:t>Ten</w:t>
      </w:r>
      <w:r w:rsidRPr="00463E59">
        <w:rPr>
          <w:rFonts w:ascii="Century Gothic" w:hAnsi="Century Gothic"/>
          <w:iCs/>
          <w:sz w:val="20"/>
          <w:szCs w:val="20"/>
        </w:rPr>
        <w:t>reiro</w:t>
      </w:r>
      <w:proofErr w:type="spellEnd"/>
      <w:r>
        <w:rPr>
          <w:rFonts w:ascii="Century Gothic" w:hAnsi="Century Gothic"/>
          <w:iCs/>
          <w:sz w:val="20"/>
          <w:szCs w:val="20"/>
        </w:rPr>
        <w:t>, explica que “</w:t>
      </w:r>
      <w:r>
        <w:rPr>
          <w:rFonts w:ascii="Century Gothic" w:hAnsi="Century Gothic"/>
          <w:i/>
          <w:iCs/>
          <w:sz w:val="20"/>
          <w:szCs w:val="20"/>
        </w:rPr>
        <w:t>C</w:t>
      </w:r>
      <w:r w:rsidRPr="00D36C4E">
        <w:rPr>
          <w:rFonts w:ascii="Century Gothic" w:hAnsi="Century Gothic"/>
          <w:i/>
          <w:iCs/>
          <w:sz w:val="20"/>
          <w:szCs w:val="20"/>
        </w:rPr>
        <w:t xml:space="preserve">ompromiso </w:t>
      </w:r>
      <w:proofErr w:type="spellStart"/>
      <w:r w:rsidRPr="00D36C4E">
        <w:rPr>
          <w:rFonts w:ascii="Century Gothic" w:hAnsi="Century Gothic"/>
          <w:i/>
          <w:iCs/>
          <w:sz w:val="20"/>
          <w:szCs w:val="20"/>
        </w:rPr>
        <w:t>Harmony</w:t>
      </w:r>
      <w:proofErr w:type="spellEnd"/>
      <w:r w:rsidRPr="00D36C4E">
        <w:rPr>
          <w:rFonts w:ascii="Century Gothic" w:hAnsi="Century Gothic"/>
          <w:i/>
          <w:iCs/>
          <w:sz w:val="20"/>
          <w:szCs w:val="20"/>
        </w:rPr>
        <w:t xml:space="preserve"> es un proyecto que integra tanto los retos globales de </w:t>
      </w:r>
      <w:proofErr w:type="spellStart"/>
      <w:r w:rsidRPr="00D36C4E">
        <w:rPr>
          <w:rFonts w:ascii="Century Gothic" w:hAnsi="Century Gothic"/>
          <w:i/>
          <w:iCs/>
          <w:sz w:val="20"/>
          <w:szCs w:val="20"/>
        </w:rPr>
        <w:t>Mondelez</w:t>
      </w:r>
      <w:proofErr w:type="spellEnd"/>
      <w:r w:rsidRPr="00D36C4E">
        <w:rPr>
          <w:rFonts w:ascii="Century Gothic" w:hAnsi="Century Gothic"/>
          <w:i/>
          <w:iCs/>
          <w:sz w:val="20"/>
          <w:szCs w:val="20"/>
        </w:rPr>
        <w:t xml:space="preserve"> International de proteger el bienestar del planeta, como los objetivos por parte de </w:t>
      </w:r>
      <w:proofErr w:type="spellStart"/>
      <w:r w:rsidRPr="00D36C4E">
        <w:rPr>
          <w:rFonts w:ascii="Century Gothic" w:hAnsi="Century Gothic"/>
          <w:i/>
          <w:iCs/>
          <w:sz w:val="20"/>
          <w:szCs w:val="20"/>
        </w:rPr>
        <w:t>Fontaneda</w:t>
      </w:r>
      <w:proofErr w:type="spellEnd"/>
      <w:r w:rsidRPr="00D36C4E">
        <w:rPr>
          <w:rFonts w:ascii="Century Gothic" w:hAnsi="Century Gothic"/>
          <w:i/>
          <w:iCs/>
          <w:sz w:val="20"/>
          <w:szCs w:val="20"/>
        </w:rPr>
        <w:t xml:space="preserve"> de </w:t>
      </w:r>
      <w:r w:rsidRPr="00D36C4E">
        <w:rPr>
          <w:rFonts w:ascii="Century Gothic" w:hAnsi="Century Gothic"/>
          <w:i/>
          <w:sz w:val="20"/>
          <w:szCs w:val="20"/>
        </w:rPr>
        <w:t>seguir mejorando la calidad del trigo y ofrecer al consumidor un producto comprometido con la agricultura local y la biodiversidad</w:t>
      </w:r>
      <w:r w:rsidRPr="00463E59">
        <w:rPr>
          <w:rFonts w:ascii="Century Gothic" w:hAnsi="Century Gothic"/>
          <w:iCs/>
          <w:sz w:val="20"/>
          <w:szCs w:val="20"/>
        </w:rPr>
        <w:t>”.</w:t>
      </w:r>
    </w:p>
    <w:p w14:paraId="157410E9" w14:textId="77777777" w:rsidR="00826A2C" w:rsidRPr="00623641" w:rsidRDefault="00826A2C" w:rsidP="00826A2C">
      <w:pPr>
        <w:spacing w:after="0"/>
        <w:jc w:val="both"/>
        <w:rPr>
          <w:rFonts w:ascii="Century Gothic" w:hAnsi="Century Gothic"/>
          <w:iCs/>
          <w:sz w:val="20"/>
          <w:szCs w:val="20"/>
        </w:rPr>
      </w:pPr>
      <w:r>
        <w:rPr>
          <w:rFonts w:ascii="Century Gothic" w:hAnsi="Century Gothic"/>
          <w:iCs/>
          <w:sz w:val="20"/>
          <w:szCs w:val="20"/>
        </w:rPr>
        <w:lastRenderedPageBreak/>
        <w:t xml:space="preserve">Para más información sobre Compromiso </w:t>
      </w:r>
      <w:proofErr w:type="spellStart"/>
      <w:r>
        <w:rPr>
          <w:rFonts w:ascii="Century Gothic" w:hAnsi="Century Gothic"/>
          <w:iCs/>
          <w:sz w:val="20"/>
          <w:szCs w:val="20"/>
        </w:rPr>
        <w:t>Harmony</w:t>
      </w:r>
      <w:proofErr w:type="spellEnd"/>
      <w:r>
        <w:rPr>
          <w:rFonts w:ascii="Century Gothic" w:hAnsi="Century Gothic"/>
          <w:iCs/>
          <w:sz w:val="20"/>
          <w:szCs w:val="20"/>
        </w:rPr>
        <w:t>:</w:t>
      </w:r>
    </w:p>
    <w:p w14:paraId="20B969A0" w14:textId="77777777" w:rsidR="00826A2C" w:rsidRPr="002250F4" w:rsidRDefault="00323840" w:rsidP="00826A2C">
      <w:pPr>
        <w:jc w:val="both"/>
        <w:rPr>
          <w:rFonts w:ascii="Century Gothic" w:hAnsi="Century Gothic" w:cs="Verdana"/>
          <w:color w:val="18376A"/>
          <w:sz w:val="20"/>
          <w:szCs w:val="20"/>
        </w:rPr>
      </w:pPr>
      <w:hyperlink r:id="rId11" w:history="1">
        <w:r w:rsidR="00826A2C" w:rsidRPr="003E5E42">
          <w:rPr>
            <w:rStyle w:val="Hipervnculo"/>
            <w:rFonts w:ascii="Century Gothic" w:hAnsi="Century Gothic" w:cs="Verdana"/>
            <w:sz w:val="20"/>
            <w:szCs w:val="20"/>
            <w:u w:color="0000FF"/>
          </w:rPr>
          <w:t>www.fontaneda.es/compromiso_harmony</w:t>
        </w:r>
      </w:hyperlink>
    </w:p>
    <w:p w14:paraId="4F5271AE" w14:textId="7071ADE7" w:rsidR="005C7419" w:rsidRPr="001A2A6C" w:rsidRDefault="00826A2C" w:rsidP="001A2A6C">
      <w:pPr>
        <w:pStyle w:val="Prrafodelista"/>
        <w:numPr>
          <w:ilvl w:val="0"/>
          <w:numId w:val="1"/>
        </w:numPr>
        <w:jc w:val="both"/>
        <w:rPr>
          <w:rFonts w:ascii="Century Gothic" w:hAnsi="Century Gothic"/>
          <w:i/>
          <w:sz w:val="14"/>
          <w:szCs w:val="16"/>
        </w:rPr>
      </w:pPr>
      <w:r w:rsidRPr="005C7419">
        <w:rPr>
          <w:rFonts w:ascii="Century Gothic" w:hAnsi="Century Gothic"/>
          <w:i/>
          <w:sz w:val="14"/>
          <w:szCs w:val="16"/>
        </w:rPr>
        <w:t xml:space="preserve">Encuesta realizada por </w:t>
      </w:r>
      <w:proofErr w:type="spellStart"/>
      <w:r w:rsidRPr="005C7419">
        <w:rPr>
          <w:rFonts w:ascii="Century Gothic" w:hAnsi="Century Gothic"/>
          <w:i/>
          <w:sz w:val="14"/>
          <w:szCs w:val="16"/>
        </w:rPr>
        <w:t>Fontaneda</w:t>
      </w:r>
      <w:proofErr w:type="spellEnd"/>
      <w:r w:rsidRPr="005C7419">
        <w:rPr>
          <w:rFonts w:ascii="Century Gothic" w:hAnsi="Century Gothic"/>
          <w:i/>
          <w:sz w:val="14"/>
          <w:szCs w:val="16"/>
        </w:rPr>
        <w:t xml:space="preserve"> entre abril y mayo de 2015</w:t>
      </w:r>
    </w:p>
    <w:p w14:paraId="20B334DE" w14:textId="77777777" w:rsidR="00826A2C" w:rsidRPr="00DB6C19" w:rsidRDefault="00826A2C" w:rsidP="00826A2C">
      <w:pPr>
        <w:spacing w:after="0"/>
        <w:rPr>
          <w:rFonts w:ascii="Century Gothic" w:hAnsi="Century Gothic"/>
          <w:b/>
          <w:sz w:val="16"/>
          <w:szCs w:val="16"/>
        </w:rPr>
      </w:pPr>
      <w:r w:rsidRPr="00DB6C19">
        <w:rPr>
          <w:rFonts w:ascii="Century Gothic" w:hAnsi="Century Gothic"/>
          <w:b/>
          <w:sz w:val="16"/>
          <w:szCs w:val="16"/>
        </w:rPr>
        <w:t xml:space="preserve">Acerca de </w:t>
      </w:r>
      <w:proofErr w:type="spellStart"/>
      <w:r w:rsidRPr="00DB6C19">
        <w:rPr>
          <w:rFonts w:ascii="Century Gothic" w:hAnsi="Century Gothic"/>
          <w:b/>
          <w:sz w:val="16"/>
          <w:szCs w:val="16"/>
        </w:rPr>
        <w:t>Fontaneda</w:t>
      </w:r>
      <w:proofErr w:type="spellEnd"/>
    </w:p>
    <w:p w14:paraId="15FFFD52" w14:textId="77777777" w:rsidR="00826A2C" w:rsidRPr="00DB6C19" w:rsidRDefault="00826A2C" w:rsidP="00826A2C">
      <w:pPr>
        <w:spacing w:after="0"/>
        <w:jc w:val="both"/>
        <w:rPr>
          <w:rFonts w:ascii="Century Gothic" w:hAnsi="Century Gothic"/>
          <w:sz w:val="16"/>
          <w:szCs w:val="16"/>
        </w:rPr>
      </w:pPr>
      <w:proofErr w:type="spellStart"/>
      <w:r w:rsidRPr="00DB6C19">
        <w:rPr>
          <w:rFonts w:ascii="Century Gothic" w:hAnsi="Century Gothic"/>
          <w:sz w:val="16"/>
          <w:szCs w:val="16"/>
        </w:rPr>
        <w:t>Fontaneda</w:t>
      </w:r>
      <w:proofErr w:type="spellEnd"/>
      <w:r w:rsidRPr="00DB6C19">
        <w:rPr>
          <w:rFonts w:ascii="Century Gothic" w:hAnsi="Century Gothic"/>
          <w:sz w:val="16"/>
          <w:szCs w:val="16"/>
        </w:rPr>
        <w:t xml:space="preserve"> es una marca centenaria de referencia en galletas de desayuno y que cuenta con un centro de producción en España desde el año 1881. Se trata de una marca de gran tradición con la que han crecido muchas generaciones de consumidores españoles.</w:t>
      </w:r>
    </w:p>
    <w:p w14:paraId="18A5F002" w14:textId="77777777" w:rsidR="00826A2C" w:rsidRPr="00DB6C19" w:rsidRDefault="00826A2C" w:rsidP="00826A2C">
      <w:pPr>
        <w:jc w:val="both"/>
        <w:rPr>
          <w:rFonts w:ascii="Century Gothic" w:hAnsi="Century Gothic"/>
          <w:sz w:val="16"/>
          <w:szCs w:val="16"/>
        </w:rPr>
      </w:pPr>
      <w:r w:rsidRPr="00DB6C19">
        <w:rPr>
          <w:rFonts w:ascii="Century Gothic" w:hAnsi="Century Gothic"/>
          <w:sz w:val="16"/>
          <w:szCs w:val="16"/>
        </w:rPr>
        <w:t xml:space="preserve">Entre la cartera actual de productos de </w:t>
      </w:r>
      <w:proofErr w:type="spellStart"/>
      <w:r w:rsidRPr="00DB6C19">
        <w:rPr>
          <w:rFonts w:ascii="Century Gothic" w:hAnsi="Century Gothic"/>
          <w:sz w:val="16"/>
          <w:szCs w:val="16"/>
        </w:rPr>
        <w:t>Fontaneda</w:t>
      </w:r>
      <w:proofErr w:type="spellEnd"/>
      <w:r w:rsidRPr="00DB6C19">
        <w:rPr>
          <w:rFonts w:ascii="Century Gothic" w:hAnsi="Century Gothic"/>
          <w:sz w:val="16"/>
          <w:szCs w:val="16"/>
        </w:rPr>
        <w:t xml:space="preserve"> se encuentran variedades tan reconocidas como La Buena María, </w:t>
      </w:r>
      <w:proofErr w:type="spellStart"/>
      <w:r w:rsidRPr="00DB6C19">
        <w:rPr>
          <w:rFonts w:ascii="Century Gothic" w:hAnsi="Century Gothic"/>
          <w:sz w:val="16"/>
          <w:szCs w:val="16"/>
        </w:rPr>
        <w:t>Digestive</w:t>
      </w:r>
      <w:proofErr w:type="spellEnd"/>
      <w:r w:rsidRPr="00DB6C19">
        <w:rPr>
          <w:rFonts w:ascii="Century Gothic" w:hAnsi="Century Gothic"/>
          <w:sz w:val="16"/>
          <w:szCs w:val="16"/>
        </w:rPr>
        <w:t xml:space="preserve">, Marie Lu, Osito </w:t>
      </w:r>
      <w:proofErr w:type="spellStart"/>
      <w:r w:rsidRPr="00DB6C19">
        <w:rPr>
          <w:rFonts w:ascii="Century Gothic" w:hAnsi="Century Gothic"/>
          <w:sz w:val="16"/>
          <w:szCs w:val="16"/>
        </w:rPr>
        <w:t>Lulu</w:t>
      </w:r>
      <w:proofErr w:type="spellEnd"/>
      <w:r w:rsidRPr="00DB6C19">
        <w:rPr>
          <w:rFonts w:ascii="Century Gothic" w:hAnsi="Century Gothic"/>
          <w:sz w:val="16"/>
          <w:szCs w:val="16"/>
        </w:rPr>
        <w:t xml:space="preserve">, </w:t>
      </w:r>
      <w:proofErr w:type="spellStart"/>
      <w:r w:rsidRPr="00DB6C19">
        <w:rPr>
          <w:rFonts w:ascii="Century Gothic" w:hAnsi="Century Gothic"/>
          <w:sz w:val="16"/>
          <w:szCs w:val="16"/>
        </w:rPr>
        <w:t>Fruit&amp;Fit</w:t>
      </w:r>
      <w:proofErr w:type="spellEnd"/>
      <w:r w:rsidRPr="00DB6C19">
        <w:rPr>
          <w:rFonts w:ascii="Century Gothic" w:hAnsi="Century Gothic"/>
          <w:sz w:val="16"/>
          <w:szCs w:val="16"/>
        </w:rPr>
        <w:t xml:space="preserve"> y </w:t>
      </w:r>
      <w:proofErr w:type="spellStart"/>
      <w:r w:rsidRPr="00DB6C19">
        <w:rPr>
          <w:rFonts w:ascii="Century Gothic" w:hAnsi="Century Gothic"/>
          <w:sz w:val="16"/>
          <w:szCs w:val="16"/>
        </w:rPr>
        <w:t>Belvita</w:t>
      </w:r>
      <w:proofErr w:type="spellEnd"/>
      <w:r w:rsidRPr="00DB6C19">
        <w:rPr>
          <w:rFonts w:ascii="Century Gothic" w:hAnsi="Century Gothic"/>
          <w:sz w:val="16"/>
          <w:szCs w:val="16"/>
        </w:rPr>
        <w:t>.</w:t>
      </w:r>
    </w:p>
    <w:p w14:paraId="30F53F90" w14:textId="77777777" w:rsidR="00826A2C" w:rsidRPr="00DB6C19" w:rsidRDefault="00826A2C" w:rsidP="001A2A6C">
      <w:pPr>
        <w:spacing w:after="0"/>
        <w:ind w:right="-285"/>
        <w:jc w:val="both"/>
        <w:rPr>
          <w:rFonts w:ascii="Century Gothic" w:hAnsi="Century Gothic"/>
          <w:b/>
          <w:sz w:val="16"/>
          <w:szCs w:val="16"/>
        </w:rPr>
      </w:pPr>
      <w:r w:rsidRPr="00DB6C19">
        <w:rPr>
          <w:rFonts w:ascii="Century Gothic" w:hAnsi="Century Gothic"/>
          <w:b/>
          <w:sz w:val="16"/>
          <w:szCs w:val="16"/>
        </w:rPr>
        <w:t xml:space="preserve">Acerca de </w:t>
      </w:r>
      <w:proofErr w:type="spellStart"/>
      <w:r w:rsidRPr="00DB6C19">
        <w:rPr>
          <w:rFonts w:ascii="Century Gothic" w:hAnsi="Century Gothic"/>
          <w:b/>
          <w:sz w:val="16"/>
          <w:szCs w:val="16"/>
        </w:rPr>
        <w:t>Mondelez</w:t>
      </w:r>
      <w:proofErr w:type="spellEnd"/>
      <w:r w:rsidRPr="00DB6C19">
        <w:rPr>
          <w:rFonts w:ascii="Century Gothic" w:hAnsi="Century Gothic"/>
          <w:b/>
          <w:sz w:val="16"/>
          <w:szCs w:val="16"/>
        </w:rPr>
        <w:t xml:space="preserve"> España</w:t>
      </w:r>
    </w:p>
    <w:p w14:paraId="4B94520D" w14:textId="77777777" w:rsidR="00826A2C" w:rsidRPr="00DB6C19" w:rsidRDefault="00826A2C" w:rsidP="001A2A6C">
      <w:pPr>
        <w:spacing w:after="0"/>
        <w:ind w:right="-285"/>
        <w:jc w:val="both"/>
        <w:rPr>
          <w:rFonts w:ascii="Century Gothic" w:hAnsi="Century Gothic"/>
          <w:sz w:val="16"/>
          <w:szCs w:val="16"/>
        </w:rPr>
      </w:pPr>
      <w:proofErr w:type="spellStart"/>
      <w:r w:rsidRPr="00DB6C19">
        <w:rPr>
          <w:rFonts w:ascii="Century Gothic" w:hAnsi="Century Gothic"/>
          <w:sz w:val="16"/>
          <w:szCs w:val="16"/>
        </w:rPr>
        <w:t>Mondelez</w:t>
      </w:r>
      <w:proofErr w:type="spellEnd"/>
      <w:r w:rsidRPr="00DB6C19">
        <w:rPr>
          <w:rFonts w:ascii="Century Gothic" w:hAnsi="Century Gothic"/>
          <w:sz w:val="16"/>
          <w:szCs w:val="16"/>
        </w:rPr>
        <w:t xml:space="preserve"> España opera en las categorías de galletas, chocolates</w:t>
      </w:r>
      <w:r>
        <w:rPr>
          <w:rFonts w:ascii="Century Gothic" w:hAnsi="Century Gothic"/>
          <w:sz w:val="16"/>
          <w:szCs w:val="16"/>
        </w:rPr>
        <w:t xml:space="preserve">, queso, salsas, postres, </w:t>
      </w:r>
      <w:r w:rsidRPr="00DB6C19">
        <w:rPr>
          <w:rFonts w:ascii="Century Gothic" w:hAnsi="Century Gothic"/>
          <w:sz w:val="16"/>
          <w:szCs w:val="16"/>
        </w:rPr>
        <w:t xml:space="preserve">chicles y caramelos, en las que comercializa marcas emblemáticas como </w:t>
      </w:r>
      <w:proofErr w:type="spellStart"/>
      <w:r w:rsidRPr="00DB6C19">
        <w:rPr>
          <w:rFonts w:ascii="Century Gothic" w:hAnsi="Century Gothic"/>
          <w:sz w:val="16"/>
          <w:szCs w:val="16"/>
        </w:rPr>
        <w:t>Fontaneda</w:t>
      </w:r>
      <w:proofErr w:type="spellEnd"/>
      <w:r w:rsidRPr="00DB6C19">
        <w:rPr>
          <w:rFonts w:ascii="Century Gothic" w:hAnsi="Century Gothic"/>
          <w:sz w:val="16"/>
          <w:szCs w:val="16"/>
        </w:rPr>
        <w:t xml:space="preserve">, </w:t>
      </w:r>
      <w:proofErr w:type="spellStart"/>
      <w:r w:rsidRPr="00DB6C19">
        <w:rPr>
          <w:rFonts w:ascii="Century Gothic" w:hAnsi="Century Gothic"/>
          <w:sz w:val="16"/>
          <w:szCs w:val="16"/>
        </w:rPr>
        <w:t>Belvita</w:t>
      </w:r>
      <w:proofErr w:type="spellEnd"/>
      <w:r w:rsidRPr="00DB6C19">
        <w:rPr>
          <w:rFonts w:ascii="Century Gothic" w:hAnsi="Century Gothic"/>
          <w:sz w:val="16"/>
          <w:szCs w:val="16"/>
        </w:rPr>
        <w:t xml:space="preserve">, Oreo, Príncipe, </w:t>
      </w:r>
      <w:proofErr w:type="spellStart"/>
      <w:r w:rsidRPr="00DB6C19">
        <w:rPr>
          <w:rFonts w:ascii="Century Gothic" w:hAnsi="Century Gothic"/>
          <w:sz w:val="16"/>
          <w:szCs w:val="16"/>
        </w:rPr>
        <w:t>Milka</w:t>
      </w:r>
      <w:proofErr w:type="spellEnd"/>
      <w:r w:rsidRPr="00DB6C19">
        <w:rPr>
          <w:rFonts w:ascii="Century Gothic" w:hAnsi="Century Gothic"/>
          <w:sz w:val="16"/>
          <w:szCs w:val="16"/>
        </w:rPr>
        <w:t xml:space="preserve">, </w:t>
      </w:r>
      <w:proofErr w:type="spellStart"/>
      <w:r w:rsidRPr="00DB6C19">
        <w:rPr>
          <w:rFonts w:ascii="Century Gothic" w:hAnsi="Century Gothic"/>
          <w:sz w:val="16"/>
          <w:szCs w:val="16"/>
        </w:rPr>
        <w:t>Toblerone</w:t>
      </w:r>
      <w:proofErr w:type="spellEnd"/>
      <w:r w:rsidRPr="00DB6C19">
        <w:rPr>
          <w:rFonts w:ascii="Century Gothic" w:hAnsi="Century Gothic"/>
          <w:sz w:val="16"/>
          <w:szCs w:val="16"/>
        </w:rPr>
        <w:t xml:space="preserve">, </w:t>
      </w:r>
      <w:proofErr w:type="spellStart"/>
      <w:r w:rsidRPr="00DB6C19">
        <w:rPr>
          <w:rFonts w:ascii="Century Gothic" w:hAnsi="Century Gothic"/>
          <w:sz w:val="16"/>
          <w:szCs w:val="16"/>
        </w:rPr>
        <w:t>Suchard</w:t>
      </w:r>
      <w:proofErr w:type="spellEnd"/>
      <w:r w:rsidRPr="00DB6C19">
        <w:rPr>
          <w:rFonts w:ascii="Century Gothic" w:hAnsi="Century Gothic"/>
          <w:sz w:val="16"/>
          <w:szCs w:val="16"/>
        </w:rPr>
        <w:t xml:space="preserve">, </w:t>
      </w:r>
      <w:proofErr w:type="spellStart"/>
      <w:r w:rsidRPr="00DB6C19">
        <w:rPr>
          <w:rFonts w:ascii="Century Gothic" w:hAnsi="Century Gothic"/>
          <w:sz w:val="16"/>
          <w:szCs w:val="16"/>
        </w:rPr>
        <w:t>Philadelphia</w:t>
      </w:r>
      <w:proofErr w:type="spellEnd"/>
      <w:r w:rsidRPr="00DB6C19">
        <w:rPr>
          <w:rFonts w:ascii="Century Gothic" w:hAnsi="Century Gothic"/>
          <w:sz w:val="16"/>
          <w:szCs w:val="16"/>
        </w:rPr>
        <w:t>, El Ca</w:t>
      </w:r>
      <w:r>
        <w:rPr>
          <w:rFonts w:ascii="Century Gothic" w:hAnsi="Century Gothic"/>
          <w:sz w:val="16"/>
          <w:szCs w:val="16"/>
        </w:rPr>
        <w:t xml:space="preserve">serío, Royal, </w:t>
      </w:r>
      <w:proofErr w:type="spellStart"/>
      <w:r w:rsidRPr="00DB6C19">
        <w:rPr>
          <w:rFonts w:ascii="Century Gothic" w:hAnsi="Century Gothic"/>
          <w:sz w:val="16"/>
          <w:szCs w:val="16"/>
        </w:rPr>
        <w:t>Dulciora</w:t>
      </w:r>
      <w:proofErr w:type="spellEnd"/>
      <w:r w:rsidRPr="00DB6C19">
        <w:rPr>
          <w:rFonts w:ascii="Century Gothic" w:hAnsi="Century Gothic"/>
          <w:sz w:val="16"/>
          <w:szCs w:val="16"/>
        </w:rPr>
        <w:t xml:space="preserve">, Halls y </w:t>
      </w:r>
      <w:proofErr w:type="spellStart"/>
      <w:r w:rsidRPr="00DB6C19">
        <w:rPr>
          <w:rFonts w:ascii="Century Gothic" w:hAnsi="Century Gothic"/>
          <w:sz w:val="16"/>
          <w:szCs w:val="16"/>
        </w:rPr>
        <w:t>Trident</w:t>
      </w:r>
      <w:proofErr w:type="spellEnd"/>
      <w:r w:rsidRPr="00DB6C19">
        <w:rPr>
          <w:rFonts w:ascii="Century Gothic" w:hAnsi="Century Gothic"/>
          <w:sz w:val="16"/>
          <w:szCs w:val="16"/>
        </w:rPr>
        <w:t xml:space="preserve">.  </w:t>
      </w:r>
    </w:p>
    <w:p w14:paraId="141C954A" w14:textId="77777777" w:rsidR="00826A2C" w:rsidRDefault="00826A2C" w:rsidP="001A2A6C">
      <w:pPr>
        <w:ind w:right="-285"/>
        <w:rPr>
          <w:rStyle w:val="Hipervnculo"/>
          <w:rFonts w:ascii="Century Gothic" w:hAnsi="Century Gothic"/>
          <w:sz w:val="16"/>
          <w:szCs w:val="16"/>
        </w:rPr>
      </w:pPr>
      <w:r w:rsidRPr="00DB6C19">
        <w:rPr>
          <w:rFonts w:ascii="Century Gothic" w:hAnsi="Century Gothic"/>
          <w:sz w:val="16"/>
          <w:szCs w:val="16"/>
        </w:rPr>
        <w:t xml:space="preserve">Para más información sobre </w:t>
      </w:r>
      <w:proofErr w:type="spellStart"/>
      <w:r w:rsidRPr="00DB6C19">
        <w:rPr>
          <w:rFonts w:ascii="Century Gothic" w:hAnsi="Century Gothic"/>
          <w:sz w:val="16"/>
          <w:szCs w:val="16"/>
        </w:rPr>
        <w:t>Mondelez</w:t>
      </w:r>
      <w:proofErr w:type="spellEnd"/>
      <w:r w:rsidRPr="00DB6C19">
        <w:rPr>
          <w:rFonts w:ascii="Century Gothic" w:hAnsi="Century Gothic"/>
          <w:sz w:val="16"/>
          <w:szCs w:val="16"/>
        </w:rPr>
        <w:t xml:space="preserve"> España accede al link </w:t>
      </w:r>
      <w:hyperlink r:id="rId12" w:history="1">
        <w:r w:rsidRPr="00DB6C19">
          <w:rPr>
            <w:rStyle w:val="Hipervnculo"/>
            <w:rFonts w:ascii="Century Gothic" w:hAnsi="Century Gothic"/>
            <w:sz w:val="16"/>
            <w:szCs w:val="16"/>
          </w:rPr>
          <w:t>www.mondelezinternational.es</w:t>
        </w:r>
      </w:hyperlink>
    </w:p>
    <w:p w14:paraId="2798062F" w14:textId="77777777" w:rsidR="00826A2C" w:rsidRPr="001D5640" w:rsidRDefault="00826A2C" w:rsidP="001A2A6C">
      <w:pPr>
        <w:ind w:right="-285"/>
        <w:jc w:val="both"/>
        <w:rPr>
          <w:rFonts w:ascii="Century Gothic" w:hAnsi="Century Gothic"/>
          <w:color w:val="000000" w:themeColor="text1"/>
          <w:sz w:val="16"/>
          <w:szCs w:val="16"/>
        </w:rPr>
      </w:pPr>
      <w:r>
        <w:rPr>
          <w:rFonts w:ascii="Century Gothic" w:hAnsi="Century Gothic"/>
          <w:b/>
          <w:bCs/>
          <w:color w:val="000000" w:themeColor="text1"/>
          <w:sz w:val="16"/>
          <w:szCs w:val="16"/>
        </w:rPr>
        <w:t xml:space="preserve">Acerca de </w:t>
      </w:r>
      <w:r w:rsidRPr="001D5640">
        <w:rPr>
          <w:rFonts w:ascii="Century Gothic" w:hAnsi="Century Gothic"/>
          <w:b/>
          <w:bCs/>
          <w:color w:val="000000" w:themeColor="text1"/>
          <w:sz w:val="16"/>
          <w:szCs w:val="16"/>
        </w:rPr>
        <w:t xml:space="preserve">Grupo AN </w:t>
      </w:r>
      <w:r w:rsidRPr="001D5640">
        <w:rPr>
          <w:rFonts w:ascii="Century Gothic" w:hAnsi="Century Gothic"/>
          <w:color w:val="000000" w:themeColor="text1"/>
          <w:sz w:val="16"/>
          <w:szCs w:val="16"/>
        </w:rPr>
        <w:t xml:space="preserve">es un referente en el cooperativismo agrario español. Con una facturación de 665 millones de euros, esta empresa centenaria nacida en 1910 se situada entre las tres primeras cooperativas agrarias, dando empleo directo a más de 1.200 personas y comercializando la producción de los más de 23.000 agricultores y ganaderos socios. Se trata de la mayor cooperativa cerealista de España, con la comercialización anual superior al millón de toneladas producidas por sus agricultores socios asentados fundamentalmente en la mitad norte, con especial implantación en Navarra, Castilla y León, País Vasco, Aragón y La Rioja. Produce todo tipo de cereales, tradicionales, ecológicos y los específicos a demanda. Grupo AN fue galardonado en el </w:t>
      </w:r>
      <w:proofErr w:type="spellStart"/>
      <w:r w:rsidRPr="001D5640">
        <w:rPr>
          <w:rFonts w:ascii="Century Gothic" w:hAnsi="Century Gothic"/>
          <w:color w:val="000000" w:themeColor="text1"/>
          <w:sz w:val="16"/>
          <w:szCs w:val="16"/>
        </w:rPr>
        <w:t>ano</w:t>
      </w:r>
      <w:proofErr w:type="spellEnd"/>
      <w:r w:rsidRPr="001D5640">
        <w:rPr>
          <w:rFonts w:ascii="Century Gothic" w:hAnsi="Century Gothic"/>
          <w:color w:val="000000" w:themeColor="text1"/>
          <w:sz w:val="16"/>
          <w:szCs w:val="16"/>
        </w:rPr>
        <w:t xml:space="preserve"> 2010 con el Premio Extraordinario Alimentos de España por parte del Ministerio de Agricultura.</w:t>
      </w:r>
    </w:p>
    <w:p w14:paraId="0E320BCC" w14:textId="77777777" w:rsidR="00826A2C" w:rsidRPr="001D5640" w:rsidRDefault="00826A2C" w:rsidP="001A2A6C">
      <w:pPr>
        <w:ind w:right="-285"/>
        <w:jc w:val="both"/>
        <w:rPr>
          <w:rFonts w:ascii="Century Gothic" w:hAnsi="Century Gothic"/>
          <w:color w:val="000000" w:themeColor="text1"/>
          <w:sz w:val="16"/>
          <w:szCs w:val="16"/>
        </w:rPr>
      </w:pPr>
      <w:r>
        <w:rPr>
          <w:rFonts w:ascii="Century Gothic" w:hAnsi="Century Gothic"/>
          <w:b/>
          <w:bCs/>
          <w:color w:val="000000" w:themeColor="text1"/>
          <w:sz w:val="16"/>
          <w:szCs w:val="16"/>
        </w:rPr>
        <w:t xml:space="preserve">Acerca de </w:t>
      </w:r>
      <w:r w:rsidRPr="001D5640">
        <w:rPr>
          <w:rFonts w:ascii="Century Gothic" w:hAnsi="Century Gothic"/>
          <w:b/>
          <w:bCs/>
          <w:color w:val="000000" w:themeColor="text1"/>
          <w:sz w:val="16"/>
          <w:szCs w:val="16"/>
        </w:rPr>
        <w:t xml:space="preserve">Harinera </w:t>
      </w:r>
      <w:proofErr w:type="spellStart"/>
      <w:r w:rsidRPr="001D5640">
        <w:rPr>
          <w:rFonts w:ascii="Century Gothic" w:hAnsi="Century Gothic"/>
          <w:b/>
          <w:bCs/>
          <w:color w:val="000000" w:themeColor="text1"/>
          <w:sz w:val="16"/>
          <w:szCs w:val="16"/>
        </w:rPr>
        <w:t>Vilafranquina</w:t>
      </w:r>
      <w:proofErr w:type="spellEnd"/>
      <w:r w:rsidRPr="001D5640">
        <w:rPr>
          <w:rFonts w:ascii="Century Gothic" w:hAnsi="Century Gothic"/>
          <w:color w:val="000000" w:themeColor="text1"/>
          <w:sz w:val="16"/>
          <w:szCs w:val="16"/>
        </w:rPr>
        <w:t xml:space="preserve">, S.A., compañía cabecera del GRUPO HV, es la empresa líder del sector harinero español y una de las más importantes del ámbito comunitario. Están especializada en la elaboración de harinas y sémolas de trigo, y en la comercialización de cereales. Nacida en el </w:t>
      </w:r>
      <w:proofErr w:type="spellStart"/>
      <w:r w:rsidRPr="001D5640">
        <w:rPr>
          <w:rFonts w:ascii="Century Gothic" w:hAnsi="Century Gothic"/>
          <w:color w:val="000000" w:themeColor="text1"/>
          <w:sz w:val="16"/>
          <w:szCs w:val="16"/>
        </w:rPr>
        <w:t>ano</w:t>
      </w:r>
      <w:proofErr w:type="spellEnd"/>
      <w:r w:rsidRPr="001D5640">
        <w:rPr>
          <w:rFonts w:ascii="Century Gothic" w:hAnsi="Century Gothic"/>
          <w:color w:val="000000" w:themeColor="text1"/>
          <w:sz w:val="16"/>
          <w:szCs w:val="16"/>
        </w:rPr>
        <w:t xml:space="preserve"> 1969, Harinera </w:t>
      </w:r>
      <w:proofErr w:type="spellStart"/>
      <w:r w:rsidRPr="001D5640">
        <w:rPr>
          <w:rFonts w:ascii="Century Gothic" w:hAnsi="Century Gothic"/>
          <w:color w:val="000000" w:themeColor="text1"/>
          <w:sz w:val="16"/>
          <w:szCs w:val="16"/>
        </w:rPr>
        <w:t>Vilafranquina</w:t>
      </w:r>
      <w:proofErr w:type="spellEnd"/>
      <w:r w:rsidRPr="001D5640">
        <w:rPr>
          <w:rFonts w:ascii="Century Gothic" w:hAnsi="Century Gothic"/>
          <w:color w:val="000000" w:themeColor="text1"/>
          <w:sz w:val="16"/>
          <w:szCs w:val="16"/>
        </w:rPr>
        <w:t xml:space="preserve"> tiene más de 400 personas en su equipo. Cuenta con plantas de producción de harina que producen una extensa gama de harinas y sémolas tradicionales, además de elaborar productos finales especiales. Cuenta con el Sistema de Gestión Integral implantado y certificado según las normas ISO 9001:2008 y BRC (</w:t>
      </w:r>
      <w:proofErr w:type="spellStart"/>
      <w:r w:rsidRPr="001D5640">
        <w:rPr>
          <w:rFonts w:ascii="Century Gothic" w:hAnsi="Century Gothic"/>
          <w:color w:val="000000" w:themeColor="text1"/>
          <w:sz w:val="16"/>
          <w:szCs w:val="16"/>
        </w:rPr>
        <w:t>The</w:t>
      </w:r>
      <w:proofErr w:type="spellEnd"/>
      <w:r w:rsidRPr="001D5640">
        <w:rPr>
          <w:rFonts w:ascii="Century Gothic" w:hAnsi="Century Gothic"/>
          <w:color w:val="000000" w:themeColor="text1"/>
          <w:sz w:val="16"/>
          <w:szCs w:val="16"/>
        </w:rPr>
        <w:t xml:space="preserve"> British </w:t>
      </w:r>
      <w:proofErr w:type="spellStart"/>
      <w:r w:rsidRPr="001D5640">
        <w:rPr>
          <w:rFonts w:ascii="Century Gothic" w:hAnsi="Century Gothic"/>
          <w:color w:val="000000" w:themeColor="text1"/>
          <w:sz w:val="16"/>
          <w:szCs w:val="16"/>
        </w:rPr>
        <w:t>Retail</w:t>
      </w:r>
      <w:proofErr w:type="spellEnd"/>
      <w:r w:rsidRPr="001D5640">
        <w:rPr>
          <w:rFonts w:ascii="Century Gothic" w:hAnsi="Century Gothic"/>
          <w:color w:val="000000" w:themeColor="text1"/>
          <w:sz w:val="16"/>
          <w:szCs w:val="16"/>
        </w:rPr>
        <w:t xml:space="preserve"> </w:t>
      </w:r>
      <w:proofErr w:type="spellStart"/>
      <w:r w:rsidRPr="001D5640">
        <w:rPr>
          <w:rFonts w:ascii="Century Gothic" w:hAnsi="Century Gothic"/>
          <w:color w:val="000000" w:themeColor="text1"/>
          <w:sz w:val="16"/>
          <w:szCs w:val="16"/>
        </w:rPr>
        <w:t>Consortium</w:t>
      </w:r>
      <w:proofErr w:type="spellEnd"/>
      <w:r w:rsidRPr="001D5640">
        <w:rPr>
          <w:rFonts w:ascii="Century Gothic" w:hAnsi="Century Gothic"/>
          <w:color w:val="000000" w:themeColor="text1"/>
          <w:sz w:val="16"/>
          <w:szCs w:val="16"/>
        </w:rPr>
        <w:t xml:space="preserve">), y por las normas OHSAS 18001:2007 e ISO 14001:2004. </w:t>
      </w:r>
    </w:p>
    <w:p w14:paraId="30FB58F8" w14:textId="77777777" w:rsidR="00826A2C" w:rsidRPr="001D5640" w:rsidRDefault="00826A2C" w:rsidP="001A2A6C">
      <w:pPr>
        <w:ind w:right="-285"/>
        <w:jc w:val="both"/>
        <w:rPr>
          <w:rFonts w:ascii="Century Gothic" w:hAnsi="Century Gothic"/>
          <w:color w:val="000000" w:themeColor="text1"/>
          <w:sz w:val="16"/>
          <w:szCs w:val="16"/>
        </w:rPr>
      </w:pPr>
      <w:r w:rsidRPr="001D5640">
        <w:rPr>
          <w:rFonts w:ascii="Century Gothic" w:hAnsi="Century Gothic"/>
          <w:b/>
          <w:color w:val="000000" w:themeColor="text1"/>
          <w:sz w:val="16"/>
          <w:szCs w:val="16"/>
        </w:rPr>
        <w:t>Acerca de</w:t>
      </w:r>
      <w:r w:rsidRPr="001D5640">
        <w:rPr>
          <w:rFonts w:ascii="Century Gothic" w:hAnsi="Century Gothic"/>
          <w:color w:val="000000" w:themeColor="text1"/>
          <w:sz w:val="16"/>
          <w:szCs w:val="16"/>
        </w:rPr>
        <w:t xml:space="preserve"> </w:t>
      </w:r>
      <w:proofErr w:type="spellStart"/>
      <w:r w:rsidRPr="001D5640">
        <w:rPr>
          <w:rFonts w:ascii="Century Gothic" w:hAnsi="Century Gothic"/>
          <w:b/>
          <w:bCs/>
          <w:color w:val="000000" w:themeColor="text1"/>
          <w:sz w:val="16"/>
          <w:szCs w:val="16"/>
        </w:rPr>
        <w:t>Guría</w:t>
      </w:r>
      <w:proofErr w:type="spellEnd"/>
      <w:r w:rsidRPr="001D5640">
        <w:rPr>
          <w:rFonts w:ascii="Century Gothic" w:hAnsi="Century Gothic"/>
          <w:b/>
          <w:bCs/>
          <w:color w:val="000000" w:themeColor="text1"/>
          <w:sz w:val="16"/>
          <w:szCs w:val="16"/>
        </w:rPr>
        <w:t>, S.A</w:t>
      </w:r>
      <w:proofErr w:type="gramStart"/>
      <w:r w:rsidRPr="001D5640">
        <w:rPr>
          <w:rFonts w:ascii="Century Gothic" w:hAnsi="Century Gothic"/>
          <w:color w:val="000000" w:themeColor="text1"/>
          <w:sz w:val="16"/>
          <w:szCs w:val="16"/>
        </w:rPr>
        <w:t>. ,</w:t>
      </w:r>
      <w:proofErr w:type="gramEnd"/>
      <w:r w:rsidRPr="001D5640">
        <w:rPr>
          <w:rFonts w:ascii="Century Gothic" w:hAnsi="Century Gothic"/>
          <w:color w:val="000000" w:themeColor="text1"/>
          <w:sz w:val="16"/>
          <w:szCs w:val="16"/>
        </w:rPr>
        <w:t xml:space="preserve"> perteneciente al Grupo Harinera </w:t>
      </w:r>
      <w:proofErr w:type="spellStart"/>
      <w:r w:rsidRPr="001D5640">
        <w:rPr>
          <w:rFonts w:ascii="Century Gothic" w:hAnsi="Century Gothic"/>
          <w:color w:val="000000" w:themeColor="text1"/>
          <w:sz w:val="16"/>
          <w:szCs w:val="16"/>
        </w:rPr>
        <w:t>Vilafranquina</w:t>
      </w:r>
      <w:proofErr w:type="spellEnd"/>
      <w:r w:rsidRPr="001D5640">
        <w:rPr>
          <w:rFonts w:ascii="Century Gothic" w:hAnsi="Century Gothic"/>
          <w:color w:val="000000" w:themeColor="text1"/>
          <w:sz w:val="16"/>
          <w:szCs w:val="16"/>
        </w:rPr>
        <w:t xml:space="preserve"> desde el </w:t>
      </w:r>
      <w:proofErr w:type="spellStart"/>
      <w:r w:rsidRPr="001D5640">
        <w:rPr>
          <w:rFonts w:ascii="Century Gothic" w:hAnsi="Century Gothic"/>
          <w:color w:val="000000" w:themeColor="text1"/>
          <w:sz w:val="16"/>
          <w:szCs w:val="16"/>
        </w:rPr>
        <w:t>ano</w:t>
      </w:r>
      <w:proofErr w:type="spellEnd"/>
      <w:r w:rsidRPr="001D5640">
        <w:rPr>
          <w:rFonts w:ascii="Century Gothic" w:hAnsi="Century Gothic"/>
          <w:color w:val="000000" w:themeColor="text1"/>
          <w:sz w:val="16"/>
          <w:szCs w:val="16"/>
        </w:rPr>
        <w:t xml:space="preserve"> 2006, fue fundada en 1947 por un grupo de panaderos guipuzcoanos y, desde entonces, su objetivo ha sido producir una harina de calidad. Fue la primera harinera española en instalar un sistema de mezclas y desarrollar una serie de productos preparados para su empleo directamente por el panadero a medida para sus clientes. Harinas </w:t>
      </w:r>
      <w:proofErr w:type="spellStart"/>
      <w:r w:rsidRPr="001D5640">
        <w:rPr>
          <w:rFonts w:ascii="Century Gothic" w:hAnsi="Century Gothic"/>
          <w:color w:val="000000" w:themeColor="text1"/>
          <w:sz w:val="16"/>
          <w:szCs w:val="16"/>
        </w:rPr>
        <w:t>Guría</w:t>
      </w:r>
      <w:proofErr w:type="spellEnd"/>
      <w:r w:rsidRPr="001D5640">
        <w:rPr>
          <w:rFonts w:ascii="Century Gothic" w:hAnsi="Century Gothic"/>
          <w:color w:val="000000" w:themeColor="text1"/>
          <w:sz w:val="16"/>
          <w:szCs w:val="16"/>
        </w:rPr>
        <w:t xml:space="preserve"> colabora estrechamente con el INTIA (Instituto Navarro de Tecnologías e Infraestructuras Agroalimentarias) desde el </w:t>
      </w:r>
      <w:proofErr w:type="spellStart"/>
      <w:r w:rsidRPr="001D5640">
        <w:rPr>
          <w:rFonts w:ascii="Century Gothic" w:hAnsi="Century Gothic"/>
          <w:color w:val="000000" w:themeColor="text1"/>
          <w:sz w:val="16"/>
          <w:szCs w:val="16"/>
        </w:rPr>
        <w:t>ano</w:t>
      </w:r>
      <w:proofErr w:type="spellEnd"/>
      <w:r w:rsidRPr="001D5640">
        <w:rPr>
          <w:rFonts w:ascii="Century Gothic" w:hAnsi="Century Gothic"/>
          <w:color w:val="000000" w:themeColor="text1"/>
          <w:sz w:val="16"/>
          <w:szCs w:val="16"/>
        </w:rPr>
        <w:t xml:space="preserve"> 1984, y con las cooperativas de Navarra en el estudio y desarrollo de nuevas variedades. Además, ha participado en la creación de la Asociación Española de Técnicos Cerealistas, y colabora con diversas instituciones como NEIKER (Instituto Vasco de I+D Agrario), UPNA (Universidad Pública de Navarra) o GENVCE (Grupo para la Evaluación de Nuevas Variedades de Cultivos Extensivos) con el objetivo de innovar en variedades de trigo.</w:t>
      </w:r>
    </w:p>
    <w:p w14:paraId="3590DCFD" w14:textId="534F62DF" w:rsidR="00826A2C" w:rsidRPr="00DB6C19" w:rsidRDefault="00826A2C" w:rsidP="001A2A6C">
      <w:pPr>
        <w:spacing w:after="0"/>
        <w:ind w:right="-285"/>
        <w:rPr>
          <w:rFonts w:ascii="Century Gothic" w:hAnsi="Century Gothic"/>
          <w:sz w:val="16"/>
          <w:szCs w:val="16"/>
        </w:rPr>
      </w:pPr>
      <w:r>
        <w:rPr>
          <w:rFonts w:ascii="Century Gothic" w:hAnsi="Century Gothic"/>
          <w:sz w:val="16"/>
          <w:szCs w:val="16"/>
        </w:rPr>
        <w:t>Para más información</w:t>
      </w:r>
      <w:r w:rsidR="001A2A6C">
        <w:rPr>
          <w:rFonts w:ascii="Century Gothic" w:hAnsi="Century Gothic"/>
          <w:sz w:val="16"/>
          <w:szCs w:val="16"/>
        </w:rPr>
        <w:t>:</w:t>
      </w:r>
    </w:p>
    <w:p w14:paraId="117AA6E9" w14:textId="77777777" w:rsidR="00826A2C" w:rsidRPr="00826A2C" w:rsidRDefault="00826A2C" w:rsidP="001A2A6C">
      <w:pPr>
        <w:spacing w:after="0"/>
        <w:ind w:right="-285"/>
        <w:rPr>
          <w:rFonts w:ascii="Century Gothic" w:hAnsi="Century Gothic"/>
          <w:b/>
          <w:sz w:val="16"/>
          <w:szCs w:val="16"/>
        </w:rPr>
      </w:pPr>
      <w:proofErr w:type="spellStart"/>
      <w:proofErr w:type="gramStart"/>
      <w:r w:rsidRPr="00826A2C">
        <w:rPr>
          <w:rFonts w:ascii="Century Gothic" w:hAnsi="Century Gothic"/>
          <w:b/>
          <w:sz w:val="16"/>
          <w:szCs w:val="16"/>
        </w:rPr>
        <w:t>apple</w:t>
      </w:r>
      <w:proofErr w:type="spellEnd"/>
      <w:proofErr w:type="gramEnd"/>
      <w:r w:rsidRPr="00826A2C">
        <w:rPr>
          <w:rFonts w:ascii="Century Gothic" w:hAnsi="Century Gothic"/>
          <w:b/>
          <w:sz w:val="16"/>
          <w:szCs w:val="16"/>
        </w:rPr>
        <w:t xml:space="preserve"> </w:t>
      </w:r>
      <w:proofErr w:type="spellStart"/>
      <w:r w:rsidRPr="00826A2C">
        <w:rPr>
          <w:rFonts w:ascii="Century Gothic" w:hAnsi="Century Gothic"/>
          <w:b/>
          <w:sz w:val="16"/>
          <w:szCs w:val="16"/>
        </w:rPr>
        <w:t>tree</w:t>
      </w:r>
      <w:proofErr w:type="spellEnd"/>
      <w:r w:rsidRPr="00826A2C">
        <w:rPr>
          <w:rFonts w:ascii="Century Gothic" w:hAnsi="Century Gothic"/>
          <w:b/>
          <w:sz w:val="16"/>
          <w:szCs w:val="16"/>
        </w:rPr>
        <w:t xml:space="preserve"> </w:t>
      </w:r>
      <w:proofErr w:type="spellStart"/>
      <w:r w:rsidRPr="00826A2C">
        <w:rPr>
          <w:rFonts w:ascii="Century Gothic" w:hAnsi="Century Gothic"/>
          <w:b/>
          <w:sz w:val="16"/>
          <w:szCs w:val="16"/>
        </w:rPr>
        <w:t>communications</w:t>
      </w:r>
      <w:proofErr w:type="spellEnd"/>
    </w:p>
    <w:p w14:paraId="2961F9AF" w14:textId="77777777" w:rsidR="00826A2C" w:rsidRPr="00826A2C" w:rsidRDefault="00826A2C" w:rsidP="001A2A6C">
      <w:pPr>
        <w:spacing w:after="0"/>
        <w:ind w:right="-285"/>
        <w:jc w:val="both"/>
        <w:rPr>
          <w:rFonts w:ascii="Century Gothic" w:hAnsi="Century Gothic"/>
          <w:sz w:val="16"/>
          <w:szCs w:val="16"/>
        </w:rPr>
      </w:pPr>
      <w:r w:rsidRPr="00826A2C">
        <w:rPr>
          <w:rFonts w:ascii="Century Gothic" w:hAnsi="Century Gothic"/>
          <w:sz w:val="16"/>
          <w:szCs w:val="16"/>
        </w:rPr>
        <w:t>91 319 05 15 – 678 80 12 06</w:t>
      </w:r>
    </w:p>
    <w:p w14:paraId="5CF3B26C" w14:textId="7F9EF660" w:rsidR="00826A2C" w:rsidRPr="00826A2C" w:rsidRDefault="00826A2C" w:rsidP="001A2A6C">
      <w:pPr>
        <w:pStyle w:val="Normal1"/>
        <w:ind w:right="-285"/>
        <w:rPr>
          <w:rFonts w:ascii="Century Gothic" w:hAnsi="Century Gothic"/>
          <w:sz w:val="16"/>
          <w:szCs w:val="16"/>
          <w:lang w:val="es-ES"/>
        </w:rPr>
      </w:pPr>
      <w:r w:rsidRPr="00826A2C">
        <w:rPr>
          <w:rFonts w:ascii="Century Gothic" w:hAnsi="Century Gothic"/>
          <w:sz w:val="16"/>
          <w:szCs w:val="16"/>
          <w:lang w:val="es-ES"/>
        </w:rPr>
        <w:t xml:space="preserve">Elena </w:t>
      </w:r>
      <w:proofErr w:type="spellStart"/>
      <w:r w:rsidRPr="00826A2C">
        <w:rPr>
          <w:rFonts w:ascii="Century Gothic" w:hAnsi="Century Gothic"/>
          <w:sz w:val="16"/>
          <w:szCs w:val="16"/>
          <w:lang w:val="es-ES"/>
        </w:rPr>
        <w:t>Santaolalla</w:t>
      </w:r>
      <w:proofErr w:type="spellEnd"/>
      <w:r w:rsidR="001A2A6C">
        <w:rPr>
          <w:rFonts w:ascii="Century Gothic" w:hAnsi="Century Gothic"/>
          <w:sz w:val="16"/>
          <w:szCs w:val="16"/>
          <w:lang w:val="es-ES"/>
        </w:rPr>
        <w:t xml:space="preserve">- </w:t>
      </w:r>
      <w:hyperlink r:id="rId13" w:history="1">
        <w:r w:rsidRPr="00826A2C">
          <w:rPr>
            <w:rStyle w:val="Hipervnculo"/>
            <w:rFonts w:ascii="Century Gothic" w:hAnsi="Century Gothic"/>
            <w:sz w:val="16"/>
            <w:szCs w:val="16"/>
            <w:lang w:val="es-ES"/>
          </w:rPr>
          <w:t>esp@homeatc.com</w:t>
        </w:r>
      </w:hyperlink>
    </w:p>
    <w:p w14:paraId="7A5ED2CB" w14:textId="51B2420D" w:rsidR="00E96F56" w:rsidRPr="001A2A6C" w:rsidRDefault="00826A2C" w:rsidP="001A2A6C">
      <w:pPr>
        <w:pStyle w:val="Normal1"/>
        <w:ind w:right="-285"/>
        <w:rPr>
          <w:lang w:val="es-ES"/>
        </w:rPr>
      </w:pPr>
      <w:r>
        <w:rPr>
          <w:rFonts w:ascii="Century Gothic" w:hAnsi="Century Gothic"/>
          <w:sz w:val="16"/>
          <w:szCs w:val="16"/>
          <w:lang w:val="es-ES"/>
        </w:rPr>
        <w:t>Paloma Gómez</w:t>
      </w:r>
      <w:r w:rsidR="001A2A6C">
        <w:rPr>
          <w:lang w:val="es-ES"/>
        </w:rPr>
        <w:t xml:space="preserve">- </w:t>
      </w:r>
      <w:hyperlink r:id="rId14" w:history="1">
        <w:r>
          <w:rPr>
            <w:rStyle w:val="Hipervnculo"/>
            <w:rFonts w:ascii="Century Gothic" w:hAnsi="Century Gothic"/>
            <w:sz w:val="16"/>
            <w:szCs w:val="16"/>
            <w:lang w:val="es-ES"/>
          </w:rPr>
          <w:t>pgt@homeatc.com</w:t>
        </w:r>
      </w:hyperlink>
    </w:p>
    <w:sectPr w:rsidR="00E96F56" w:rsidRPr="001A2A6C">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B1102" w14:textId="77777777" w:rsidR="00323840" w:rsidRDefault="00323840" w:rsidP="00E96F56">
      <w:pPr>
        <w:spacing w:after="0" w:line="240" w:lineRule="auto"/>
      </w:pPr>
      <w:r>
        <w:separator/>
      </w:r>
    </w:p>
  </w:endnote>
  <w:endnote w:type="continuationSeparator" w:id="0">
    <w:p w14:paraId="4A5FB03E" w14:textId="77777777" w:rsidR="00323840" w:rsidRDefault="00323840" w:rsidP="00E9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D0AC3" w14:textId="77777777" w:rsidR="00323840" w:rsidRDefault="00323840" w:rsidP="00E96F56">
      <w:pPr>
        <w:spacing w:after="0" w:line="240" w:lineRule="auto"/>
      </w:pPr>
      <w:r>
        <w:separator/>
      </w:r>
    </w:p>
  </w:footnote>
  <w:footnote w:type="continuationSeparator" w:id="0">
    <w:p w14:paraId="3FF3B5BE" w14:textId="77777777" w:rsidR="00323840" w:rsidRDefault="00323840" w:rsidP="00E96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C3304" w14:textId="77777777" w:rsidR="002C218C" w:rsidRDefault="002C218C" w:rsidP="00E96F56">
    <w:pPr>
      <w:pStyle w:val="Encabezado"/>
      <w:jc w:val="center"/>
    </w:pPr>
    <w:r>
      <w:rPr>
        <w:noProof/>
        <w:lang w:eastAsia="es-ES"/>
      </w:rPr>
      <w:drawing>
        <wp:inline distT="0" distB="0" distL="0" distR="0" wp14:anchorId="7FBD4BB6" wp14:editId="1C0E93EF">
          <wp:extent cx="2677194" cy="981562"/>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ontaned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9927" cy="9825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73E01"/>
    <w:multiLevelType w:val="hybridMultilevel"/>
    <w:tmpl w:val="EF5AED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7A76BFD"/>
    <w:multiLevelType w:val="hybridMultilevel"/>
    <w:tmpl w:val="742C376C"/>
    <w:lvl w:ilvl="0" w:tplc="E266DEF2">
      <w:start w:val="91"/>
      <w:numFmt w:val="bullet"/>
      <w:lvlText w:val="-"/>
      <w:lvlJc w:val="left"/>
      <w:pPr>
        <w:ind w:left="720" w:hanging="360"/>
      </w:pPr>
      <w:rPr>
        <w:rFonts w:ascii="Arial" w:eastAsia="Arial"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02F2AC4"/>
    <w:multiLevelType w:val="hybridMultilevel"/>
    <w:tmpl w:val="D2348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A267AEC"/>
    <w:multiLevelType w:val="hybridMultilevel"/>
    <w:tmpl w:val="09D47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382A44"/>
    <w:multiLevelType w:val="hybridMultilevel"/>
    <w:tmpl w:val="75BE9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A861FC"/>
    <w:multiLevelType w:val="hybridMultilevel"/>
    <w:tmpl w:val="ABFC8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56"/>
    <w:rsid w:val="0001529C"/>
    <w:rsid w:val="00036F29"/>
    <w:rsid w:val="000503CC"/>
    <w:rsid w:val="000A1C01"/>
    <w:rsid w:val="000B518D"/>
    <w:rsid w:val="000C5997"/>
    <w:rsid w:val="000F1C23"/>
    <w:rsid w:val="00114CC1"/>
    <w:rsid w:val="00190088"/>
    <w:rsid w:val="001A2A6C"/>
    <w:rsid w:val="002125F2"/>
    <w:rsid w:val="0021793F"/>
    <w:rsid w:val="00222221"/>
    <w:rsid w:val="00250249"/>
    <w:rsid w:val="0025295D"/>
    <w:rsid w:val="002C218C"/>
    <w:rsid w:val="002E2A47"/>
    <w:rsid w:val="002F3789"/>
    <w:rsid w:val="00323840"/>
    <w:rsid w:val="003B6915"/>
    <w:rsid w:val="003C3486"/>
    <w:rsid w:val="003D5A01"/>
    <w:rsid w:val="00415C21"/>
    <w:rsid w:val="00482027"/>
    <w:rsid w:val="0049117A"/>
    <w:rsid w:val="004D2FE7"/>
    <w:rsid w:val="004D7CD7"/>
    <w:rsid w:val="00536E28"/>
    <w:rsid w:val="005838AA"/>
    <w:rsid w:val="00596D6D"/>
    <w:rsid w:val="005C7419"/>
    <w:rsid w:val="005F5A12"/>
    <w:rsid w:val="0061715D"/>
    <w:rsid w:val="0064753F"/>
    <w:rsid w:val="006834C6"/>
    <w:rsid w:val="00826A2C"/>
    <w:rsid w:val="0085102C"/>
    <w:rsid w:val="00866548"/>
    <w:rsid w:val="009342E4"/>
    <w:rsid w:val="009661C9"/>
    <w:rsid w:val="009F0B14"/>
    <w:rsid w:val="00A0056D"/>
    <w:rsid w:val="00A4359E"/>
    <w:rsid w:val="00A53D71"/>
    <w:rsid w:val="00A61D76"/>
    <w:rsid w:val="00AC7FE0"/>
    <w:rsid w:val="00AD6C42"/>
    <w:rsid w:val="00B10FD3"/>
    <w:rsid w:val="00B61884"/>
    <w:rsid w:val="00B70C17"/>
    <w:rsid w:val="00B7778C"/>
    <w:rsid w:val="00BA50E7"/>
    <w:rsid w:val="00BE5AA9"/>
    <w:rsid w:val="00BF7E47"/>
    <w:rsid w:val="00CD6F2A"/>
    <w:rsid w:val="00D7695D"/>
    <w:rsid w:val="00D80F9E"/>
    <w:rsid w:val="00D91FD9"/>
    <w:rsid w:val="00DA5DBA"/>
    <w:rsid w:val="00DC3C06"/>
    <w:rsid w:val="00DD6959"/>
    <w:rsid w:val="00E075B8"/>
    <w:rsid w:val="00E33026"/>
    <w:rsid w:val="00E8403C"/>
    <w:rsid w:val="00E96F56"/>
    <w:rsid w:val="00EA1849"/>
    <w:rsid w:val="00EA70A9"/>
    <w:rsid w:val="00EA7C01"/>
    <w:rsid w:val="00ED37D4"/>
    <w:rsid w:val="00EF2CCB"/>
    <w:rsid w:val="00F228F1"/>
    <w:rsid w:val="00F307AE"/>
    <w:rsid w:val="00F4154D"/>
    <w:rsid w:val="00F57F35"/>
    <w:rsid w:val="00FD0A6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7F2CAE"/>
  <w15:docId w15:val="{4F1B9858-AA53-4731-B8F0-9A98AAC2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F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6F56"/>
  </w:style>
  <w:style w:type="paragraph" w:styleId="Piedepgina">
    <w:name w:val="footer"/>
    <w:basedOn w:val="Normal"/>
    <w:link w:val="PiedepginaCar"/>
    <w:uiPriority w:val="99"/>
    <w:unhideWhenUsed/>
    <w:rsid w:val="00E96F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6F56"/>
  </w:style>
  <w:style w:type="paragraph" w:styleId="Textodeglobo">
    <w:name w:val="Balloon Text"/>
    <w:basedOn w:val="Normal"/>
    <w:link w:val="TextodegloboCar"/>
    <w:uiPriority w:val="99"/>
    <w:semiHidden/>
    <w:unhideWhenUsed/>
    <w:rsid w:val="00E96F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6F56"/>
    <w:rPr>
      <w:rFonts w:ascii="Tahoma" w:hAnsi="Tahoma" w:cs="Tahoma"/>
      <w:sz w:val="16"/>
      <w:szCs w:val="16"/>
    </w:rPr>
  </w:style>
  <w:style w:type="paragraph" w:customStyle="1" w:styleId="Normal1">
    <w:name w:val="Normal1"/>
    <w:rsid w:val="00E96F56"/>
    <w:pPr>
      <w:spacing w:after="0"/>
    </w:pPr>
    <w:rPr>
      <w:rFonts w:ascii="Arial" w:eastAsia="Arial" w:hAnsi="Arial" w:cs="Arial"/>
      <w:color w:val="000000"/>
      <w:szCs w:val="24"/>
      <w:lang w:val="en-US" w:eastAsia="ja-JP"/>
    </w:rPr>
  </w:style>
  <w:style w:type="character" w:styleId="Hipervnculo">
    <w:name w:val="Hyperlink"/>
    <w:basedOn w:val="Fuentedeprrafopredeter"/>
    <w:uiPriority w:val="99"/>
    <w:unhideWhenUsed/>
    <w:rsid w:val="00E96F56"/>
    <w:rPr>
      <w:color w:val="0000FF" w:themeColor="hyperlink"/>
      <w:u w:val="single"/>
    </w:rPr>
  </w:style>
  <w:style w:type="paragraph" w:customStyle="1" w:styleId="Paragraphedeliste1">
    <w:name w:val="Paragraphe de liste1"/>
    <w:basedOn w:val="Normal"/>
    <w:qFormat/>
    <w:rsid w:val="00AC7FE0"/>
    <w:pPr>
      <w:ind w:left="720"/>
      <w:contextualSpacing/>
    </w:pPr>
    <w:rPr>
      <w:rFonts w:ascii="Arial" w:eastAsia="Calibri" w:hAnsi="Arial" w:cs="Arial"/>
      <w:lang w:val="fr-FR"/>
    </w:rPr>
  </w:style>
  <w:style w:type="paragraph" w:styleId="Prrafodelista">
    <w:name w:val="List Paragraph"/>
    <w:basedOn w:val="Normal"/>
    <w:uiPriority w:val="34"/>
    <w:qFormat/>
    <w:rsid w:val="00036F29"/>
    <w:pPr>
      <w:ind w:left="720"/>
      <w:contextualSpacing/>
    </w:pPr>
  </w:style>
  <w:style w:type="character" w:styleId="Refdecomentario">
    <w:name w:val="annotation reference"/>
    <w:basedOn w:val="Fuentedeprrafopredeter"/>
    <w:uiPriority w:val="99"/>
    <w:semiHidden/>
    <w:unhideWhenUsed/>
    <w:rsid w:val="00A53D71"/>
    <w:rPr>
      <w:sz w:val="16"/>
      <w:szCs w:val="16"/>
    </w:rPr>
  </w:style>
  <w:style w:type="paragraph" w:styleId="Textocomentario">
    <w:name w:val="annotation text"/>
    <w:basedOn w:val="Normal"/>
    <w:link w:val="TextocomentarioCar"/>
    <w:uiPriority w:val="99"/>
    <w:semiHidden/>
    <w:unhideWhenUsed/>
    <w:rsid w:val="00A53D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3D71"/>
    <w:rPr>
      <w:sz w:val="20"/>
      <w:szCs w:val="20"/>
    </w:rPr>
  </w:style>
  <w:style w:type="paragraph" w:styleId="Asuntodelcomentario">
    <w:name w:val="annotation subject"/>
    <w:basedOn w:val="Textocomentario"/>
    <w:next w:val="Textocomentario"/>
    <w:link w:val="AsuntodelcomentarioCar"/>
    <w:uiPriority w:val="99"/>
    <w:semiHidden/>
    <w:unhideWhenUsed/>
    <w:rsid w:val="00A53D71"/>
    <w:rPr>
      <w:b/>
      <w:bCs/>
    </w:rPr>
  </w:style>
  <w:style w:type="character" w:customStyle="1" w:styleId="AsuntodelcomentarioCar">
    <w:name w:val="Asunto del comentario Car"/>
    <w:basedOn w:val="TextocomentarioCar"/>
    <w:link w:val="Asuntodelcomentario"/>
    <w:uiPriority w:val="99"/>
    <w:semiHidden/>
    <w:rsid w:val="00A53D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taneda.es/compromiso_harmony" TargetMode="External"/><Relationship Id="rId13" Type="http://schemas.openxmlformats.org/officeDocument/2006/relationships/hyperlink" Target="mailto:esp@homeatc.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ondelezinternational.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ntaneda.es/compromiso_harmon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pgt@homeat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7533</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Mondelēz International</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Gomez</dc:creator>
  <cp:lastModifiedBy>Cloe Garcia</cp:lastModifiedBy>
  <cp:revision>2</cp:revision>
  <dcterms:created xsi:type="dcterms:W3CDTF">2015-07-28T10:35:00Z</dcterms:created>
  <dcterms:modified xsi:type="dcterms:W3CDTF">2015-07-28T10:35:00Z</dcterms:modified>
</cp:coreProperties>
</file>