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0FEFF" w14:textId="01ABC7D4" w:rsidR="00DA09B9" w:rsidRDefault="00DA09B9" w:rsidP="00A36B48">
      <w:pPr>
        <w:pStyle w:val="titel0"/>
        <w:rPr>
          <w:sz w:val="22"/>
          <w:szCs w:val="22"/>
        </w:rPr>
      </w:pPr>
      <w:r>
        <w:rPr>
          <w:sz w:val="22"/>
          <w:szCs w:val="22"/>
        </w:rPr>
        <w:t>GOETHEANUM KOMMUNIKATION</w:t>
      </w:r>
    </w:p>
    <w:p w14:paraId="5E4BA087" w14:textId="77777777" w:rsidR="00DA09B9" w:rsidRDefault="00DA09B9" w:rsidP="00DA09B9">
      <w:pPr>
        <w:pStyle w:val="titel0"/>
        <w:jc w:val="right"/>
        <w:rPr>
          <w:sz w:val="22"/>
          <w:szCs w:val="22"/>
        </w:rPr>
      </w:pPr>
    </w:p>
    <w:p w14:paraId="12BD35B0" w14:textId="34B35188" w:rsidR="00DA09B9" w:rsidRDefault="00DA09B9" w:rsidP="00DA09B9">
      <w:pPr>
        <w:pStyle w:val="titel0"/>
        <w:jc w:val="right"/>
        <w:rPr>
          <w:rFonts w:ascii="Titillium Lt" w:hAnsi="Titillium Lt" w:cs="Titillium Lt"/>
          <w:sz w:val="22"/>
          <w:szCs w:val="22"/>
        </w:rPr>
      </w:pPr>
      <w:r>
        <w:rPr>
          <w:sz w:val="22"/>
          <w:szCs w:val="22"/>
        </w:rPr>
        <w:tab/>
        <w:t>Goetheanum, Dornach, Schweiz, 2. Mai 2024</w:t>
      </w:r>
    </w:p>
    <w:p w14:paraId="7FC14D84" w14:textId="77777777" w:rsidR="00DA09B9" w:rsidRDefault="00DA09B9" w:rsidP="00DA09B9">
      <w:pPr>
        <w:pStyle w:val="titel0"/>
        <w:rPr>
          <w:sz w:val="28"/>
          <w:szCs w:val="28"/>
        </w:rPr>
      </w:pPr>
    </w:p>
    <w:p w14:paraId="35C7C414" w14:textId="77777777" w:rsidR="00DA09B9" w:rsidRPr="00DA09B9" w:rsidRDefault="00DA09B9" w:rsidP="00DA09B9">
      <w:pPr>
        <w:pStyle w:val="titel0"/>
        <w:spacing w:before="57"/>
        <w:rPr>
          <w:b/>
          <w:bCs/>
          <w:sz w:val="28"/>
          <w:szCs w:val="28"/>
        </w:rPr>
      </w:pPr>
      <w:r w:rsidRPr="00DA09B9">
        <w:rPr>
          <w:b/>
          <w:bCs/>
          <w:sz w:val="28"/>
          <w:szCs w:val="28"/>
        </w:rPr>
        <w:t>Theater der Relationen</w:t>
      </w:r>
    </w:p>
    <w:p w14:paraId="4BBA0829" w14:textId="77777777" w:rsidR="00DA09B9" w:rsidRPr="00DA09B9" w:rsidRDefault="00DA09B9" w:rsidP="00DA09B9">
      <w:pPr>
        <w:pStyle w:val="titel0"/>
        <w:spacing w:before="57"/>
        <w:rPr>
          <w:b/>
          <w:bCs/>
          <w:sz w:val="24"/>
          <w:szCs w:val="24"/>
        </w:rPr>
      </w:pPr>
      <w:r w:rsidRPr="00DA09B9">
        <w:rPr>
          <w:b/>
          <w:bCs/>
          <w:sz w:val="24"/>
          <w:szCs w:val="24"/>
        </w:rPr>
        <w:t xml:space="preserve">Theater-Festage am Goetheanum </w:t>
      </w:r>
      <w:r w:rsidRPr="00DA09B9">
        <w:rPr>
          <w:b/>
          <w:bCs/>
          <w:sz w:val="24"/>
          <w:szCs w:val="24"/>
        </w:rPr>
        <w:br/>
        <w:t>anlässlich ‹100 Jahre Dramatischer Kurs› von Rudolf Steiner</w:t>
      </w:r>
    </w:p>
    <w:p w14:paraId="3AD7DF04" w14:textId="77777777" w:rsidR="00DA09B9" w:rsidRPr="00DA09B9" w:rsidRDefault="00DA09B9" w:rsidP="00DA09B9">
      <w:pPr>
        <w:pStyle w:val="body"/>
        <w:rPr>
          <w:b/>
          <w:bCs/>
        </w:rPr>
      </w:pPr>
    </w:p>
    <w:p w14:paraId="0693794B" w14:textId="77777777" w:rsidR="00DA09B9" w:rsidRPr="00DA09B9" w:rsidRDefault="00DA09B9" w:rsidP="00DA09B9">
      <w:pPr>
        <w:pStyle w:val="body"/>
        <w:rPr>
          <w:rFonts w:ascii="Titillium" w:hAnsi="Titillium" w:cs="Titillium"/>
          <w:b/>
          <w:bCs/>
        </w:rPr>
      </w:pPr>
      <w:r w:rsidRPr="00DA09B9">
        <w:rPr>
          <w:rFonts w:ascii="Titillium" w:hAnsi="Titillium" w:cs="Titillium"/>
          <w:b/>
          <w:bCs/>
        </w:rPr>
        <w:t>Alle Handelnden sind wichtig: mit ihrer Stimme, ihrer Persönlichkeit und ihren Möglichkeiten – alle sind verantwortlich für das, was geschieht. Die Theater-Festage am Goetheanum von 10. bis 14. Juli geben praktische Einblicke, wie die Anregungen aus dem ‹Dramatischen Kurs› von Rudolf Steiner heute leben.</w:t>
      </w:r>
    </w:p>
    <w:p w14:paraId="62A0E7BE" w14:textId="77777777" w:rsidR="00DA09B9" w:rsidRDefault="00DA09B9" w:rsidP="00DA09B9">
      <w:pPr>
        <w:pStyle w:val="body"/>
        <w:rPr>
          <w:rFonts w:ascii="Titillium" w:hAnsi="Titillium" w:cs="Titillium"/>
          <w:spacing w:val="1"/>
        </w:rPr>
      </w:pPr>
    </w:p>
    <w:p w14:paraId="51E75863" w14:textId="77777777" w:rsidR="00DA09B9" w:rsidRDefault="00DA09B9" w:rsidP="00DA09B9">
      <w:pPr>
        <w:pStyle w:val="body"/>
        <w:rPr>
          <w:rFonts w:ascii="Titillium" w:hAnsi="Titillium" w:cs="Titillium"/>
          <w:spacing w:val="1"/>
        </w:rPr>
      </w:pPr>
      <w:r>
        <w:rPr>
          <w:rFonts w:ascii="Titillium" w:hAnsi="Titillium" w:cs="Titillium"/>
          <w:spacing w:val="1"/>
        </w:rPr>
        <w:t xml:space="preserve">Was wirkt im Theater? Ansätze dazu gibt es zahlreiche. Zu ihnen gehört die Unterbrechung des Spiels in der Reflexion des epischen Theater von Bertold Brecht und das Vertrauen auf das, was zwischen den Mitwirkenden im ‹leeren Raum› eines Peter Brook geschieht. Der Charakter steht im Vordergrund, die Handlung erweist sich als Ausdruck des Schicksals. 1924 fragten Schauspielerinnen und Schauspielern Rudolf Steiner, welche Anregungen er geben könne. Daraufhin hielt er den ‹Dramatischen Kurs›. Dieser inspiriert seit die Aufführungen auf der Goetheanum-Bühne und ist Ausgangspunkt für Ausbildungen und Inszenierungen in 20 Ländern. </w:t>
      </w:r>
    </w:p>
    <w:p w14:paraId="3336AB2D" w14:textId="77777777" w:rsidR="00DA09B9" w:rsidRDefault="00DA09B9" w:rsidP="00DA09B9">
      <w:pPr>
        <w:pStyle w:val="body"/>
        <w:rPr>
          <w:rFonts w:ascii="Titillium" w:hAnsi="Titillium" w:cs="Titillium"/>
          <w:spacing w:val="1"/>
        </w:rPr>
      </w:pPr>
    </w:p>
    <w:p w14:paraId="5351B5B0" w14:textId="77777777" w:rsidR="00DA09B9" w:rsidRDefault="00DA09B9" w:rsidP="00DA09B9">
      <w:pPr>
        <w:pStyle w:val="body"/>
        <w:rPr>
          <w:rFonts w:ascii="Titillium" w:hAnsi="Titillium" w:cs="Titillium"/>
        </w:rPr>
      </w:pPr>
      <w:r>
        <w:rPr>
          <w:rFonts w:ascii="Titillium" w:hAnsi="Titillium" w:cs="Titillium"/>
        </w:rPr>
        <w:t>Der Spielimpuls wird aus dem Umkreis und dem Wort genommen. Das erlaubt, dass der Charakter seinen Ausdruck mit den Kunstmitteln des unmittelbaren Zusammenspiels von Haltung und Geste sowie von Sprache und ihrer Lautkräfte findet. Der Übungsweg für Schauspielerinnen und Schauspieler ermöglicht, dass nicht der eine Held, die eine Heldin im Vordergrund stehen, sondern dass erlebbar wird, was alles in das dramatische Geschehen hineinspielt. Es geht um die Verantwortung für das Ganze: wem gegenüber sich die Spielenden öffnen, was und wie sie aufnehmen, wie sie sich auf einer höheren Bewusstseinsschicht finden und was sich dadurch im Dazwischen ereignen kann.</w:t>
      </w:r>
    </w:p>
    <w:p w14:paraId="00B400B3" w14:textId="77777777" w:rsidR="00DA09B9" w:rsidRDefault="00DA09B9" w:rsidP="00DA09B9">
      <w:pPr>
        <w:pStyle w:val="body"/>
        <w:rPr>
          <w:rFonts w:ascii="Titillium" w:hAnsi="Titillium" w:cs="Titillium"/>
          <w:spacing w:val="1"/>
        </w:rPr>
      </w:pPr>
    </w:p>
    <w:p w14:paraId="148B8BC0" w14:textId="77777777" w:rsidR="00DA09B9" w:rsidRDefault="00DA09B9" w:rsidP="00DA09B9">
      <w:pPr>
        <w:pStyle w:val="body"/>
        <w:rPr>
          <w:rFonts w:ascii="Titillium" w:hAnsi="Titillium" w:cs="Titillium"/>
          <w:spacing w:val="1"/>
        </w:rPr>
      </w:pPr>
      <w:r>
        <w:rPr>
          <w:rFonts w:ascii="Titillium" w:hAnsi="Titillium" w:cs="Titillium"/>
          <w:spacing w:val="1"/>
        </w:rPr>
        <w:t xml:space="preserve">Anlässlich des Jubiläumsjahrs des ‹Dramatischen Kurses› sind im Sommer 2024 am Goetheanum über zwei Dutzend Inszenierungen zu erleben: auf </w:t>
      </w:r>
      <w:r>
        <w:rPr>
          <w:rFonts w:ascii="Titillium" w:hAnsi="Titillium" w:cs="Titillium"/>
        </w:rPr>
        <w:t xml:space="preserve">Deutsch, Englisch, Französisch, Italienisch, Norwegisch, Russisch, Schwedisch, Tschechisch und Ungarisch. Sie zeigen, wohin die Auseinandersetzung mit dem ‹Dramatischen Kurs› nach 100 Jahren geführt haben. </w:t>
      </w:r>
      <w:r>
        <w:rPr>
          <w:rFonts w:ascii="Titillium" w:hAnsi="Titillium" w:cs="Titillium"/>
          <w:spacing w:val="1"/>
        </w:rPr>
        <w:t>Am Folgetag der jeweiligen Aufführung kann sich das Publikum mit der Regisseurin, dem Regisseur und dem Ensemble unterm Sonnenschirm auf der Terrasse des Goetheanum austauschen.</w:t>
      </w:r>
    </w:p>
    <w:p w14:paraId="487D0B7C" w14:textId="77777777" w:rsidR="00DA09B9" w:rsidRDefault="00DA09B9" w:rsidP="00DA09B9">
      <w:pPr>
        <w:pStyle w:val="body"/>
        <w:jc w:val="right"/>
        <w:rPr>
          <w:rFonts w:ascii="Titillium" w:hAnsi="Titillium" w:cs="Titillium"/>
        </w:rPr>
      </w:pPr>
      <w:r>
        <w:rPr>
          <w:rFonts w:ascii="Titillium" w:hAnsi="Titillium" w:cs="Titillium"/>
        </w:rPr>
        <w:t>(2121 Zeichen/SJ)</w:t>
      </w:r>
    </w:p>
    <w:p w14:paraId="002E6503" w14:textId="77777777" w:rsidR="00DA09B9" w:rsidRDefault="00DA09B9" w:rsidP="00DA09B9">
      <w:pPr>
        <w:pStyle w:val="body"/>
        <w:spacing w:before="57"/>
        <w:rPr>
          <w:rFonts w:ascii="Titillium" w:hAnsi="Titillium" w:cs="Titillium"/>
        </w:rPr>
      </w:pPr>
      <w:r>
        <w:rPr>
          <w:rFonts w:ascii="Titillium Bd" w:hAnsi="Titillium Bd" w:cs="Titillium Bd"/>
          <w:b/>
          <w:bCs/>
        </w:rPr>
        <w:t xml:space="preserve">Theater-Festtage </w:t>
      </w:r>
      <w:r>
        <w:rPr>
          <w:rFonts w:ascii="Titillium" w:hAnsi="Titillium" w:cs="Titillium"/>
        </w:rPr>
        <w:t xml:space="preserve">10. bis 14. Juli 2024, Goetheanum </w:t>
      </w:r>
      <w:r>
        <w:rPr>
          <w:rFonts w:ascii="Titillium" w:hAnsi="Titillium" w:cs="Titillium"/>
        </w:rPr>
        <w:br/>
      </w:r>
      <w:r>
        <w:rPr>
          <w:rFonts w:ascii="Titillium Bd" w:hAnsi="Titillium Bd" w:cs="Titillium Bd"/>
          <w:b/>
          <w:bCs/>
        </w:rPr>
        <w:t>Web</w:t>
      </w:r>
      <w:r>
        <w:rPr>
          <w:rFonts w:ascii="Titillium" w:hAnsi="Titillium" w:cs="Titillium"/>
        </w:rPr>
        <w:t xml:space="preserve"> www.festtage.goetheanum.ch </w:t>
      </w:r>
    </w:p>
    <w:p w14:paraId="0EE5CE81" w14:textId="77777777" w:rsidR="00DA09B9" w:rsidRDefault="00DA09B9" w:rsidP="00DA09B9">
      <w:pPr>
        <w:pStyle w:val="body"/>
        <w:spacing w:before="57"/>
        <w:rPr>
          <w:rFonts w:ascii="Titillium" w:hAnsi="Titillium" w:cs="Titillium"/>
        </w:rPr>
      </w:pPr>
      <w:r>
        <w:rPr>
          <w:rFonts w:ascii="Titillium Bd" w:hAnsi="Titillium Bd" w:cs="Titillium Bd"/>
          <w:b/>
          <w:bCs/>
        </w:rPr>
        <w:t>Kolloquium</w:t>
      </w:r>
      <w:r>
        <w:rPr>
          <w:rFonts w:ascii="Titillium" w:hAnsi="Titillium" w:cs="Titillium"/>
        </w:rPr>
        <w:t xml:space="preserve"> ‹100 Jahre Dramatischer Kurs›, 15. bis 17. Juli 2024, Goetheanum</w:t>
      </w:r>
    </w:p>
    <w:p w14:paraId="609E774E" w14:textId="377AA4B8" w:rsidR="00A378AF" w:rsidRPr="00DA09B9" w:rsidRDefault="00DA09B9" w:rsidP="00DA09B9">
      <w:pPr>
        <w:pStyle w:val="body"/>
        <w:spacing w:before="113"/>
      </w:pPr>
      <w:r>
        <w:rPr>
          <w:rFonts w:ascii="Titillium Bd" w:hAnsi="Titillium Bd" w:cs="Titillium Bd"/>
          <w:b/>
          <w:bCs/>
        </w:rPr>
        <w:t>Ansprechpartnerin</w:t>
      </w:r>
      <w:r>
        <w:rPr>
          <w:rFonts w:ascii="Titillium" w:hAnsi="Titillium" w:cs="Titillium"/>
        </w:rPr>
        <w:t xml:space="preserve"> Silke Kollewijn, silke.kollewijn@goetheanum.ch</w:t>
      </w:r>
    </w:p>
    <w:sectPr w:rsidR="00A378AF" w:rsidRPr="00DA09B9" w:rsidSect="00C26512">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D2"/>
    <w:rsid w:val="003A57E6"/>
    <w:rsid w:val="0051560B"/>
    <w:rsid w:val="008B5C58"/>
    <w:rsid w:val="00A36B48"/>
    <w:rsid w:val="00A378AF"/>
    <w:rsid w:val="00B220D2"/>
    <w:rsid w:val="00C26512"/>
    <w:rsid w:val="00D8091C"/>
    <w:rsid w:val="00DA09B9"/>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771409ED"/>
  <w15:chartTrackingRefBased/>
  <w15:docId w15:val="{52952C44-C9AD-C749-9C7F-5CB4CF8F2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22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22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220D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220D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220D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220D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220D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220D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220D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220D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220D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220D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220D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220D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220D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220D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220D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220D2"/>
    <w:rPr>
      <w:rFonts w:eastAsiaTheme="majorEastAsia" w:cstheme="majorBidi"/>
      <w:color w:val="272727" w:themeColor="text1" w:themeTint="D8"/>
    </w:rPr>
  </w:style>
  <w:style w:type="paragraph" w:styleId="Titel">
    <w:name w:val="Title"/>
    <w:basedOn w:val="Standard"/>
    <w:next w:val="Standard"/>
    <w:link w:val="TitelZchn"/>
    <w:uiPriority w:val="10"/>
    <w:qFormat/>
    <w:rsid w:val="00B220D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220D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220D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220D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220D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220D2"/>
    <w:rPr>
      <w:i/>
      <w:iCs/>
      <w:color w:val="404040" w:themeColor="text1" w:themeTint="BF"/>
    </w:rPr>
  </w:style>
  <w:style w:type="paragraph" w:styleId="Listenabsatz">
    <w:name w:val="List Paragraph"/>
    <w:basedOn w:val="Standard"/>
    <w:uiPriority w:val="34"/>
    <w:qFormat/>
    <w:rsid w:val="00B220D2"/>
    <w:pPr>
      <w:ind w:left="720"/>
      <w:contextualSpacing/>
    </w:pPr>
  </w:style>
  <w:style w:type="character" w:styleId="IntensiveHervorhebung">
    <w:name w:val="Intense Emphasis"/>
    <w:basedOn w:val="Absatz-Standardschriftart"/>
    <w:uiPriority w:val="21"/>
    <w:qFormat/>
    <w:rsid w:val="00B220D2"/>
    <w:rPr>
      <w:i/>
      <w:iCs/>
      <w:color w:val="0F4761" w:themeColor="accent1" w:themeShade="BF"/>
    </w:rPr>
  </w:style>
  <w:style w:type="paragraph" w:styleId="IntensivesZitat">
    <w:name w:val="Intense Quote"/>
    <w:basedOn w:val="Standard"/>
    <w:next w:val="Standard"/>
    <w:link w:val="IntensivesZitatZchn"/>
    <w:uiPriority w:val="30"/>
    <w:qFormat/>
    <w:rsid w:val="00B22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220D2"/>
    <w:rPr>
      <w:i/>
      <w:iCs/>
      <w:color w:val="0F4761" w:themeColor="accent1" w:themeShade="BF"/>
    </w:rPr>
  </w:style>
  <w:style w:type="character" w:styleId="IntensiverVerweis">
    <w:name w:val="Intense Reference"/>
    <w:basedOn w:val="Absatz-Standardschriftart"/>
    <w:uiPriority w:val="32"/>
    <w:qFormat/>
    <w:rsid w:val="00B220D2"/>
    <w:rPr>
      <w:b/>
      <w:bCs/>
      <w:smallCaps/>
      <w:color w:val="0F4761" w:themeColor="accent1" w:themeShade="BF"/>
      <w:spacing w:val="5"/>
    </w:rPr>
  </w:style>
  <w:style w:type="paragraph" w:customStyle="1" w:styleId="titel0">
    <w:name w:val="titel"/>
    <w:basedOn w:val="Standard"/>
    <w:next w:val="body"/>
    <w:uiPriority w:val="99"/>
    <w:rsid w:val="00B220D2"/>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B220D2"/>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2177</Characters>
  <Application>Microsoft Office Word</Application>
  <DocSecurity>0</DocSecurity>
  <Lines>35</Lines>
  <Paragraphs>7</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3</cp:revision>
  <dcterms:created xsi:type="dcterms:W3CDTF">2024-03-25T17:19:00Z</dcterms:created>
  <dcterms:modified xsi:type="dcterms:W3CDTF">2024-05-02T08:53:00Z</dcterms:modified>
</cp:coreProperties>
</file>