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2F6634" w:rsidRDefault="007A3A2F" w:rsidP="007A3A2F">
      <w:pPr>
        <w:pStyle w:val="titel"/>
        <w:rPr>
          <w:sz w:val="22"/>
          <w:szCs w:val="22"/>
          <w:lang w:val="en-US"/>
        </w:rPr>
      </w:pPr>
      <w:r w:rsidRPr="002F6634">
        <w:rPr>
          <w:sz w:val="22"/>
          <w:szCs w:val="22"/>
          <w:lang w:val="en-US"/>
        </w:rPr>
        <w:t>GOETHEANUM</w:t>
      </w:r>
      <w:r w:rsidRPr="002F6634">
        <w:rPr>
          <w:sz w:val="22"/>
          <w:szCs w:val="22"/>
          <w:lang w:val="en-US"/>
        </w:rPr>
        <w:tab/>
      </w:r>
      <w:r w:rsidR="00B90BB3" w:rsidRPr="002F6634">
        <w:rPr>
          <w:sz w:val="22"/>
          <w:szCs w:val="22"/>
          <w:lang w:val="en-US"/>
        </w:rPr>
        <w:t xml:space="preserve"> </w:t>
      </w:r>
      <w:r w:rsidR="0081275A" w:rsidRPr="002F6634">
        <w:rPr>
          <w:sz w:val="22"/>
          <w:szCs w:val="22"/>
          <w:lang w:val="en-US"/>
        </w:rPr>
        <w:t>COMUNICACIÓN</w:t>
      </w:r>
    </w:p>
    <w:p w14:paraId="2CA980B4" w14:textId="77777777" w:rsidR="007A3A2F" w:rsidRPr="002F6634" w:rsidRDefault="007A3A2F" w:rsidP="007A3A2F">
      <w:pPr>
        <w:pStyle w:val="titel"/>
        <w:jc w:val="right"/>
        <w:rPr>
          <w:sz w:val="22"/>
          <w:szCs w:val="22"/>
          <w:lang w:val="en-US"/>
        </w:rPr>
      </w:pPr>
    </w:p>
    <w:p w14:paraId="6BC59DF0" w14:textId="77777777" w:rsidR="002F6634" w:rsidRPr="002F6634" w:rsidRDefault="002F6634" w:rsidP="002F6634">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2F6634">
        <w:rPr>
          <w:rFonts w:ascii="Titillium" w:hAnsi="Titillium" w:cs="Titillium"/>
          <w:color w:val="000000"/>
          <w:sz w:val="22"/>
          <w:szCs w:val="22"/>
          <w:lang w:val="en-US"/>
        </w:rPr>
        <w:tab/>
        <w:t>Goetheanum, Dornach, Suiza, 13 de abril de 2022</w:t>
      </w:r>
    </w:p>
    <w:p w14:paraId="1748FD78" w14:textId="77777777" w:rsidR="002F6634" w:rsidRPr="002F6634" w:rsidRDefault="002F6634" w:rsidP="002F6634">
      <w:pPr>
        <w:autoSpaceDE w:val="0"/>
        <w:autoSpaceDN w:val="0"/>
        <w:adjustRightInd w:val="0"/>
        <w:spacing w:line="300" w:lineRule="atLeast"/>
        <w:textAlignment w:val="center"/>
        <w:rPr>
          <w:rFonts w:ascii="Titillium" w:hAnsi="Titillium" w:cs="Titillium"/>
          <w:color w:val="000000"/>
          <w:sz w:val="28"/>
          <w:szCs w:val="28"/>
          <w:lang w:val="en-US"/>
        </w:rPr>
      </w:pPr>
    </w:p>
    <w:p w14:paraId="6630B30B" w14:textId="77777777" w:rsidR="002F6634" w:rsidRPr="002F6634" w:rsidRDefault="002F6634" w:rsidP="002F6634">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F6634">
        <w:rPr>
          <w:rFonts w:ascii="Titillium" w:hAnsi="Titillium" w:cs="Titillium"/>
          <w:b/>
          <w:bCs/>
          <w:color w:val="000000"/>
          <w:sz w:val="28"/>
          <w:szCs w:val="28"/>
          <w:lang w:val="en-US"/>
        </w:rPr>
        <w:t>Estudiar y vivir la interculturalidad</w:t>
      </w:r>
    </w:p>
    <w:p w14:paraId="75518DA7" w14:textId="77777777" w:rsidR="002F6634" w:rsidRPr="002F6634" w:rsidRDefault="002F6634" w:rsidP="002F6634">
      <w:pPr>
        <w:autoSpaceDE w:val="0"/>
        <w:autoSpaceDN w:val="0"/>
        <w:adjustRightInd w:val="0"/>
        <w:spacing w:before="57" w:line="300" w:lineRule="atLeast"/>
        <w:textAlignment w:val="center"/>
        <w:rPr>
          <w:rFonts w:ascii="Titillium" w:hAnsi="Titillium" w:cs="Titillium"/>
          <w:b/>
          <w:bCs/>
          <w:color w:val="000000"/>
          <w:lang w:val="en-US"/>
        </w:rPr>
      </w:pPr>
      <w:r w:rsidRPr="002F6634">
        <w:rPr>
          <w:rFonts w:ascii="Titillium" w:hAnsi="Titillium" w:cs="Titillium"/>
          <w:b/>
          <w:bCs/>
          <w:color w:val="000000"/>
          <w:lang w:val="en-US"/>
        </w:rPr>
        <w:t>Estudios y formación continuada: El reflejo de perspectivas individuales y culturales basado en la Antroposofía</w:t>
      </w:r>
    </w:p>
    <w:p w14:paraId="54B425A5" w14:textId="77777777" w:rsidR="002F6634" w:rsidRPr="002F6634" w:rsidRDefault="002F6634" w:rsidP="002F6634">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E150D06" w14:textId="77777777" w:rsidR="002F6634" w:rsidRPr="002F6634" w:rsidRDefault="002F6634" w:rsidP="002F6634">
      <w:pPr>
        <w:autoSpaceDE w:val="0"/>
        <w:autoSpaceDN w:val="0"/>
        <w:adjustRightInd w:val="0"/>
        <w:spacing w:line="288" w:lineRule="auto"/>
        <w:textAlignment w:val="center"/>
        <w:rPr>
          <w:rFonts w:ascii="Titillium" w:hAnsi="Titillium" w:cs="Titillium"/>
          <w:b/>
          <w:bCs/>
          <w:color w:val="000000"/>
          <w:sz w:val="20"/>
          <w:szCs w:val="20"/>
          <w:lang w:val="en-US"/>
        </w:rPr>
      </w:pPr>
      <w:r w:rsidRPr="002F6634">
        <w:rPr>
          <w:rFonts w:ascii="Titillium" w:hAnsi="Titillium" w:cs="Titillium"/>
          <w:b/>
          <w:bCs/>
          <w:color w:val="000000"/>
          <w:spacing w:val="-1"/>
          <w:sz w:val="20"/>
          <w:szCs w:val="20"/>
          <w:lang w:val="en-US"/>
        </w:rPr>
        <w:t>Un aspecto de la diversidad son las distintas interpretaciones de los conceptos como ‹Cristo›, ‹reencarnación y karma› y ‹goetheanismo›. El Goetheanum Adult Education Programme ofrece a los docentes de la Antroposofía un espacio para conversar sobre este tipo de conceptos.</w:t>
      </w:r>
    </w:p>
    <w:p w14:paraId="28A1701B"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p>
    <w:p w14:paraId="545675E1"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r w:rsidRPr="002F6634">
        <w:rPr>
          <w:rFonts w:ascii="Titillium" w:hAnsi="Titillium" w:cs="Titillium"/>
          <w:color w:val="000000"/>
          <w:spacing w:val="1"/>
          <w:sz w:val="20"/>
          <w:szCs w:val="20"/>
          <w:lang w:val="en-US"/>
        </w:rPr>
        <w:t>«La concepción del Cristo tal como lo enseñó Rudolf Steiner es aconfesional y tiene carácter religioso cristiano general». Con este comentario, Robin Schmidt, del equipo de docentes del Adult Education Programme, resume un dilema. En el curso de secularización, la palabra ‹Cristo› se ha convertido en algo que normalmente se relaciona con confesiones religiosas, instituciones eclesiásticas, datos culturales e históricos. Algunas personas incluso la asocian con nada particular, según la experiencia del Colegio. Esto supone un reto para los docentes en centros de formación antroposóficos, porque, dado que la Antroposofía históricamente surgió en el contexto filosófico conceptual de un entorno confesional cristiano, continúa Schmidt, «hay que abrir un primer acceso a los fundamentos conceptuales de la Antroposofía aplicada y la cosmovisión antroposófica».</w:t>
      </w:r>
    </w:p>
    <w:p w14:paraId="13F509D0"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p>
    <w:p w14:paraId="3A863892"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r w:rsidRPr="002F6634">
        <w:rPr>
          <w:rFonts w:ascii="Titillium" w:hAnsi="Titillium" w:cs="Titillium"/>
          <w:color w:val="000000"/>
          <w:spacing w:val="1"/>
          <w:sz w:val="20"/>
          <w:szCs w:val="20"/>
          <w:lang w:val="en-US"/>
        </w:rPr>
        <w:t xml:space="preserve">La comunidad de estudiantes procedentes de diferentes estilos de vida, culturas y profesiones hace que la diversidad se experimente de una manera viva. La reflexión sobre los significados de los respectivos conceptos da lugar a «movimientos de pensamiento» entre todos los participantes. «Con el intercambio de los pensamientos surgen nuevos enfoques de comprensión. Una parte importante de este trabajo son la contemplación de obras artísticas y la discusión de teorías estéticas», afirma Stefan Langhammer, miembro del equipo de docentes. La práctica de presentar, compartir y debatir los métodos de trabajo pone en perspectiva el propio camino y muestra alternativas. </w:t>
      </w:r>
    </w:p>
    <w:p w14:paraId="4A3501DE"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p>
    <w:p w14:paraId="6E9590C4"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r w:rsidRPr="002F6634">
        <w:rPr>
          <w:rFonts w:ascii="Titillium" w:hAnsi="Titillium" w:cs="Titillium"/>
          <w:color w:val="000000"/>
          <w:spacing w:val="1"/>
          <w:sz w:val="20"/>
          <w:szCs w:val="20"/>
          <w:lang w:val="en-US"/>
        </w:rPr>
        <w:t>Seguir esta práctica ayuda a ampliar la mirada para crear un espacio de inspiración sin tener que recurrir a modelos estereotipados. «Al mismo tiempo», dice Florian Osswald, docente del Adult Education Programme, «esta apertura de miras hacia los demás fomenta el acceso individual a un determinado tema, porque se trata de adoptar una posición espiritual, desde un Yo que quiere conocer el mundo». Un elemento clave es el método goetheano de conocimiento, que es uno de los temas del programa.</w:t>
      </w:r>
    </w:p>
    <w:p w14:paraId="7ADF975A" w14:textId="77777777" w:rsidR="002F6634" w:rsidRPr="002F6634" w:rsidRDefault="002F6634" w:rsidP="002F6634">
      <w:pPr>
        <w:autoSpaceDE w:val="0"/>
        <w:autoSpaceDN w:val="0"/>
        <w:adjustRightInd w:val="0"/>
        <w:spacing w:line="288" w:lineRule="auto"/>
        <w:jc w:val="right"/>
        <w:textAlignment w:val="center"/>
        <w:rPr>
          <w:rFonts w:ascii="Titillium" w:hAnsi="Titillium" w:cs="Titillium"/>
          <w:color w:val="000000"/>
          <w:spacing w:val="1"/>
          <w:sz w:val="20"/>
          <w:szCs w:val="20"/>
          <w:lang w:val="en-US"/>
        </w:rPr>
      </w:pPr>
      <w:r w:rsidRPr="002F6634">
        <w:rPr>
          <w:rFonts w:ascii="Titillium" w:hAnsi="Titillium" w:cs="Titillium"/>
          <w:color w:val="000000"/>
          <w:sz w:val="20"/>
          <w:szCs w:val="20"/>
          <w:lang w:val="en-US"/>
        </w:rPr>
        <w:t>(2301 caracteres/SJ; traducido por Michael Kranawetvogl)</w:t>
      </w:r>
    </w:p>
    <w:p w14:paraId="6EBE441D"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en-US"/>
        </w:rPr>
      </w:pPr>
    </w:p>
    <w:p w14:paraId="14480672" w14:textId="77777777" w:rsidR="002F6634" w:rsidRPr="002F6634" w:rsidRDefault="002F6634" w:rsidP="002F6634">
      <w:pPr>
        <w:autoSpaceDE w:val="0"/>
        <w:autoSpaceDN w:val="0"/>
        <w:adjustRightInd w:val="0"/>
        <w:spacing w:line="288" w:lineRule="auto"/>
        <w:textAlignment w:val="center"/>
        <w:rPr>
          <w:rFonts w:ascii="Titillium" w:hAnsi="Titillium" w:cs="Titillium"/>
          <w:color w:val="000000"/>
          <w:spacing w:val="1"/>
          <w:sz w:val="20"/>
          <w:szCs w:val="20"/>
          <w:lang w:val="de-DE"/>
        </w:rPr>
      </w:pPr>
      <w:r w:rsidRPr="002F6634">
        <w:rPr>
          <w:rFonts w:ascii="Titillium Bd" w:hAnsi="Titillium Bd" w:cs="Titillium Bd"/>
          <w:b/>
          <w:bCs/>
          <w:color w:val="000000"/>
          <w:spacing w:val="1"/>
          <w:sz w:val="20"/>
          <w:szCs w:val="20"/>
          <w:lang w:val="de-DE"/>
        </w:rPr>
        <w:t>Goetheanum Adult Education Programme (English, peer-supported languages possible, online)</w:t>
      </w:r>
      <w:r w:rsidRPr="002F6634">
        <w:rPr>
          <w:rFonts w:ascii="Titillium" w:hAnsi="Titillium" w:cs="Titillium"/>
          <w:color w:val="000000"/>
          <w:spacing w:val="1"/>
          <w:sz w:val="20"/>
          <w:szCs w:val="20"/>
          <w:lang w:val="de-DE"/>
        </w:rPr>
        <w:t xml:space="preserve"> Módulo ‹Modelling ways to address Goetheanism and Steiner‘s perspective on Christ›, 1 to 4 June 2022 </w:t>
      </w:r>
      <w:r w:rsidRPr="002F6634">
        <w:rPr>
          <w:rFonts w:ascii="Titillium" w:hAnsi="Titillium" w:cs="Titillium"/>
          <w:color w:val="000000"/>
          <w:spacing w:val="1"/>
          <w:sz w:val="20"/>
          <w:szCs w:val="20"/>
          <w:lang w:val="de-DE"/>
        </w:rPr>
        <w:br/>
      </w:r>
      <w:r w:rsidRPr="002F6634">
        <w:rPr>
          <w:rFonts w:ascii="Titillium Bd" w:hAnsi="Titillium Bd" w:cs="Titillium Bd"/>
          <w:b/>
          <w:bCs/>
          <w:color w:val="000000"/>
          <w:spacing w:val="1"/>
          <w:sz w:val="20"/>
          <w:szCs w:val="20"/>
          <w:lang w:val="de-DE"/>
        </w:rPr>
        <w:t>Web</w:t>
      </w:r>
      <w:r w:rsidRPr="002F6634">
        <w:rPr>
          <w:rFonts w:ascii="Titillium" w:hAnsi="Titillium" w:cs="Titillium"/>
          <w:color w:val="000000"/>
          <w:spacing w:val="1"/>
          <w:sz w:val="20"/>
          <w:szCs w:val="20"/>
          <w:lang w:val="de-DE"/>
        </w:rPr>
        <w:t xml:space="preserve"> studium.goetheanum.ch/en/adult-education-program</w:t>
      </w:r>
    </w:p>
    <w:p w14:paraId="2A2C0B46" w14:textId="77777777" w:rsidR="002F6634" w:rsidRPr="002F6634" w:rsidRDefault="002F6634" w:rsidP="002F6634">
      <w:pPr>
        <w:autoSpaceDE w:val="0"/>
        <w:autoSpaceDN w:val="0"/>
        <w:adjustRightInd w:val="0"/>
        <w:spacing w:line="288" w:lineRule="auto"/>
        <w:textAlignment w:val="center"/>
        <w:rPr>
          <w:rFonts w:ascii="Titillium Bd" w:hAnsi="Titillium Bd" w:cs="Titillium Bd"/>
          <w:b/>
          <w:bCs/>
          <w:color w:val="000000"/>
          <w:spacing w:val="1"/>
          <w:sz w:val="20"/>
          <w:szCs w:val="20"/>
          <w:lang w:val="de-DE"/>
        </w:rPr>
      </w:pPr>
    </w:p>
    <w:p w14:paraId="7DBB424B" w14:textId="76B93752" w:rsidR="006E7E7B" w:rsidRDefault="002F6634" w:rsidP="002F6634">
      <w:r w:rsidRPr="002F6634">
        <w:rPr>
          <w:rFonts w:ascii="Titillium Bd" w:hAnsi="Titillium Bd" w:cs="Titillium Bd"/>
          <w:b/>
          <w:bCs/>
          <w:color w:val="000000"/>
          <w:spacing w:val="1"/>
          <w:sz w:val="20"/>
          <w:szCs w:val="20"/>
          <w:lang w:val="de-DE"/>
        </w:rPr>
        <w:t>Contacto</w:t>
      </w:r>
      <w:r w:rsidRPr="002F6634">
        <w:rPr>
          <w:rFonts w:ascii="Titillium" w:hAnsi="Titillium" w:cs="Titillium"/>
          <w:color w:val="000000"/>
          <w:spacing w:val="1"/>
          <w:sz w:val="20"/>
          <w:szCs w:val="20"/>
          <w:lang w:val="de-DE"/>
        </w:rPr>
        <w:t xml:space="preserve"> Edda Nehmiz, studium@goetheanum.ch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F6634"/>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2489</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2022-04-13T15:49:00Z</dcterms:modified>
</cp:coreProperties>
</file>