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6EE" w:rsidRDefault="007316EE" w:rsidP="007316EE">
      <w:pPr>
        <w:rPr>
          <w:rFonts w:ascii="Open Sans" w:hAnsi="Open Sans" w:cs="Open Sans"/>
          <w:sz w:val="20"/>
          <w:u w:val="single"/>
        </w:rPr>
      </w:pPr>
      <w:bookmarkStart w:id="0" w:name="_GoBack"/>
      <w:bookmarkEnd w:id="0"/>
    </w:p>
    <w:p w:rsidR="007316EE" w:rsidRDefault="007316EE" w:rsidP="007316EE">
      <w:pPr>
        <w:rPr>
          <w:rFonts w:ascii="Open Sans" w:hAnsi="Open Sans" w:cs="Open Sans"/>
        </w:rPr>
      </w:pPr>
      <w:r>
        <w:rPr>
          <w:rFonts w:ascii="Open Sans" w:hAnsi="Open Sans" w:cs="Open Sans"/>
          <w:sz w:val="20"/>
          <w:u w:val="single"/>
        </w:rPr>
        <w:t>PRESSEMITTEILUNG</w:t>
      </w:r>
    </w:p>
    <w:p w:rsidR="007316EE" w:rsidRDefault="007316EE" w:rsidP="007316EE">
      <w:pPr>
        <w:rPr>
          <w:rFonts w:ascii="Open Sans" w:hAnsi="Open Sans" w:cs="Open Sans"/>
          <w:sz w:val="20"/>
        </w:rPr>
      </w:pPr>
    </w:p>
    <w:p w:rsidR="007316EE" w:rsidRDefault="007316EE" w:rsidP="007316EE">
      <w:pPr>
        <w:rPr>
          <w:rFonts w:ascii="Open Sans" w:hAnsi="Open Sans" w:cs="Open Sans"/>
          <w:b/>
          <w:sz w:val="28"/>
          <w:szCs w:val="20"/>
        </w:rPr>
      </w:pPr>
      <w:r>
        <w:rPr>
          <w:rFonts w:ascii="Open Sans" w:hAnsi="Open Sans" w:cs="Open Sans"/>
          <w:b/>
          <w:sz w:val="28"/>
          <w:szCs w:val="20"/>
        </w:rPr>
        <w:t xml:space="preserve">Bundesweite Aktionstage „Essen in </w:t>
      </w:r>
      <w:proofErr w:type="spellStart"/>
      <w:r>
        <w:rPr>
          <w:rFonts w:ascii="Open Sans" w:hAnsi="Open Sans" w:cs="Open Sans"/>
          <w:b/>
          <w:sz w:val="28"/>
          <w:szCs w:val="20"/>
        </w:rPr>
        <w:t>Mehrweg</w:t>
      </w:r>
      <w:proofErr w:type="spellEnd"/>
      <w:r>
        <w:rPr>
          <w:rFonts w:ascii="Open Sans" w:hAnsi="Open Sans" w:cs="Open Sans"/>
          <w:b/>
          <w:sz w:val="28"/>
          <w:szCs w:val="20"/>
        </w:rPr>
        <w:t xml:space="preserve">“ vom 2. bis 15. Mai </w:t>
      </w:r>
    </w:p>
    <w:p w:rsidR="007316EE" w:rsidRDefault="007316EE" w:rsidP="007316EE">
      <w:pPr>
        <w:jc w:val="both"/>
        <w:rPr>
          <w:rFonts w:ascii="Open Sans" w:hAnsi="Open Sans" w:cs="Open Sans"/>
          <w:b/>
          <w:sz w:val="20"/>
          <w:szCs w:val="20"/>
        </w:rPr>
      </w:pPr>
      <w:r>
        <w:rPr>
          <w:rFonts w:ascii="Open Sans" w:hAnsi="Open Sans" w:cs="Open Sans"/>
          <w:b/>
          <w:sz w:val="20"/>
          <w:szCs w:val="20"/>
        </w:rPr>
        <w:t xml:space="preserve">Mit Aktionen und Mehrwegangeboten rufen Kommunen, Verbände und Gastronomie-Betriebe zur Nutzung von </w:t>
      </w:r>
      <w:proofErr w:type="spellStart"/>
      <w:r>
        <w:rPr>
          <w:rFonts w:ascii="Open Sans" w:hAnsi="Open Sans" w:cs="Open Sans"/>
          <w:b/>
          <w:sz w:val="20"/>
          <w:szCs w:val="20"/>
        </w:rPr>
        <w:t>Mehrweg</w:t>
      </w:r>
      <w:proofErr w:type="spellEnd"/>
      <w:r>
        <w:rPr>
          <w:rFonts w:ascii="Open Sans" w:hAnsi="Open Sans" w:cs="Open Sans"/>
          <w:b/>
          <w:sz w:val="20"/>
          <w:szCs w:val="20"/>
        </w:rPr>
        <w:t xml:space="preserve"> beim </w:t>
      </w:r>
      <w:proofErr w:type="spellStart"/>
      <w:r>
        <w:rPr>
          <w:rFonts w:ascii="Open Sans" w:hAnsi="Open Sans" w:cs="Open Sans"/>
          <w:b/>
          <w:sz w:val="20"/>
          <w:szCs w:val="20"/>
        </w:rPr>
        <w:t>Takeaway</w:t>
      </w:r>
      <w:proofErr w:type="spellEnd"/>
      <w:r>
        <w:rPr>
          <w:rFonts w:ascii="Open Sans" w:hAnsi="Open Sans" w:cs="Open Sans"/>
          <w:b/>
          <w:sz w:val="20"/>
          <w:szCs w:val="20"/>
        </w:rPr>
        <w:t>-Konsum auf</w:t>
      </w:r>
    </w:p>
    <w:p w:rsidR="007316EE" w:rsidRDefault="007316EE" w:rsidP="007316EE">
      <w:pPr>
        <w:jc w:val="both"/>
        <w:rPr>
          <w:rFonts w:ascii="Open Sans" w:hAnsi="Open Sans" w:cs="Open Sans"/>
          <w:sz w:val="20"/>
        </w:rPr>
      </w:pPr>
    </w:p>
    <w:p w:rsidR="007316EE" w:rsidRPr="005F26F7" w:rsidRDefault="007316EE" w:rsidP="007316EE">
      <w:pPr>
        <w:suppressAutoHyphens/>
        <w:spacing w:after="120"/>
        <w:jc w:val="both"/>
        <w:rPr>
          <w:rFonts w:ascii="Open Sans" w:hAnsi="Open Sans" w:cs="Open Sans"/>
          <w:sz w:val="20"/>
          <w:szCs w:val="20"/>
        </w:rPr>
      </w:pPr>
      <w:r>
        <w:rPr>
          <w:rFonts w:ascii="Open Sans" w:hAnsi="Open Sans" w:cs="Open Sans"/>
          <w:sz w:val="20"/>
          <w:szCs w:val="20"/>
        </w:rPr>
        <w:t>Reutlingen</w:t>
      </w:r>
      <w:r w:rsidRPr="005F26F7">
        <w:rPr>
          <w:rFonts w:ascii="Open Sans" w:hAnsi="Open Sans" w:cs="Open Sans"/>
          <w:sz w:val="20"/>
          <w:szCs w:val="20"/>
        </w:rPr>
        <w:t xml:space="preserve">, </w:t>
      </w:r>
      <w:r>
        <w:rPr>
          <w:rFonts w:ascii="Open Sans" w:hAnsi="Open Sans" w:cs="Open Sans"/>
          <w:sz w:val="20"/>
          <w:szCs w:val="20"/>
        </w:rPr>
        <w:t>05.05.2022:</w:t>
      </w:r>
      <w:r w:rsidRPr="005F26F7">
        <w:rPr>
          <w:rFonts w:ascii="Open Sans" w:hAnsi="Open Sans" w:cs="Open Sans"/>
          <w:sz w:val="20"/>
          <w:szCs w:val="20"/>
        </w:rPr>
        <w:t xml:space="preserve"> Essen zum Mitnehmen ist voll im Trend. In Zeiten von Corona ist die Nachfrage noch einmal deutlich gestiegen. In der Takeaway-Gastronomie wird Essen überwiegend in Einwegverpackungen ausgegeben. Diese belasten Klima und Umwelt. Dabei sind umweltverträglichere Mehrwegalternativen verfügbar und deren Angebot ab 1. Januar 2023 sogar Pflicht. Abhängig von der Größe des Betriebs müssen die Anbieter von Takeaway-Essen dann eine Mehrwegalternative zur Befüllung von Speisen anbieten oder mitgebrachte Mehrwegbehälter der Kund*innen befüllen. Bereits seit dem 3. Juli letzten Jahres sind einige Einwegprodukte aus Kunststoff, beispielsweise Styropor-Schalen, ganz verboten. </w:t>
      </w:r>
    </w:p>
    <w:p w:rsidR="007316EE" w:rsidRPr="00DA36B4" w:rsidRDefault="007316EE" w:rsidP="007316EE">
      <w:pPr>
        <w:jc w:val="both"/>
        <w:rPr>
          <w:rFonts w:ascii="Open Sans" w:hAnsi="Open Sans" w:cs="Open Sans"/>
          <w:sz w:val="20"/>
          <w:szCs w:val="20"/>
        </w:rPr>
      </w:pPr>
      <w:r>
        <w:rPr>
          <w:rFonts w:ascii="Open Sans" w:hAnsi="Open Sans" w:cs="Open Sans"/>
          <w:sz w:val="20"/>
        </w:rPr>
        <w:t xml:space="preserve">Um Alternativen zu umwelt- und klimaschädlichen Einwegverpackungen sichtbar zu machen und die Kundschaft von Takeaway-Essen </w:t>
      </w:r>
      <w:r w:rsidRPr="000D5267">
        <w:rPr>
          <w:rFonts w:ascii="Open Sans" w:hAnsi="Open Sans" w:cs="Open Sans"/>
          <w:sz w:val="20"/>
        </w:rPr>
        <w:t>für die</w:t>
      </w:r>
      <w:r>
        <w:rPr>
          <w:rFonts w:ascii="Open Sans" w:hAnsi="Open Sans" w:cs="Open Sans"/>
          <w:sz w:val="20"/>
        </w:rPr>
        <w:t xml:space="preserve"> Verwendung von Mehrweggefäßen zu gewi</w:t>
      </w:r>
      <w:r w:rsidRPr="000D5267">
        <w:rPr>
          <w:rFonts w:ascii="Open Sans" w:hAnsi="Open Sans" w:cs="Open Sans"/>
          <w:sz w:val="20"/>
        </w:rPr>
        <w:t>nnen</w:t>
      </w:r>
      <w:r>
        <w:rPr>
          <w:rFonts w:ascii="Open Sans" w:hAnsi="Open Sans" w:cs="Open Sans"/>
          <w:sz w:val="20"/>
        </w:rPr>
        <w:t xml:space="preserve">, finden vom 2. bis 15. Mai 2022 zum zweiten Mal die </w:t>
      </w:r>
      <w:r w:rsidRPr="000D5267">
        <w:rPr>
          <w:rFonts w:ascii="Open Sans" w:hAnsi="Open Sans" w:cs="Open Sans"/>
          <w:sz w:val="20"/>
        </w:rPr>
        <w:t>bundesweite</w:t>
      </w:r>
      <w:r>
        <w:rPr>
          <w:rFonts w:ascii="Open Sans" w:hAnsi="Open Sans" w:cs="Open Sans"/>
          <w:sz w:val="20"/>
        </w:rPr>
        <w:t>n</w:t>
      </w:r>
      <w:r w:rsidRPr="000D5267">
        <w:rPr>
          <w:rFonts w:ascii="Open Sans" w:hAnsi="Open Sans" w:cs="Open Sans"/>
          <w:sz w:val="20"/>
        </w:rPr>
        <w:t xml:space="preserve"> Aktionstage</w:t>
      </w:r>
      <w:r>
        <w:rPr>
          <w:rFonts w:ascii="Open Sans" w:hAnsi="Open Sans" w:cs="Open Sans"/>
          <w:sz w:val="20"/>
        </w:rPr>
        <w:t xml:space="preserve"> „</w:t>
      </w:r>
      <w:r w:rsidRPr="002B29EB">
        <w:rPr>
          <w:rFonts w:ascii="Open Sans" w:hAnsi="Open Sans" w:cs="Open Sans"/>
          <w:sz w:val="20"/>
        </w:rPr>
        <w:t xml:space="preserve">Essen in </w:t>
      </w:r>
      <w:proofErr w:type="spellStart"/>
      <w:r w:rsidRPr="002B29EB">
        <w:rPr>
          <w:rFonts w:ascii="Open Sans" w:hAnsi="Open Sans" w:cs="Open Sans"/>
          <w:sz w:val="20"/>
        </w:rPr>
        <w:t>Mehrweg</w:t>
      </w:r>
      <w:proofErr w:type="spellEnd"/>
      <w:r>
        <w:rPr>
          <w:rFonts w:ascii="Open Sans" w:hAnsi="Open Sans" w:cs="Open Sans"/>
          <w:sz w:val="20"/>
        </w:rPr>
        <w:t>“</w:t>
      </w:r>
      <w:r w:rsidRPr="000D5267">
        <w:rPr>
          <w:rFonts w:ascii="Open Sans" w:hAnsi="Open Sans" w:cs="Open Sans"/>
          <w:sz w:val="20"/>
        </w:rPr>
        <w:t xml:space="preserve"> </w:t>
      </w:r>
      <w:r>
        <w:rPr>
          <w:rFonts w:ascii="Open Sans" w:hAnsi="Open Sans" w:cs="Open Sans"/>
          <w:sz w:val="20"/>
        </w:rPr>
        <w:t>statt. I</w:t>
      </w:r>
      <w:r w:rsidRPr="005F09B7">
        <w:rPr>
          <w:rFonts w:ascii="Open Sans" w:hAnsi="Open Sans" w:cs="Open Sans"/>
          <w:sz w:val="20"/>
        </w:rPr>
        <w:t xml:space="preserve">m </w:t>
      </w:r>
      <w:r>
        <w:rPr>
          <w:rFonts w:ascii="Open Sans" w:hAnsi="Open Sans" w:cs="Open Sans"/>
          <w:sz w:val="20"/>
        </w:rPr>
        <w:t>vergangenen</w:t>
      </w:r>
      <w:r w:rsidRPr="005F09B7">
        <w:rPr>
          <w:rFonts w:ascii="Open Sans" w:hAnsi="Open Sans" w:cs="Open Sans"/>
          <w:sz w:val="20"/>
        </w:rPr>
        <w:t xml:space="preserve"> Jahr </w:t>
      </w:r>
      <w:r>
        <w:rPr>
          <w:rFonts w:ascii="Open Sans" w:hAnsi="Open Sans" w:cs="Open Sans"/>
          <w:sz w:val="20"/>
        </w:rPr>
        <w:t xml:space="preserve">haben </w:t>
      </w:r>
      <w:r w:rsidRPr="005F09B7">
        <w:rPr>
          <w:rFonts w:ascii="Open Sans" w:hAnsi="Open Sans" w:cs="Open Sans"/>
          <w:sz w:val="20"/>
        </w:rPr>
        <w:t>sich bundesweit über 40 Partner an den Aktionstagen beteilig</w:t>
      </w:r>
      <w:r>
        <w:rPr>
          <w:rFonts w:ascii="Open Sans" w:hAnsi="Open Sans" w:cs="Open Sans"/>
          <w:sz w:val="20"/>
        </w:rPr>
        <w:t>t. Auch in diesem Jahr wollen sich wieder viele Akteur*innen beteiligen und auf das Mehrweg-Thema aufmerksam machen.</w:t>
      </w:r>
    </w:p>
    <w:p w:rsidR="00F515EA" w:rsidRDefault="007316EE" w:rsidP="007316EE">
      <w:pPr>
        <w:jc w:val="both"/>
        <w:rPr>
          <w:rFonts w:ascii="Open Sans" w:hAnsi="Open Sans" w:cs="Open Sans"/>
          <w:sz w:val="20"/>
          <w:szCs w:val="20"/>
        </w:rPr>
      </w:pPr>
      <w:r w:rsidRPr="00DA36B4">
        <w:rPr>
          <w:rFonts w:ascii="Open Sans" w:hAnsi="Open Sans" w:cs="Open Sans"/>
          <w:sz w:val="20"/>
          <w:szCs w:val="20"/>
        </w:rPr>
        <w:t xml:space="preserve">Unter dem Förderprogramm „Geh deinen Weg mit </w:t>
      </w:r>
      <w:proofErr w:type="spellStart"/>
      <w:r w:rsidRPr="00DA36B4">
        <w:rPr>
          <w:rFonts w:ascii="Open Sans" w:hAnsi="Open Sans" w:cs="Open Sans"/>
          <w:sz w:val="20"/>
          <w:szCs w:val="20"/>
        </w:rPr>
        <w:t>Mehrweg</w:t>
      </w:r>
      <w:proofErr w:type="spellEnd"/>
      <w:r w:rsidRPr="00DA36B4">
        <w:rPr>
          <w:rFonts w:ascii="Open Sans" w:hAnsi="Open Sans" w:cs="Open Sans"/>
          <w:sz w:val="20"/>
          <w:szCs w:val="20"/>
        </w:rPr>
        <w:t xml:space="preserve">“, das vom Landratsamt Reutlingen, den Technischen Betriebsdiensten der Stadt Reutlingen und der </w:t>
      </w:r>
      <w:proofErr w:type="spellStart"/>
      <w:r w:rsidRPr="00DA36B4">
        <w:rPr>
          <w:rFonts w:ascii="Open Sans" w:hAnsi="Open Sans" w:cs="Open Sans"/>
          <w:sz w:val="20"/>
          <w:szCs w:val="20"/>
        </w:rPr>
        <w:t>KlimaschutzAgentur</w:t>
      </w:r>
      <w:proofErr w:type="spellEnd"/>
      <w:r w:rsidRPr="00DA36B4">
        <w:rPr>
          <w:rFonts w:ascii="Open Sans" w:hAnsi="Open Sans" w:cs="Open Sans"/>
          <w:sz w:val="20"/>
          <w:szCs w:val="20"/>
        </w:rPr>
        <w:t xml:space="preserve"> im Landkreis Reutlingen initiiert wurde, machen auch in Stadt- und Landkreis Reutlingen vier Betriebe bei den bundesweiten Aktionstagen mit. Diese haben bereits die Förderung genutzt und sich einem Mehrwegsystem angeschlossen: das Atrium Café, der Proviantmeister, das Nepomuk und Kaffeehäusle. </w:t>
      </w:r>
    </w:p>
    <w:p w:rsidR="00F515EA" w:rsidRDefault="00F515EA" w:rsidP="007316EE">
      <w:pPr>
        <w:jc w:val="both"/>
        <w:rPr>
          <w:rFonts w:ascii="Open Sans" w:hAnsi="Open Sans" w:cs="Open Sans"/>
          <w:sz w:val="20"/>
          <w:szCs w:val="20"/>
        </w:rPr>
      </w:pPr>
    </w:p>
    <w:p w:rsidR="00F515EA" w:rsidRDefault="007316EE" w:rsidP="007316EE">
      <w:pPr>
        <w:jc w:val="both"/>
        <w:rPr>
          <w:rFonts w:ascii="Open Sans" w:hAnsi="Open Sans" w:cs="Open Sans"/>
          <w:sz w:val="20"/>
        </w:rPr>
      </w:pPr>
      <w:r w:rsidRPr="00DA36B4">
        <w:rPr>
          <w:rFonts w:ascii="Open Sans" w:hAnsi="Open Sans" w:cs="Open Sans"/>
          <w:sz w:val="20"/>
          <w:szCs w:val="20"/>
        </w:rPr>
        <w:t xml:space="preserve">„Nur gemeinsam, also die Gastronomie und auch Kundschaft, können wir dazu beitragen, dass in Zukunft mehr Mehrweglösungen genutzt werden und diese zum Standard für </w:t>
      </w:r>
      <w:proofErr w:type="spellStart"/>
      <w:r w:rsidRPr="00DA36B4">
        <w:rPr>
          <w:rFonts w:ascii="Open Sans" w:hAnsi="Open Sans" w:cs="Open Sans"/>
          <w:sz w:val="20"/>
          <w:szCs w:val="20"/>
        </w:rPr>
        <w:t>to</w:t>
      </w:r>
      <w:proofErr w:type="spellEnd"/>
      <w:r w:rsidRPr="00DA36B4">
        <w:rPr>
          <w:rFonts w:ascii="Open Sans" w:hAnsi="Open Sans" w:cs="Open Sans"/>
          <w:sz w:val="20"/>
          <w:szCs w:val="20"/>
        </w:rPr>
        <w:t>-Go-Angebote werden“, so die Initiatoren der Mehrweg-Förderung. Insgesamt haben in Stadt und Landkreis Reutlingen bereits 12 Betriebe die 300€-Förderung für sich genutzt und ein Mehrwegsystem eingeführt</w:t>
      </w:r>
      <w:r>
        <w:rPr>
          <w:rFonts w:ascii="Open Sans" w:hAnsi="Open Sans" w:cs="Open Sans"/>
          <w:sz w:val="20"/>
        </w:rPr>
        <w:t>.</w:t>
      </w:r>
      <w:r w:rsidR="00F515EA">
        <w:rPr>
          <w:rFonts w:ascii="Open Sans" w:hAnsi="Open Sans" w:cs="Open Sans"/>
          <w:sz w:val="20"/>
        </w:rPr>
        <w:t xml:space="preserve"> </w:t>
      </w:r>
    </w:p>
    <w:p w:rsidR="00F515EA" w:rsidRDefault="00F515EA" w:rsidP="007316EE">
      <w:pPr>
        <w:jc w:val="both"/>
        <w:rPr>
          <w:rFonts w:ascii="Open Sans" w:hAnsi="Open Sans" w:cs="Open Sans"/>
          <w:sz w:val="20"/>
        </w:rPr>
      </w:pPr>
    </w:p>
    <w:p w:rsidR="007316EE" w:rsidRDefault="007316EE" w:rsidP="007316EE">
      <w:pPr>
        <w:jc w:val="both"/>
        <w:rPr>
          <w:rFonts w:ascii="Open Sans" w:hAnsi="Open Sans" w:cs="Open Sans"/>
          <w:sz w:val="20"/>
        </w:rPr>
      </w:pPr>
      <w:r>
        <w:rPr>
          <w:rFonts w:ascii="Open Sans" w:hAnsi="Open Sans" w:cs="Open Sans"/>
          <w:sz w:val="20"/>
        </w:rPr>
        <w:t>Während der Aktionstage werden kreative Aktionen mit Bonus</w:t>
      </w:r>
      <w:r w:rsidRPr="00BA21A5">
        <w:rPr>
          <w:rFonts w:ascii="Open Sans" w:hAnsi="Open Sans" w:cs="Open Sans"/>
          <w:sz w:val="20"/>
        </w:rPr>
        <w:t>karte</w:t>
      </w:r>
      <w:r>
        <w:rPr>
          <w:rFonts w:ascii="Open Sans" w:hAnsi="Open Sans" w:cs="Open Sans"/>
          <w:sz w:val="20"/>
        </w:rPr>
        <w:t>n</w:t>
      </w:r>
      <w:r w:rsidRPr="00BA21A5">
        <w:rPr>
          <w:rFonts w:ascii="Open Sans" w:hAnsi="Open Sans" w:cs="Open Sans"/>
          <w:sz w:val="20"/>
        </w:rPr>
        <w:t>, Selfi</w:t>
      </w:r>
      <w:r>
        <w:rPr>
          <w:rFonts w:ascii="Open Sans" w:hAnsi="Open Sans" w:cs="Open Sans"/>
          <w:sz w:val="20"/>
        </w:rPr>
        <w:t>e</w:t>
      </w:r>
      <w:r w:rsidRPr="00BA21A5">
        <w:rPr>
          <w:rFonts w:ascii="Open Sans" w:hAnsi="Open Sans" w:cs="Open Sans"/>
          <w:sz w:val="20"/>
        </w:rPr>
        <w:t>-Aktion</w:t>
      </w:r>
      <w:r>
        <w:rPr>
          <w:rFonts w:ascii="Open Sans" w:hAnsi="Open Sans" w:cs="Open Sans"/>
          <w:sz w:val="20"/>
        </w:rPr>
        <w:t xml:space="preserve">en und Verlosungen von den Aktionstagepartnern durchgeführt, um </w:t>
      </w:r>
      <w:r w:rsidRPr="000D5267">
        <w:rPr>
          <w:rFonts w:ascii="Open Sans" w:hAnsi="Open Sans" w:cs="Open Sans"/>
          <w:sz w:val="20"/>
        </w:rPr>
        <w:t xml:space="preserve">auf die Mehrwegangebote der </w:t>
      </w:r>
      <w:r>
        <w:rPr>
          <w:rFonts w:ascii="Open Sans" w:hAnsi="Open Sans" w:cs="Open Sans"/>
          <w:sz w:val="20"/>
        </w:rPr>
        <w:t xml:space="preserve">teilnehmenden </w:t>
      </w:r>
      <w:r w:rsidRPr="000D5267">
        <w:rPr>
          <w:rFonts w:ascii="Open Sans" w:hAnsi="Open Sans" w:cs="Open Sans"/>
          <w:sz w:val="20"/>
        </w:rPr>
        <w:t xml:space="preserve">Gastronomiebetriebe aufmerksam </w:t>
      </w:r>
      <w:r>
        <w:rPr>
          <w:rFonts w:ascii="Open Sans" w:hAnsi="Open Sans" w:cs="Open Sans"/>
          <w:sz w:val="20"/>
        </w:rPr>
        <w:t>zu machen und dessen Nutzung anzuregen.</w:t>
      </w:r>
    </w:p>
    <w:p w:rsidR="007316EE" w:rsidRDefault="007316EE" w:rsidP="007316EE">
      <w:pPr>
        <w:jc w:val="both"/>
        <w:rPr>
          <w:rFonts w:ascii="Open Sans" w:hAnsi="Open Sans" w:cs="Open Sans"/>
          <w:sz w:val="20"/>
        </w:rPr>
      </w:pPr>
    </w:p>
    <w:p w:rsidR="007316EE" w:rsidRDefault="007316EE" w:rsidP="007316EE">
      <w:pPr>
        <w:jc w:val="both"/>
        <w:rPr>
          <w:rFonts w:ascii="Open Sans" w:hAnsi="Open Sans" w:cs="Open Sans"/>
          <w:sz w:val="20"/>
        </w:rPr>
      </w:pPr>
      <w:r>
        <w:rPr>
          <w:rFonts w:ascii="Open Sans" w:hAnsi="Open Sans" w:cs="Open Sans"/>
          <w:sz w:val="20"/>
        </w:rPr>
        <w:t xml:space="preserve">Mehr Informationen zum Förderprogramm: </w:t>
      </w:r>
      <w:hyperlink r:id="rId6" w:history="1">
        <w:r w:rsidR="00F515EA" w:rsidRPr="00393382">
          <w:rPr>
            <w:rStyle w:val="Hyperlink"/>
            <w:rFonts w:ascii="Open Sans" w:hAnsi="Open Sans" w:cs="Open Sans"/>
            <w:sz w:val="20"/>
          </w:rPr>
          <w:t>www.klimaschutzagentur-reutlingen.de/mehrweg</w:t>
        </w:r>
      </w:hyperlink>
      <w:r w:rsidR="00F515EA">
        <w:rPr>
          <w:rFonts w:ascii="Open Sans" w:hAnsi="Open Sans" w:cs="Open Sans"/>
          <w:sz w:val="20"/>
        </w:rPr>
        <w:t xml:space="preserve"> </w:t>
      </w:r>
    </w:p>
    <w:p w:rsidR="007316EE" w:rsidRDefault="007316EE" w:rsidP="007316EE">
      <w:pPr>
        <w:jc w:val="both"/>
        <w:rPr>
          <w:rFonts w:ascii="Open Sans" w:hAnsi="Open Sans" w:cs="Open Sans"/>
          <w:color w:val="0000FF"/>
          <w:sz w:val="20"/>
          <w:u w:val="single"/>
        </w:rPr>
      </w:pPr>
    </w:p>
    <w:p w:rsidR="007316EE" w:rsidRDefault="007316EE" w:rsidP="007316EE">
      <w:pPr>
        <w:jc w:val="both"/>
        <w:rPr>
          <w:rStyle w:val="Hyperlink"/>
          <w:szCs w:val="20"/>
        </w:rPr>
      </w:pPr>
    </w:p>
    <w:p w:rsidR="007316EE" w:rsidRDefault="007316EE" w:rsidP="007316EE">
      <w:pPr>
        <w:pStyle w:val="KeinLeerraum"/>
        <w:rPr>
          <w:rFonts w:ascii="Open Sans" w:hAnsi="Open Sans" w:cs="Open Sans"/>
        </w:rPr>
      </w:pPr>
    </w:p>
    <w:p w:rsidR="007316EE" w:rsidRDefault="007316EE" w:rsidP="007316EE">
      <w:pPr>
        <w:pStyle w:val="KeinLeerraum"/>
        <w:rPr>
          <w:rFonts w:ascii="Open Sans" w:hAnsi="Open Sans" w:cs="Open Sans"/>
        </w:rPr>
      </w:pPr>
    </w:p>
    <w:p w:rsidR="007316EE" w:rsidRPr="009B2903" w:rsidRDefault="007316EE" w:rsidP="007316EE">
      <w:pPr>
        <w:pStyle w:val="KeinLeerraum"/>
        <w:rPr>
          <w:rFonts w:ascii="Open Sans" w:hAnsi="Open Sans" w:cs="Open Sans"/>
        </w:rPr>
      </w:pPr>
    </w:p>
    <w:p w:rsidR="00A26559" w:rsidRDefault="00C048B5"/>
    <w:sectPr w:rsidR="00A26559" w:rsidSect="00FF2F77">
      <w:footerReference w:type="default" r:id="rId7"/>
      <w:headerReference w:type="first" r:id="rId8"/>
      <w:footerReference w:type="first" r:id="rId9"/>
      <w:pgSz w:w="11906" w:h="16838"/>
      <w:pgMar w:top="1276" w:right="1416" w:bottom="1635" w:left="1417" w:header="709" w:footer="710" w:gutter="0"/>
      <w:cols w:space="720"/>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B5" w:rsidRDefault="00C048B5" w:rsidP="007D698A">
      <w:r>
        <w:separator/>
      </w:r>
    </w:p>
  </w:endnote>
  <w:endnote w:type="continuationSeparator" w:id="0">
    <w:p w:rsidR="00C048B5" w:rsidRDefault="00C048B5" w:rsidP="007D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Song">
    <w:altName w:val="MV Boli"/>
    <w:charset w:val="01"/>
    <w:family w:val="roman"/>
    <w:pitch w:val="variable"/>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05" w:rsidRDefault="00C048B5">
    <w:pPr>
      <w:pStyle w:val="Fuzeile"/>
      <w:tabs>
        <w:tab w:val="center" w:pos="4536"/>
        <w:tab w:val="right" w:pos="9072"/>
      </w:tabs>
      <w:jc w:val="right"/>
    </w:pPr>
  </w:p>
  <w:p w:rsidR="00667D05" w:rsidRDefault="00C048B5">
    <w:pPr>
      <w:pStyle w:val="Fuzeile"/>
      <w:tabs>
        <w:tab w:val="center" w:pos="4536"/>
        <w:tab w:val="right" w:pos="9072"/>
      </w:tabs>
      <w:jc w:val="right"/>
      <w:rPr>
        <w:rFonts w:ascii="Times New Roman" w:hAnsi="Times New Roman"/>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05" w:rsidRDefault="00C048B5">
    <w:pPr>
      <w:pStyle w:val="Fuzeile"/>
      <w:tabs>
        <w:tab w:val="center" w:pos="4536"/>
        <w:tab w:val="right" w:pos="9072"/>
      </w:tabs>
      <w:rPr>
        <w:rFonts w:ascii="Times New Roman" w:hAnsi="Times New Roman"/>
        <w:sz w:val="22"/>
      </w:rPr>
    </w:pPr>
  </w:p>
  <w:p w:rsidR="00667D05" w:rsidRDefault="00C048B5">
    <w:pPr>
      <w:pStyle w:val="Fuzeile"/>
      <w:tabs>
        <w:tab w:val="center" w:pos="4536"/>
        <w:tab w:val="right" w:pos="9072"/>
      </w:tabs>
      <w:rPr>
        <w:rFonts w:ascii="Times" w:hAnsi="Times"/>
        <w:color w:val="008080"/>
        <w:sz w:val="12"/>
      </w:rPr>
    </w:pPr>
  </w:p>
  <w:p w:rsidR="00667D05" w:rsidRDefault="00C048B5">
    <w:pPr>
      <w:pStyle w:val="Fuzeile"/>
      <w:tabs>
        <w:tab w:val="center" w:pos="4536"/>
        <w:tab w:val="right" w:pos="9072"/>
      </w:tabs>
      <w:rPr>
        <w:rFonts w:ascii="Times" w:hAnsi="Times"/>
        <w:color w:val="000000"/>
        <w:sz w:val="12"/>
      </w:rPr>
    </w:pPr>
  </w:p>
  <w:p w:rsidR="00667D05" w:rsidRDefault="00C048B5">
    <w:pPr>
      <w:pStyle w:val="Fuzeile"/>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B5" w:rsidRDefault="00C048B5" w:rsidP="007D698A">
      <w:r>
        <w:separator/>
      </w:r>
    </w:p>
  </w:footnote>
  <w:footnote w:type="continuationSeparator" w:id="0">
    <w:p w:rsidR="00C048B5" w:rsidRDefault="00C048B5" w:rsidP="007D6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05" w:rsidRDefault="00C048B5">
    <w:pPr>
      <w:pStyle w:val="Kopfzeile"/>
      <w:tabs>
        <w:tab w:val="center" w:pos="4536"/>
        <w:tab w:val="right" w:pos="9072"/>
      </w:tabs>
      <w:rPr>
        <w:rFonts w:ascii="Times New Roman" w:hAnsi="Times New Roman"/>
        <w:b/>
        <w:sz w:val="22"/>
      </w:rPr>
    </w:pPr>
  </w:p>
  <w:p w:rsidR="00667D05" w:rsidRDefault="00C048B5">
    <w:pPr>
      <w:pStyle w:val="Kopfzeile"/>
      <w:tabs>
        <w:tab w:val="center" w:pos="4536"/>
        <w:tab w:val="right" w:pos="9072"/>
      </w:tabs>
      <w:rPr>
        <w:rFonts w:ascii="Times New Roman" w:hAnsi="Times New Roman"/>
        <w:b/>
        <w:sz w:val="22"/>
      </w:rPr>
    </w:pPr>
  </w:p>
  <w:p w:rsidR="00667D05" w:rsidRDefault="00C048B5">
    <w:pPr>
      <w:pStyle w:val="Kopfzeile"/>
      <w:tabs>
        <w:tab w:val="center" w:pos="4536"/>
        <w:tab w:val="right" w:pos="9072"/>
      </w:tabs>
      <w:rPr>
        <w:rFonts w:ascii="Times New Roman" w:hAnsi="Times New Roman"/>
        <w:b/>
        <w:sz w:val="22"/>
      </w:rPr>
    </w:pPr>
  </w:p>
  <w:p w:rsidR="00667D05" w:rsidRDefault="00C048B5">
    <w:pPr>
      <w:pStyle w:val="Kopfzeile"/>
      <w:tabs>
        <w:tab w:val="center" w:pos="4536"/>
        <w:tab w:val="right" w:pos="9072"/>
      </w:tabs>
      <w:rPr>
        <w:rFonts w:ascii="Times New Roman" w:hAnsi="Times New Roman"/>
        <w:b/>
        <w:sz w:val="22"/>
      </w:rPr>
    </w:pPr>
  </w:p>
  <w:p w:rsidR="00667D05" w:rsidRDefault="00C048B5">
    <w:pPr>
      <w:pStyle w:val="Kopfzeile"/>
      <w:tabs>
        <w:tab w:val="center" w:pos="4536"/>
        <w:tab w:val="right" w:pos="9072"/>
      </w:tabs>
      <w:rPr>
        <w:rFonts w:ascii="Times New Roman" w:hAnsi="Times New Roman"/>
        <w:b/>
        <w:sz w:val="22"/>
      </w:rPr>
    </w:pPr>
  </w:p>
  <w:p w:rsidR="00667D05" w:rsidRDefault="00C048B5">
    <w:pPr>
      <w:pStyle w:val="Kopfzeile"/>
      <w:tabs>
        <w:tab w:val="center" w:pos="4536"/>
        <w:tab w:val="right" w:pos="9072"/>
      </w:tabs>
      <w:rPr>
        <w:rFonts w:ascii="Times New Roman" w:hAnsi="Times New Roman"/>
        <w:b/>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EE"/>
    <w:rsid w:val="00512A5A"/>
    <w:rsid w:val="007316EE"/>
    <w:rsid w:val="007D698A"/>
    <w:rsid w:val="008350CA"/>
    <w:rsid w:val="00A938A8"/>
    <w:rsid w:val="00C048B5"/>
    <w:rsid w:val="00C40B66"/>
    <w:rsid w:val="00DD17CF"/>
    <w:rsid w:val="00F51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E1268-00D5-48F5-9C25-C395DCB7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316EE"/>
    <w:pPr>
      <w:widowControl w:val="0"/>
      <w:spacing w:after="0" w:line="240" w:lineRule="auto"/>
    </w:pPr>
    <w:rPr>
      <w:rFonts w:ascii="STSong" w:eastAsia="Trebuchet MS" w:hAnsi="STSong" w:cs="Trebuchet MS"/>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316EE"/>
  </w:style>
  <w:style w:type="character" w:customStyle="1" w:styleId="KopfzeileZchn">
    <w:name w:val="Kopfzeile Zchn"/>
    <w:basedOn w:val="Absatz-Standardschriftart"/>
    <w:link w:val="Kopfzeile"/>
    <w:rsid w:val="007316EE"/>
    <w:rPr>
      <w:rFonts w:ascii="STSong" w:eastAsia="Trebuchet MS" w:hAnsi="STSong" w:cs="Trebuchet MS"/>
      <w:sz w:val="24"/>
      <w:szCs w:val="24"/>
      <w:lang w:eastAsia="zh-CN" w:bidi="hi-IN"/>
    </w:rPr>
  </w:style>
  <w:style w:type="paragraph" w:styleId="Fuzeile">
    <w:name w:val="footer"/>
    <w:basedOn w:val="Standard"/>
    <w:link w:val="FuzeileZchn"/>
    <w:rsid w:val="007316EE"/>
  </w:style>
  <w:style w:type="character" w:customStyle="1" w:styleId="FuzeileZchn">
    <w:name w:val="Fußzeile Zchn"/>
    <w:basedOn w:val="Absatz-Standardschriftart"/>
    <w:link w:val="Fuzeile"/>
    <w:rsid w:val="007316EE"/>
    <w:rPr>
      <w:rFonts w:ascii="STSong" w:eastAsia="Trebuchet MS" w:hAnsi="STSong" w:cs="Trebuchet MS"/>
      <w:sz w:val="24"/>
      <w:szCs w:val="24"/>
      <w:lang w:eastAsia="zh-CN" w:bidi="hi-IN"/>
    </w:rPr>
  </w:style>
  <w:style w:type="paragraph" w:styleId="KeinLeerraum">
    <w:name w:val="No Spacing"/>
    <w:qFormat/>
    <w:rsid w:val="007316EE"/>
    <w:pPr>
      <w:suppressAutoHyphens/>
      <w:spacing w:after="0" w:line="249" w:lineRule="auto"/>
    </w:pPr>
    <w:rPr>
      <w:rFonts w:ascii="Times" w:eastAsia="Symbol" w:hAnsi="Times" w:cs="Tahoma"/>
      <w:color w:val="000000"/>
      <w:sz w:val="20"/>
      <w:szCs w:val="24"/>
      <w:lang w:eastAsia="zh-CN" w:bidi="hi-IN"/>
    </w:rPr>
  </w:style>
  <w:style w:type="character" w:styleId="Hyperlink">
    <w:name w:val="Hyperlink"/>
    <w:basedOn w:val="Absatz-Standardschriftart"/>
    <w:uiPriority w:val="99"/>
    <w:unhideWhenUsed/>
    <w:rsid w:val="007316EE"/>
    <w:rPr>
      <w:color w:val="0000FF"/>
      <w:u w:val="single"/>
    </w:rPr>
  </w:style>
  <w:style w:type="character" w:customStyle="1" w:styleId="UnresolvedMention">
    <w:name w:val="Unresolved Mention"/>
    <w:basedOn w:val="Absatz-Standardschriftart"/>
    <w:uiPriority w:val="99"/>
    <w:semiHidden/>
    <w:unhideWhenUsed/>
    <w:rsid w:val="00F51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imaschutzagentur-reutlingen.de/mehrwe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Lea-Teresa Tress</dc:creator>
  <cp:keywords/>
  <dc:description/>
  <cp:lastModifiedBy>Ulrike Hipp</cp:lastModifiedBy>
  <cp:revision>2</cp:revision>
  <dcterms:created xsi:type="dcterms:W3CDTF">2022-05-03T06:39:00Z</dcterms:created>
  <dcterms:modified xsi:type="dcterms:W3CDTF">2022-05-03T06:39:00Z</dcterms:modified>
</cp:coreProperties>
</file>