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D260F" w14:textId="77777777" w:rsidR="00B72783" w:rsidRDefault="00032F22" w:rsidP="00B72783">
      <w:pPr>
        <w:pStyle w:val="Rubrik2"/>
      </w:pPr>
      <w:r>
        <w:t>Pressmeddelande</w:t>
      </w:r>
    </w:p>
    <w:p w14:paraId="44949E25" w14:textId="1DE552CC" w:rsidR="000B39C3" w:rsidRPr="00815BB5" w:rsidRDefault="00EE65FE" w:rsidP="00B72783">
      <w:pPr>
        <w:rPr>
          <w:bCs/>
        </w:rPr>
      </w:pPr>
      <w:r w:rsidRPr="00815BB5">
        <w:rPr>
          <w:bCs/>
        </w:rPr>
        <w:t>2016-01-19</w:t>
      </w:r>
    </w:p>
    <w:p w14:paraId="177ACD1B" w14:textId="00AEB04F" w:rsidR="00815BB5" w:rsidRPr="00815BB5" w:rsidRDefault="00815BB5" w:rsidP="00815BB5">
      <w:pPr>
        <w:pStyle w:val="Rubrik1"/>
      </w:pPr>
      <w:proofErr w:type="spellStart"/>
      <w:r>
        <w:t>Midrocs</w:t>
      </w:r>
      <w:proofErr w:type="spellEnd"/>
      <w:r w:rsidRPr="00815BB5">
        <w:t xml:space="preserve"> nya hotell</w:t>
      </w:r>
      <w:r>
        <w:t>-</w:t>
      </w:r>
      <w:r w:rsidRPr="00815BB5">
        <w:t xml:space="preserve"> och kongress</w:t>
      </w:r>
      <w:r>
        <w:t>anläggning</w:t>
      </w:r>
      <w:r w:rsidRPr="00815BB5">
        <w:t xml:space="preserve"> i Helsingborg</w:t>
      </w:r>
      <w:r w:rsidR="00C37BCC">
        <w:t xml:space="preserve"> kommer att drivas av Nordic Choice </w:t>
      </w:r>
      <w:proofErr w:type="spellStart"/>
      <w:r w:rsidR="00C37BCC">
        <w:t>Hotels</w:t>
      </w:r>
      <w:proofErr w:type="spellEnd"/>
      <w:r w:rsidRPr="00815BB5">
        <w:t xml:space="preserve"> </w:t>
      </w:r>
    </w:p>
    <w:p w14:paraId="3420E460" w14:textId="77777777" w:rsidR="003C596C" w:rsidRPr="00815BB5" w:rsidRDefault="003C596C" w:rsidP="007264C1">
      <w:pPr>
        <w:rPr>
          <w:i/>
          <w:sz w:val="22"/>
          <w:szCs w:val="22"/>
        </w:rPr>
      </w:pPr>
    </w:p>
    <w:p w14:paraId="297E5B9C" w14:textId="60C697C3" w:rsidR="003C596C" w:rsidRPr="00815BB5" w:rsidRDefault="00A7508B" w:rsidP="007264C1">
      <w:pPr>
        <w:rPr>
          <w:i/>
          <w:sz w:val="22"/>
          <w:szCs w:val="22"/>
        </w:rPr>
      </w:pPr>
      <w:r>
        <w:rPr>
          <w:i/>
          <w:sz w:val="22"/>
          <w:szCs w:val="22"/>
        </w:rPr>
        <w:t xml:space="preserve">Midroc har tecknat ett långsiktigt avtal med Nordic Choice </w:t>
      </w:r>
      <w:proofErr w:type="spellStart"/>
      <w:r>
        <w:rPr>
          <w:i/>
          <w:sz w:val="22"/>
          <w:szCs w:val="22"/>
        </w:rPr>
        <w:t>Hotels</w:t>
      </w:r>
      <w:proofErr w:type="spellEnd"/>
      <w:r>
        <w:rPr>
          <w:i/>
          <w:sz w:val="22"/>
          <w:szCs w:val="22"/>
        </w:rPr>
        <w:t xml:space="preserve"> som innebär att hotellkoncernen</w:t>
      </w:r>
      <w:r w:rsidR="00A5491F">
        <w:rPr>
          <w:i/>
          <w:sz w:val="22"/>
          <w:szCs w:val="22"/>
        </w:rPr>
        <w:t xml:space="preserve">s </w:t>
      </w:r>
      <w:r>
        <w:rPr>
          <w:i/>
          <w:sz w:val="22"/>
          <w:szCs w:val="22"/>
        </w:rPr>
        <w:t xml:space="preserve">kedja Clarion </w:t>
      </w:r>
      <w:proofErr w:type="spellStart"/>
      <w:r>
        <w:rPr>
          <w:i/>
          <w:sz w:val="22"/>
          <w:szCs w:val="22"/>
        </w:rPr>
        <w:t>Hotel</w:t>
      </w:r>
      <w:proofErr w:type="spellEnd"/>
      <w:r>
        <w:rPr>
          <w:i/>
          <w:sz w:val="22"/>
          <w:szCs w:val="22"/>
        </w:rPr>
        <w:t xml:space="preserve"> blir operatör för den planerade hotell- och kongressanläggningen i centrala Helsingborg. </w:t>
      </w:r>
      <w:r w:rsidR="00C37BCC">
        <w:rPr>
          <w:i/>
          <w:sz w:val="22"/>
          <w:szCs w:val="22"/>
        </w:rPr>
        <w:t xml:space="preserve">Byggstart sker </w:t>
      </w:r>
      <w:r w:rsidR="001B214C">
        <w:rPr>
          <w:i/>
          <w:sz w:val="22"/>
          <w:szCs w:val="22"/>
        </w:rPr>
        <w:t xml:space="preserve">senare </w:t>
      </w:r>
      <w:r w:rsidR="00C37BCC">
        <w:rPr>
          <w:i/>
          <w:sz w:val="22"/>
          <w:szCs w:val="22"/>
        </w:rPr>
        <w:t>i år och hela området, som också omfattar bostäder, caféer och lokaler</w:t>
      </w:r>
      <w:r w:rsidR="00FD2557">
        <w:rPr>
          <w:i/>
          <w:sz w:val="22"/>
          <w:szCs w:val="22"/>
        </w:rPr>
        <w:t>,</w:t>
      </w:r>
      <w:r w:rsidR="00C37BCC">
        <w:rPr>
          <w:i/>
          <w:sz w:val="22"/>
          <w:szCs w:val="22"/>
        </w:rPr>
        <w:t xml:space="preserve"> kommer att stå klar i början av 2020. </w:t>
      </w:r>
      <w:r w:rsidR="00815BB5">
        <w:rPr>
          <w:i/>
          <w:sz w:val="22"/>
          <w:szCs w:val="22"/>
        </w:rPr>
        <w:t xml:space="preserve"> </w:t>
      </w:r>
    </w:p>
    <w:p w14:paraId="1A5B377D" w14:textId="77777777" w:rsidR="003C596C" w:rsidRPr="00815BB5" w:rsidRDefault="003C596C" w:rsidP="007264C1">
      <w:pPr>
        <w:rPr>
          <w:i/>
          <w:sz w:val="22"/>
          <w:szCs w:val="22"/>
        </w:rPr>
      </w:pPr>
    </w:p>
    <w:p w14:paraId="7343363F" w14:textId="0698AE6A" w:rsidR="0057032B" w:rsidRDefault="00C37BCC" w:rsidP="00775FA3">
      <w:pPr>
        <w:rPr>
          <w:sz w:val="22"/>
          <w:szCs w:val="22"/>
        </w:rPr>
      </w:pPr>
      <w:r>
        <w:rPr>
          <w:sz w:val="22"/>
          <w:szCs w:val="22"/>
        </w:rPr>
        <w:t xml:space="preserve">På en av Sveriges mest attraktiva tomter, mitt i centrala Helsingborg och med </w:t>
      </w:r>
      <w:r w:rsidR="001B214C">
        <w:rPr>
          <w:sz w:val="22"/>
          <w:szCs w:val="22"/>
        </w:rPr>
        <w:t xml:space="preserve">full </w:t>
      </w:r>
      <w:r>
        <w:rPr>
          <w:sz w:val="22"/>
          <w:szCs w:val="22"/>
        </w:rPr>
        <w:t>utsikt över Öresund</w:t>
      </w:r>
      <w:r w:rsidR="001B214C">
        <w:rPr>
          <w:sz w:val="22"/>
          <w:szCs w:val="22"/>
        </w:rPr>
        <w:t>,</w:t>
      </w:r>
      <w:r>
        <w:rPr>
          <w:sz w:val="22"/>
          <w:szCs w:val="22"/>
        </w:rPr>
        <w:t xml:space="preserve"> kommer Midroc uppföra en </w:t>
      </w:r>
      <w:r w:rsidR="00FD2557">
        <w:rPr>
          <w:sz w:val="22"/>
          <w:szCs w:val="22"/>
        </w:rPr>
        <w:t xml:space="preserve">ny </w:t>
      </w:r>
      <w:r>
        <w:rPr>
          <w:sz w:val="22"/>
          <w:szCs w:val="22"/>
        </w:rPr>
        <w:t xml:space="preserve">hotell- och kongressanläggning. </w:t>
      </w:r>
      <w:r w:rsidR="0057032B">
        <w:rPr>
          <w:sz w:val="22"/>
          <w:szCs w:val="22"/>
        </w:rPr>
        <w:t xml:space="preserve">Hotellet blir Helsingborgs största med ca 250 rum. </w:t>
      </w:r>
      <w:r w:rsidR="001B214C">
        <w:rPr>
          <w:sz w:val="22"/>
          <w:szCs w:val="22"/>
        </w:rPr>
        <w:t>Kongre</w:t>
      </w:r>
      <w:r w:rsidR="0057032B">
        <w:rPr>
          <w:sz w:val="22"/>
          <w:szCs w:val="22"/>
        </w:rPr>
        <w:t>ssal</w:t>
      </w:r>
      <w:r w:rsidR="001B214C">
        <w:rPr>
          <w:sz w:val="22"/>
          <w:szCs w:val="22"/>
        </w:rPr>
        <w:t>en kommer</w:t>
      </w:r>
      <w:r w:rsidR="00876399">
        <w:rPr>
          <w:sz w:val="22"/>
          <w:szCs w:val="22"/>
        </w:rPr>
        <w:t xml:space="preserve"> att</w:t>
      </w:r>
      <w:r w:rsidR="0057032B">
        <w:rPr>
          <w:sz w:val="22"/>
          <w:szCs w:val="22"/>
        </w:rPr>
        <w:t xml:space="preserve"> rymm</w:t>
      </w:r>
      <w:r w:rsidR="001B214C">
        <w:rPr>
          <w:sz w:val="22"/>
          <w:szCs w:val="22"/>
        </w:rPr>
        <w:t>a</w:t>
      </w:r>
      <w:r w:rsidR="0057032B">
        <w:rPr>
          <w:sz w:val="22"/>
          <w:szCs w:val="22"/>
        </w:rPr>
        <w:t xml:space="preserve"> ca 1 </w:t>
      </w:r>
      <w:r w:rsidR="00C81552">
        <w:rPr>
          <w:sz w:val="22"/>
          <w:szCs w:val="22"/>
        </w:rPr>
        <w:t>3</w:t>
      </w:r>
      <w:r w:rsidR="0057032B">
        <w:rPr>
          <w:sz w:val="22"/>
          <w:szCs w:val="22"/>
        </w:rPr>
        <w:t>00 personer och utrustas med ett flertal konferensrum i olika storlekar</w:t>
      </w:r>
      <w:r w:rsidR="00A55BBE">
        <w:rPr>
          <w:sz w:val="22"/>
          <w:szCs w:val="22"/>
        </w:rPr>
        <w:t>, restauranger, bar och café</w:t>
      </w:r>
      <w:r w:rsidR="001B214C">
        <w:rPr>
          <w:sz w:val="22"/>
          <w:szCs w:val="22"/>
        </w:rPr>
        <w:t>.</w:t>
      </w:r>
      <w:r w:rsidR="0057032B">
        <w:rPr>
          <w:sz w:val="22"/>
          <w:szCs w:val="22"/>
        </w:rPr>
        <w:t xml:space="preserve"> I området </w:t>
      </w:r>
      <w:r w:rsidR="001B214C">
        <w:rPr>
          <w:sz w:val="22"/>
          <w:szCs w:val="22"/>
        </w:rPr>
        <w:t>byggs också</w:t>
      </w:r>
      <w:r w:rsidR="0057032B">
        <w:rPr>
          <w:sz w:val="22"/>
          <w:szCs w:val="22"/>
        </w:rPr>
        <w:t xml:space="preserve"> ca 1</w:t>
      </w:r>
      <w:r w:rsidR="004107FA">
        <w:rPr>
          <w:sz w:val="22"/>
          <w:szCs w:val="22"/>
        </w:rPr>
        <w:t>5</w:t>
      </w:r>
      <w:r w:rsidR="0057032B">
        <w:rPr>
          <w:sz w:val="22"/>
          <w:szCs w:val="22"/>
        </w:rPr>
        <w:t>0 bostäder samt lokaler</w:t>
      </w:r>
      <w:r w:rsidR="00A55BBE">
        <w:rPr>
          <w:sz w:val="22"/>
          <w:szCs w:val="22"/>
        </w:rPr>
        <w:t xml:space="preserve"> i bottenvåningarna</w:t>
      </w:r>
      <w:r w:rsidR="0057032B">
        <w:rPr>
          <w:sz w:val="22"/>
          <w:szCs w:val="22"/>
        </w:rPr>
        <w:t>.</w:t>
      </w:r>
    </w:p>
    <w:p w14:paraId="64DA3444" w14:textId="77777777" w:rsidR="00C37BCC" w:rsidRDefault="00C37BCC" w:rsidP="00775FA3">
      <w:pPr>
        <w:rPr>
          <w:sz w:val="22"/>
          <w:szCs w:val="22"/>
        </w:rPr>
      </w:pPr>
    </w:p>
    <w:p w14:paraId="32FD4473" w14:textId="77777777" w:rsidR="00A7508B" w:rsidRDefault="00A7508B" w:rsidP="00A7508B">
      <w:pPr>
        <w:rPr>
          <w:sz w:val="22"/>
          <w:szCs w:val="22"/>
        </w:rPr>
      </w:pPr>
      <w:proofErr w:type="gramStart"/>
      <w:r w:rsidRPr="006E402D">
        <w:rPr>
          <w:sz w:val="22"/>
          <w:szCs w:val="22"/>
        </w:rPr>
        <w:t>-</w:t>
      </w:r>
      <w:proofErr w:type="gramEnd"/>
      <w:r w:rsidRPr="006E402D">
        <w:rPr>
          <w:sz w:val="22"/>
          <w:szCs w:val="22"/>
        </w:rPr>
        <w:t xml:space="preserve"> Helsingborg är en mycket attraktiv stad som många vill besöka</w:t>
      </w:r>
      <w:r>
        <w:rPr>
          <w:sz w:val="22"/>
          <w:szCs w:val="22"/>
        </w:rPr>
        <w:t>, övernatta</w:t>
      </w:r>
      <w:r w:rsidRPr="006E402D">
        <w:rPr>
          <w:sz w:val="22"/>
          <w:szCs w:val="22"/>
        </w:rPr>
        <w:t xml:space="preserve"> och konferera i. </w:t>
      </w:r>
      <w:r>
        <w:rPr>
          <w:sz w:val="22"/>
          <w:szCs w:val="22"/>
        </w:rPr>
        <w:t xml:space="preserve">Här </w:t>
      </w:r>
      <w:bookmarkStart w:id="0" w:name="_GoBack"/>
      <w:bookmarkEnd w:id="0"/>
      <w:r>
        <w:rPr>
          <w:sz w:val="22"/>
          <w:szCs w:val="22"/>
        </w:rPr>
        <w:t xml:space="preserve">kommer vi utveckla en inbjudande mötesplats, en ny plats att vistas och umgås på som inspirerar människor att förverkliga sina idéer, säger </w:t>
      </w:r>
      <w:r w:rsidRPr="00815BB5">
        <w:rPr>
          <w:sz w:val="22"/>
          <w:szCs w:val="22"/>
        </w:rPr>
        <w:t xml:space="preserve">Magnus Skiöld, vd i Midroc </w:t>
      </w:r>
      <w:proofErr w:type="spellStart"/>
      <w:r>
        <w:rPr>
          <w:sz w:val="22"/>
          <w:szCs w:val="22"/>
        </w:rPr>
        <w:t>Properties</w:t>
      </w:r>
      <w:proofErr w:type="spellEnd"/>
      <w:r>
        <w:rPr>
          <w:sz w:val="22"/>
          <w:szCs w:val="22"/>
        </w:rPr>
        <w:t xml:space="preserve">. Med Nordic Choice </w:t>
      </w:r>
      <w:proofErr w:type="spellStart"/>
      <w:r>
        <w:rPr>
          <w:sz w:val="22"/>
          <w:szCs w:val="22"/>
        </w:rPr>
        <w:t>Hotels</w:t>
      </w:r>
      <w:proofErr w:type="spellEnd"/>
      <w:r>
        <w:rPr>
          <w:sz w:val="22"/>
          <w:szCs w:val="22"/>
        </w:rPr>
        <w:t xml:space="preserve"> som samarbetspartner kommer den nya anläggningen stärka stadens attraktivitet och bidra till utvecklingen av nordvästra Skåne. </w:t>
      </w:r>
    </w:p>
    <w:p w14:paraId="3937B1B7" w14:textId="77777777" w:rsidR="00A7508B" w:rsidRDefault="00A7508B" w:rsidP="00A7508B">
      <w:pPr>
        <w:rPr>
          <w:sz w:val="22"/>
          <w:szCs w:val="22"/>
        </w:rPr>
      </w:pPr>
    </w:p>
    <w:p w14:paraId="28A98D54" w14:textId="2A55BC21" w:rsidR="00A7508B" w:rsidRPr="0021421B" w:rsidRDefault="00A7508B" w:rsidP="00A7508B">
      <w:pPr>
        <w:spacing w:after="160" w:line="259" w:lineRule="auto"/>
        <w:contextualSpacing/>
        <w:rPr>
          <w:color w:val="000000"/>
          <w:sz w:val="22"/>
          <w:szCs w:val="22"/>
        </w:rPr>
      </w:pPr>
      <w:proofErr w:type="gramStart"/>
      <w:r w:rsidRPr="0021421B">
        <w:rPr>
          <w:color w:val="000000"/>
          <w:sz w:val="22"/>
          <w:szCs w:val="22"/>
        </w:rPr>
        <w:t>-</w:t>
      </w:r>
      <w:proofErr w:type="gramEnd"/>
      <w:r w:rsidRPr="0021421B">
        <w:rPr>
          <w:color w:val="000000"/>
          <w:sz w:val="22"/>
          <w:szCs w:val="22"/>
        </w:rPr>
        <w:t xml:space="preserve"> </w:t>
      </w:r>
      <w:r w:rsidRPr="002F2C4B">
        <w:rPr>
          <w:sz w:val="22"/>
          <w:szCs w:val="22"/>
        </w:rPr>
        <w:t xml:space="preserve">Helsingborg är en av Sveriges absolut vackraste städer och jag är väldigt stolt över att vi på Nordic Choice </w:t>
      </w:r>
      <w:proofErr w:type="spellStart"/>
      <w:r w:rsidRPr="002F2C4B">
        <w:rPr>
          <w:sz w:val="22"/>
          <w:szCs w:val="22"/>
        </w:rPr>
        <w:t>Hotels</w:t>
      </w:r>
      <w:proofErr w:type="spellEnd"/>
      <w:r w:rsidRPr="002F2C4B">
        <w:rPr>
          <w:sz w:val="22"/>
          <w:szCs w:val="22"/>
        </w:rPr>
        <w:t xml:space="preserve"> får vara med i detta projekt. Ett projekt som vi kommer att ta oss an med stor ödmjukhet och skapa tillsammans med de som bor i staden och i området</w:t>
      </w:r>
      <w:r w:rsidRPr="0021421B">
        <w:rPr>
          <w:color w:val="000000"/>
          <w:sz w:val="22"/>
          <w:szCs w:val="22"/>
        </w:rPr>
        <w:t xml:space="preserve"> säger Petter Stordalen, ägare och styrelseordförande </w:t>
      </w:r>
      <w:r w:rsidR="00C44A80">
        <w:rPr>
          <w:color w:val="000000"/>
          <w:sz w:val="22"/>
          <w:szCs w:val="22"/>
        </w:rPr>
        <w:t xml:space="preserve">i </w:t>
      </w:r>
      <w:r w:rsidRPr="0021421B">
        <w:rPr>
          <w:color w:val="000000"/>
          <w:sz w:val="22"/>
          <w:szCs w:val="22"/>
        </w:rPr>
        <w:t xml:space="preserve">Nordic Choice </w:t>
      </w:r>
      <w:proofErr w:type="spellStart"/>
      <w:r w:rsidRPr="0021421B">
        <w:rPr>
          <w:color w:val="000000"/>
          <w:sz w:val="22"/>
          <w:szCs w:val="22"/>
        </w:rPr>
        <w:t>Hotels</w:t>
      </w:r>
      <w:proofErr w:type="spellEnd"/>
      <w:r w:rsidRPr="0021421B">
        <w:rPr>
          <w:color w:val="000000"/>
          <w:sz w:val="22"/>
          <w:szCs w:val="22"/>
        </w:rPr>
        <w:t>.</w:t>
      </w:r>
    </w:p>
    <w:p w14:paraId="0B9F8CCF" w14:textId="77777777" w:rsidR="00A7508B" w:rsidRPr="00815BB5" w:rsidRDefault="00A7508B" w:rsidP="00A7508B">
      <w:pPr>
        <w:rPr>
          <w:sz w:val="22"/>
          <w:szCs w:val="22"/>
        </w:rPr>
      </w:pPr>
      <w:r>
        <w:rPr>
          <w:sz w:val="22"/>
          <w:szCs w:val="22"/>
        </w:rPr>
        <w:t xml:space="preserve"> </w:t>
      </w:r>
    </w:p>
    <w:p w14:paraId="02E9AB02" w14:textId="77777777" w:rsidR="00A7508B" w:rsidRDefault="00A7508B" w:rsidP="00A7508B">
      <w:pPr>
        <w:rPr>
          <w:color w:val="000000"/>
          <w:sz w:val="22"/>
          <w:szCs w:val="22"/>
        </w:rPr>
      </w:pPr>
      <w:proofErr w:type="gramStart"/>
      <w:r w:rsidRPr="000E05CE">
        <w:rPr>
          <w:sz w:val="22"/>
          <w:szCs w:val="22"/>
        </w:rPr>
        <w:t>-</w:t>
      </w:r>
      <w:proofErr w:type="gramEnd"/>
      <w:r w:rsidRPr="000E05CE">
        <w:rPr>
          <w:sz w:val="22"/>
          <w:szCs w:val="22"/>
        </w:rPr>
        <w:t xml:space="preserve"> Det är mycket glädjande att det blir Nordic Choice </w:t>
      </w:r>
      <w:proofErr w:type="spellStart"/>
      <w:r w:rsidRPr="000E05CE">
        <w:rPr>
          <w:sz w:val="22"/>
          <w:szCs w:val="22"/>
        </w:rPr>
        <w:t>Hotels</w:t>
      </w:r>
      <w:proofErr w:type="spellEnd"/>
      <w:r w:rsidRPr="000E05CE">
        <w:rPr>
          <w:sz w:val="22"/>
          <w:szCs w:val="22"/>
        </w:rPr>
        <w:t xml:space="preserve"> som kommer driva den nya anläggningen. Satsningen kommer vara positiv för stadens besöksnäring, vilket både direkt och indirekt kommer att skapa nya jobb, inte minst för unga. Dessutom kommer projektet bidra till ett tryggare och mer levande city,</w:t>
      </w:r>
      <w:r w:rsidRPr="000A100A">
        <w:rPr>
          <w:color w:val="000000"/>
          <w:sz w:val="22"/>
          <w:szCs w:val="22"/>
        </w:rPr>
        <w:t xml:space="preserve"> säger </w:t>
      </w:r>
      <w:r>
        <w:rPr>
          <w:color w:val="000000"/>
          <w:sz w:val="22"/>
          <w:szCs w:val="22"/>
        </w:rPr>
        <w:t>Peter Danielsson</w:t>
      </w:r>
      <w:r w:rsidRPr="000A100A">
        <w:rPr>
          <w:color w:val="000000"/>
          <w:sz w:val="22"/>
          <w:szCs w:val="22"/>
        </w:rPr>
        <w:t xml:space="preserve">, </w:t>
      </w:r>
      <w:r>
        <w:rPr>
          <w:color w:val="000000"/>
          <w:sz w:val="22"/>
          <w:szCs w:val="22"/>
        </w:rPr>
        <w:t>kommunstyrelsens ordförande i Helsingborg</w:t>
      </w:r>
      <w:r w:rsidRPr="000A100A">
        <w:rPr>
          <w:color w:val="000000"/>
          <w:sz w:val="22"/>
          <w:szCs w:val="22"/>
        </w:rPr>
        <w:t xml:space="preserve">. </w:t>
      </w:r>
    </w:p>
    <w:p w14:paraId="419823B2" w14:textId="77777777" w:rsidR="004F6ED1" w:rsidRDefault="004F6ED1" w:rsidP="004A6511">
      <w:pPr>
        <w:rPr>
          <w:color w:val="000000"/>
          <w:sz w:val="22"/>
          <w:szCs w:val="22"/>
        </w:rPr>
      </w:pPr>
    </w:p>
    <w:p w14:paraId="716B8FEE" w14:textId="528679C0" w:rsidR="00732F9A" w:rsidRDefault="00732F9A" w:rsidP="00732F9A">
      <w:pPr>
        <w:rPr>
          <w:sz w:val="22"/>
          <w:szCs w:val="22"/>
        </w:rPr>
      </w:pPr>
      <w:proofErr w:type="spellStart"/>
      <w:r w:rsidRPr="00732F9A">
        <w:rPr>
          <w:sz w:val="22"/>
          <w:szCs w:val="22"/>
        </w:rPr>
        <w:t>Annordia</w:t>
      </w:r>
      <w:proofErr w:type="spellEnd"/>
      <w:r w:rsidRPr="00732F9A">
        <w:rPr>
          <w:sz w:val="22"/>
          <w:szCs w:val="22"/>
        </w:rPr>
        <w:t xml:space="preserve"> har varit rådgivare till Midroc vid utformningen av hotell- och kongressanläggningen samt rekryteringen av Nordic Choice </w:t>
      </w:r>
      <w:proofErr w:type="spellStart"/>
      <w:r w:rsidRPr="00732F9A">
        <w:rPr>
          <w:sz w:val="22"/>
          <w:szCs w:val="22"/>
        </w:rPr>
        <w:t>Hotels</w:t>
      </w:r>
      <w:proofErr w:type="spellEnd"/>
      <w:r w:rsidRPr="00732F9A">
        <w:rPr>
          <w:sz w:val="22"/>
          <w:szCs w:val="22"/>
        </w:rPr>
        <w:t xml:space="preserve"> som operatör</w:t>
      </w:r>
      <w:r>
        <w:rPr>
          <w:sz w:val="22"/>
          <w:szCs w:val="22"/>
        </w:rPr>
        <w:t>.</w:t>
      </w:r>
    </w:p>
    <w:p w14:paraId="58871D93" w14:textId="77777777" w:rsidR="00732F9A" w:rsidRPr="00732F9A" w:rsidRDefault="00732F9A" w:rsidP="00732F9A">
      <w:pPr>
        <w:rPr>
          <w:sz w:val="22"/>
          <w:szCs w:val="22"/>
        </w:rPr>
      </w:pPr>
    </w:p>
    <w:p w14:paraId="70F51FC7" w14:textId="702DA313" w:rsidR="00775FA3" w:rsidRDefault="00775FA3" w:rsidP="00775FA3">
      <w:pPr>
        <w:pStyle w:val="Rubrik3"/>
      </w:pPr>
      <w:r>
        <w:t xml:space="preserve">Fakta om </w:t>
      </w:r>
      <w:r w:rsidR="00EE65FE">
        <w:t>hotell- och kongressanläggningen i Helsingborg</w:t>
      </w:r>
      <w:r>
        <w:t xml:space="preserve"> </w:t>
      </w:r>
    </w:p>
    <w:p w14:paraId="1E4F8441" w14:textId="3CA794E2" w:rsidR="000F65B4" w:rsidRPr="00EE65FE" w:rsidRDefault="00775FA3" w:rsidP="00775FA3">
      <w:pPr>
        <w:rPr>
          <w:sz w:val="22"/>
          <w:szCs w:val="22"/>
        </w:rPr>
      </w:pPr>
      <w:r w:rsidRPr="00EE65FE">
        <w:rPr>
          <w:sz w:val="22"/>
          <w:szCs w:val="22"/>
        </w:rPr>
        <w:t>Byggherre: Midroc Property Development AB</w:t>
      </w:r>
      <w:r w:rsidR="00727B85">
        <w:rPr>
          <w:sz w:val="22"/>
          <w:szCs w:val="22"/>
        </w:rPr>
        <w:t>,</w:t>
      </w:r>
      <w:r w:rsidR="00147CA9" w:rsidRPr="00EE65FE">
        <w:rPr>
          <w:sz w:val="22"/>
          <w:szCs w:val="22"/>
        </w:rPr>
        <w:t xml:space="preserve"> </w:t>
      </w:r>
      <w:r w:rsidR="00876399">
        <w:rPr>
          <w:sz w:val="22"/>
          <w:szCs w:val="22"/>
        </w:rPr>
        <w:t>a</w:t>
      </w:r>
      <w:r w:rsidRPr="00EE65FE">
        <w:rPr>
          <w:sz w:val="22"/>
          <w:szCs w:val="22"/>
        </w:rPr>
        <w:t xml:space="preserve">rkitekt: </w:t>
      </w:r>
      <w:proofErr w:type="spellStart"/>
      <w:r w:rsidR="00EE65FE" w:rsidRPr="00EE65FE">
        <w:rPr>
          <w:sz w:val="22"/>
          <w:szCs w:val="22"/>
        </w:rPr>
        <w:t>Jais</w:t>
      </w:r>
      <w:proofErr w:type="spellEnd"/>
      <w:r w:rsidR="00EE65FE" w:rsidRPr="00EE65FE">
        <w:rPr>
          <w:sz w:val="22"/>
          <w:szCs w:val="22"/>
        </w:rPr>
        <w:t xml:space="preserve"> arkitekter</w:t>
      </w:r>
    </w:p>
    <w:p w14:paraId="18DA83B8" w14:textId="7C93E615" w:rsidR="00A7508B" w:rsidRPr="00A7508B" w:rsidRDefault="00BA40E8" w:rsidP="00775FA3">
      <w:pPr>
        <w:rPr>
          <w:sz w:val="22"/>
          <w:szCs w:val="22"/>
          <w:lang w:val="en-US"/>
        </w:rPr>
      </w:pPr>
      <w:proofErr w:type="spellStart"/>
      <w:r>
        <w:rPr>
          <w:sz w:val="22"/>
          <w:szCs w:val="22"/>
          <w:lang w:val="en-US"/>
        </w:rPr>
        <w:t>Operatör</w:t>
      </w:r>
      <w:proofErr w:type="spellEnd"/>
      <w:r>
        <w:rPr>
          <w:sz w:val="22"/>
          <w:szCs w:val="22"/>
          <w:lang w:val="en-US"/>
        </w:rPr>
        <w:t xml:space="preserve">: </w:t>
      </w:r>
      <w:proofErr w:type="gramStart"/>
      <w:r w:rsidR="00A7508B">
        <w:rPr>
          <w:sz w:val="22"/>
          <w:szCs w:val="22"/>
          <w:lang w:val="en-US"/>
        </w:rPr>
        <w:t xml:space="preserve">Nordic </w:t>
      </w:r>
      <w:r>
        <w:rPr>
          <w:sz w:val="22"/>
          <w:szCs w:val="22"/>
          <w:lang w:val="en-US"/>
        </w:rPr>
        <w:t>Choice Hotels</w:t>
      </w:r>
      <w:proofErr w:type="gramEnd"/>
      <w:r>
        <w:rPr>
          <w:sz w:val="22"/>
          <w:szCs w:val="22"/>
          <w:lang w:val="en-US"/>
        </w:rPr>
        <w:t xml:space="preserve"> </w:t>
      </w:r>
      <w:proofErr w:type="spellStart"/>
      <w:r w:rsidR="00A7508B">
        <w:rPr>
          <w:sz w:val="22"/>
          <w:szCs w:val="22"/>
          <w:lang w:val="en-US"/>
        </w:rPr>
        <w:t>kedja</w:t>
      </w:r>
      <w:proofErr w:type="spellEnd"/>
      <w:r w:rsidR="00A7508B">
        <w:rPr>
          <w:sz w:val="22"/>
          <w:szCs w:val="22"/>
          <w:lang w:val="en-US"/>
        </w:rPr>
        <w:t xml:space="preserve"> Clarion Hotel</w:t>
      </w:r>
      <w:r w:rsidR="00A7508B" w:rsidRPr="00A7508B">
        <w:rPr>
          <w:sz w:val="22"/>
          <w:szCs w:val="22"/>
          <w:lang w:val="en-US"/>
        </w:rPr>
        <w:t xml:space="preserve"> </w:t>
      </w:r>
    </w:p>
    <w:p w14:paraId="37A3837D" w14:textId="11FBF96C" w:rsidR="00775FA3" w:rsidRDefault="00C81552" w:rsidP="00775FA3">
      <w:pPr>
        <w:rPr>
          <w:sz w:val="22"/>
          <w:szCs w:val="22"/>
        </w:rPr>
      </w:pPr>
      <w:r>
        <w:rPr>
          <w:sz w:val="22"/>
          <w:szCs w:val="22"/>
        </w:rPr>
        <w:t>Byggstart 2016, f</w:t>
      </w:r>
      <w:r w:rsidR="00775FA3">
        <w:rPr>
          <w:sz w:val="22"/>
          <w:szCs w:val="22"/>
        </w:rPr>
        <w:t xml:space="preserve">ärdigställande </w:t>
      </w:r>
      <w:r w:rsidR="00EE65FE">
        <w:rPr>
          <w:sz w:val="22"/>
          <w:szCs w:val="22"/>
        </w:rPr>
        <w:t>2020</w:t>
      </w:r>
    </w:p>
    <w:p w14:paraId="120FA5C3" w14:textId="6F898F27" w:rsidR="00C81552" w:rsidRDefault="00C81552" w:rsidP="00775FA3">
      <w:pPr>
        <w:rPr>
          <w:sz w:val="22"/>
          <w:szCs w:val="22"/>
        </w:rPr>
      </w:pPr>
      <w:r>
        <w:rPr>
          <w:sz w:val="22"/>
          <w:szCs w:val="22"/>
        </w:rPr>
        <w:t>Total yta: ca 17 100 kvm (inklusive garage: 24 400 kvm)</w:t>
      </w:r>
    </w:p>
    <w:p w14:paraId="0B45CB26" w14:textId="1A85AA49" w:rsidR="00C81552" w:rsidRDefault="00727B85" w:rsidP="00775FA3">
      <w:pPr>
        <w:rPr>
          <w:sz w:val="22"/>
          <w:szCs w:val="22"/>
        </w:rPr>
      </w:pPr>
      <w:r>
        <w:rPr>
          <w:sz w:val="22"/>
          <w:szCs w:val="22"/>
        </w:rPr>
        <w:t>Ca 250 hotellrum, k</w:t>
      </w:r>
      <w:r w:rsidR="00C81552">
        <w:rPr>
          <w:sz w:val="22"/>
          <w:szCs w:val="22"/>
        </w:rPr>
        <w:t>ongressal</w:t>
      </w:r>
      <w:r>
        <w:rPr>
          <w:sz w:val="22"/>
          <w:szCs w:val="22"/>
        </w:rPr>
        <w:t xml:space="preserve"> för</w:t>
      </w:r>
      <w:r w:rsidR="00C81552">
        <w:rPr>
          <w:sz w:val="22"/>
          <w:szCs w:val="22"/>
        </w:rPr>
        <w:t xml:space="preserve"> </w:t>
      </w:r>
      <w:r w:rsidR="00806016">
        <w:rPr>
          <w:sz w:val="22"/>
          <w:szCs w:val="22"/>
        </w:rPr>
        <w:t xml:space="preserve">ca </w:t>
      </w:r>
      <w:r w:rsidR="00C81552">
        <w:rPr>
          <w:sz w:val="22"/>
          <w:szCs w:val="22"/>
        </w:rPr>
        <w:t>1 </w:t>
      </w:r>
      <w:r w:rsidR="00806016">
        <w:rPr>
          <w:sz w:val="22"/>
          <w:szCs w:val="22"/>
        </w:rPr>
        <w:t>300</w:t>
      </w:r>
      <w:r w:rsidR="00C81552">
        <w:rPr>
          <w:sz w:val="22"/>
          <w:szCs w:val="22"/>
        </w:rPr>
        <w:t xml:space="preserve"> personer, </w:t>
      </w:r>
      <w:r>
        <w:rPr>
          <w:sz w:val="22"/>
          <w:szCs w:val="22"/>
        </w:rPr>
        <w:t>delbar i fyra delar</w:t>
      </w:r>
      <w:r w:rsidR="00C81552">
        <w:rPr>
          <w:sz w:val="22"/>
          <w:szCs w:val="22"/>
        </w:rPr>
        <w:t xml:space="preserve"> för 150-750 personer</w:t>
      </w:r>
    </w:p>
    <w:p w14:paraId="4CB895A6" w14:textId="2A328A50" w:rsidR="002E4744" w:rsidRDefault="00C81552" w:rsidP="00775FA3">
      <w:pPr>
        <w:rPr>
          <w:sz w:val="22"/>
          <w:szCs w:val="22"/>
        </w:rPr>
      </w:pPr>
      <w:r>
        <w:rPr>
          <w:sz w:val="22"/>
          <w:szCs w:val="22"/>
        </w:rPr>
        <w:t>12 mötesrum för 6-115 personer</w:t>
      </w:r>
      <w:r w:rsidR="00727B85">
        <w:rPr>
          <w:sz w:val="22"/>
          <w:szCs w:val="22"/>
        </w:rPr>
        <w:t>, r</w:t>
      </w:r>
      <w:r w:rsidR="002E4744">
        <w:rPr>
          <w:sz w:val="22"/>
          <w:szCs w:val="22"/>
        </w:rPr>
        <w:t xml:space="preserve">estaurang, junior </w:t>
      </w:r>
      <w:proofErr w:type="spellStart"/>
      <w:r w:rsidR="002E4744">
        <w:rPr>
          <w:sz w:val="22"/>
          <w:szCs w:val="22"/>
        </w:rPr>
        <w:t>ballroom</w:t>
      </w:r>
      <w:proofErr w:type="spellEnd"/>
      <w:r w:rsidR="002E4744">
        <w:rPr>
          <w:sz w:val="22"/>
          <w:szCs w:val="22"/>
        </w:rPr>
        <w:t>, lobby, bar, café och spa</w:t>
      </w:r>
    </w:p>
    <w:p w14:paraId="7C84F835" w14:textId="77777777" w:rsidR="00C81552" w:rsidRDefault="00C81552" w:rsidP="00775FA3">
      <w:pPr>
        <w:rPr>
          <w:sz w:val="22"/>
          <w:szCs w:val="22"/>
        </w:rPr>
      </w:pPr>
    </w:p>
    <w:p w14:paraId="2D6ACCB0" w14:textId="77777777" w:rsidR="00853750" w:rsidRPr="000F5A71" w:rsidRDefault="00853750" w:rsidP="00853750">
      <w:pPr>
        <w:ind w:left="360" w:hanging="360"/>
        <w:rPr>
          <w:rFonts w:ascii="Arial" w:hAnsi="Arial" w:cs="Arial"/>
          <w:b/>
          <w:sz w:val="20"/>
        </w:rPr>
      </w:pPr>
      <w:r w:rsidRPr="00AF34F4">
        <w:rPr>
          <w:rFonts w:ascii="Arial" w:hAnsi="Arial" w:cs="Arial"/>
          <w:b/>
          <w:sz w:val="20"/>
        </w:rPr>
        <w:lastRenderedPageBreak/>
        <w:t xml:space="preserve">För </w:t>
      </w:r>
      <w:r>
        <w:rPr>
          <w:rFonts w:ascii="Arial" w:hAnsi="Arial" w:cs="Arial"/>
          <w:b/>
          <w:sz w:val="20"/>
        </w:rPr>
        <w:t>ytterligare</w:t>
      </w:r>
      <w:r w:rsidRPr="00AF34F4">
        <w:rPr>
          <w:rFonts w:ascii="Arial" w:hAnsi="Arial" w:cs="Arial"/>
          <w:b/>
          <w:sz w:val="20"/>
        </w:rPr>
        <w:t xml:space="preserve"> information, vänligen kontakta:</w:t>
      </w:r>
    </w:p>
    <w:p w14:paraId="5E5BAE6B" w14:textId="0A9C53F8" w:rsidR="003C596C" w:rsidRPr="00732F9A" w:rsidRDefault="000F65B4" w:rsidP="003C596C">
      <w:pPr>
        <w:rPr>
          <w:rFonts w:ascii="Arial" w:hAnsi="Arial" w:cs="Arial"/>
          <w:color w:val="000000"/>
          <w:szCs w:val="24"/>
        </w:rPr>
      </w:pPr>
      <w:r w:rsidRPr="00732F9A">
        <w:rPr>
          <w:sz w:val="22"/>
          <w:szCs w:val="22"/>
        </w:rPr>
        <w:t>Magnus Skiöld</w:t>
      </w:r>
      <w:r w:rsidR="00853750" w:rsidRPr="00732F9A">
        <w:rPr>
          <w:sz w:val="22"/>
          <w:szCs w:val="22"/>
        </w:rPr>
        <w:t xml:space="preserve">, </w:t>
      </w:r>
      <w:r w:rsidR="00C10C0A" w:rsidRPr="00732F9A">
        <w:rPr>
          <w:sz w:val="22"/>
          <w:szCs w:val="22"/>
        </w:rPr>
        <w:t>vd</w:t>
      </w:r>
      <w:r w:rsidR="00853750" w:rsidRPr="00732F9A">
        <w:rPr>
          <w:sz w:val="22"/>
          <w:szCs w:val="22"/>
        </w:rPr>
        <w:t xml:space="preserve">, Midroc </w:t>
      </w:r>
      <w:proofErr w:type="spellStart"/>
      <w:r w:rsidR="00806016" w:rsidRPr="00732F9A">
        <w:rPr>
          <w:sz w:val="22"/>
          <w:szCs w:val="22"/>
        </w:rPr>
        <w:t>Properties</w:t>
      </w:r>
      <w:proofErr w:type="spellEnd"/>
      <w:r w:rsidR="00853750" w:rsidRPr="00732F9A">
        <w:rPr>
          <w:sz w:val="22"/>
          <w:szCs w:val="22"/>
        </w:rPr>
        <w:t xml:space="preserve">, </w:t>
      </w:r>
      <w:r w:rsidR="00B93984">
        <w:rPr>
          <w:sz w:val="22"/>
          <w:szCs w:val="22"/>
        </w:rPr>
        <w:t>tfn 0</w:t>
      </w:r>
      <w:r w:rsidR="00853750" w:rsidRPr="00732F9A">
        <w:rPr>
          <w:sz w:val="22"/>
          <w:szCs w:val="22"/>
        </w:rPr>
        <w:t>10</w:t>
      </w:r>
      <w:r w:rsidR="00B93984">
        <w:rPr>
          <w:sz w:val="22"/>
          <w:szCs w:val="22"/>
        </w:rPr>
        <w:t>-</w:t>
      </w:r>
      <w:r w:rsidR="00853750" w:rsidRPr="00732F9A">
        <w:rPr>
          <w:sz w:val="22"/>
          <w:szCs w:val="22"/>
        </w:rPr>
        <w:t xml:space="preserve">470 74 </w:t>
      </w:r>
      <w:r w:rsidR="006D25D9" w:rsidRPr="00732F9A">
        <w:rPr>
          <w:sz w:val="22"/>
          <w:szCs w:val="22"/>
        </w:rPr>
        <w:t>0</w:t>
      </w:r>
      <w:r w:rsidRPr="00732F9A">
        <w:rPr>
          <w:sz w:val="22"/>
          <w:szCs w:val="22"/>
        </w:rPr>
        <w:t>5</w:t>
      </w:r>
    </w:p>
    <w:p w14:paraId="31AA48B4" w14:textId="06412E65" w:rsidR="00B93984" w:rsidRPr="00B93984" w:rsidRDefault="00B93984" w:rsidP="00B93984">
      <w:pPr>
        <w:rPr>
          <w:sz w:val="22"/>
          <w:szCs w:val="22"/>
        </w:rPr>
      </w:pPr>
      <w:r w:rsidRPr="00B93984">
        <w:rPr>
          <w:sz w:val="22"/>
          <w:szCs w:val="22"/>
        </w:rPr>
        <w:t>Peter Danielsson, kommunstyrelsens ordförande i Helsingborg, t</w:t>
      </w:r>
      <w:r>
        <w:rPr>
          <w:sz w:val="22"/>
          <w:szCs w:val="22"/>
        </w:rPr>
        <w:t>fn</w:t>
      </w:r>
      <w:r w:rsidRPr="00B93984">
        <w:rPr>
          <w:sz w:val="22"/>
          <w:szCs w:val="22"/>
        </w:rPr>
        <w:t xml:space="preserve"> 042-10 50 87 </w:t>
      </w:r>
    </w:p>
    <w:p w14:paraId="11CB26B9" w14:textId="479813D5" w:rsidR="0077164A" w:rsidRPr="00727B85" w:rsidRDefault="00B93984" w:rsidP="00B93984">
      <w:pPr>
        <w:spacing w:after="240"/>
        <w:rPr>
          <w:sz w:val="22"/>
          <w:szCs w:val="22"/>
        </w:rPr>
      </w:pPr>
      <w:r w:rsidRPr="00B93984">
        <w:rPr>
          <w:sz w:val="22"/>
          <w:szCs w:val="22"/>
        </w:rPr>
        <w:t>För intervjuer med Petter Stordalen kontakta Kenneth Hultgren, kommunikationsrådgivare Nordic</w:t>
      </w:r>
      <w:r w:rsidR="00A7508B">
        <w:rPr>
          <w:sz w:val="22"/>
          <w:szCs w:val="22"/>
        </w:rPr>
        <w:t xml:space="preserve"> Choice </w:t>
      </w:r>
      <w:proofErr w:type="spellStart"/>
      <w:r w:rsidR="00A7508B">
        <w:rPr>
          <w:sz w:val="22"/>
          <w:szCs w:val="22"/>
        </w:rPr>
        <w:t>Hotels</w:t>
      </w:r>
      <w:proofErr w:type="spellEnd"/>
      <w:r w:rsidR="00A7508B">
        <w:rPr>
          <w:sz w:val="22"/>
          <w:szCs w:val="22"/>
        </w:rPr>
        <w:t xml:space="preserve">, tfn </w:t>
      </w:r>
      <w:r>
        <w:rPr>
          <w:sz w:val="22"/>
          <w:szCs w:val="22"/>
        </w:rPr>
        <w:t>070-69</w:t>
      </w:r>
      <w:r w:rsidR="00A7508B">
        <w:rPr>
          <w:sz w:val="22"/>
          <w:szCs w:val="22"/>
        </w:rPr>
        <w:t xml:space="preserve"> </w:t>
      </w:r>
      <w:r>
        <w:rPr>
          <w:sz w:val="22"/>
          <w:szCs w:val="22"/>
        </w:rPr>
        <w:t>58</w:t>
      </w:r>
      <w:r w:rsidR="00A7508B">
        <w:rPr>
          <w:sz w:val="22"/>
          <w:szCs w:val="22"/>
        </w:rPr>
        <w:t xml:space="preserve"> </w:t>
      </w:r>
      <w:r>
        <w:rPr>
          <w:sz w:val="22"/>
          <w:szCs w:val="22"/>
        </w:rPr>
        <w:t>590</w:t>
      </w:r>
    </w:p>
    <w:sectPr w:rsidR="0077164A" w:rsidRPr="00727B85" w:rsidSect="00F71CF1">
      <w:headerReference w:type="default" r:id="rId8"/>
      <w:footerReference w:type="default" r:id="rId9"/>
      <w:headerReference w:type="first" r:id="rId10"/>
      <w:footerReference w:type="first" r:id="rId11"/>
      <w:pgSz w:w="11906" w:h="16838" w:code="9"/>
      <w:pgMar w:top="1276" w:right="1558" w:bottom="2694" w:left="1134" w:header="680" w:footer="60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DF93C" w14:textId="77777777" w:rsidR="003C7B70" w:rsidRDefault="003C7B70">
      <w:r>
        <w:separator/>
      </w:r>
    </w:p>
  </w:endnote>
  <w:endnote w:type="continuationSeparator" w:id="0">
    <w:p w14:paraId="09CAAC38" w14:textId="77777777" w:rsidR="003C7B70" w:rsidRDefault="003C7B70">
      <w:r>
        <w:continuationSeparator/>
      </w:r>
    </w:p>
  </w:endnote>
  <w:endnote w:type="continuationNotice" w:id="1">
    <w:p w14:paraId="3A90179D" w14:textId="77777777" w:rsidR="003C7B70" w:rsidRDefault="003C7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79579EB4"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4107FA">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4107FA">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881A3" w14:textId="3D9F6F10" w:rsidR="000B39C3" w:rsidRDefault="000B39C3" w:rsidP="000B39C3">
    <w:pPr>
      <w:pStyle w:val="Rubrik3"/>
      <w:spacing w:line="276" w:lineRule="auto"/>
    </w:pPr>
    <w:r>
      <w:t xml:space="preserve">Fakta om Midroc </w:t>
    </w:r>
    <w:proofErr w:type="spellStart"/>
    <w:r>
      <w:t>Propert</w:t>
    </w:r>
    <w:r w:rsidR="00F5272A">
      <w:t>ies</w:t>
    </w:r>
    <w:proofErr w:type="spellEnd"/>
  </w:p>
  <w:p w14:paraId="0AD3BBC2" w14:textId="203689E6" w:rsidR="000572ED" w:rsidRPr="00F3131E" w:rsidRDefault="000572ED" w:rsidP="000572ED">
    <w:pPr>
      <w:rPr>
        <w:rFonts w:ascii="Arial" w:hAnsi="Arial" w:cs="Arial"/>
        <w:iCs/>
        <w:sz w:val="18"/>
        <w:szCs w:val="18"/>
      </w:rPr>
    </w:pPr>
    <w:r w:rsidRPr="00F3131E">
      <w:rPr>
        <w:rFonts w:ascii="Arial" w:hAnsi="Arial" w:cs="Arial"/>
        <w:b/>
        <w:iCs/>
        <w:sz w:val="18"/>
        <w:szCs w:val="18"/>
      </w:rPr>
      <w:t xml:space="preserve">Midroc </w:t>
    </w:r>
    <w:proofErr w:type="spellStart"/>
    <w:r w:rsidRPr="00F3131E">
      <w:rPr>
        <w:rFonts w:ascii="Arial" w:hAnsi="Arial" w:cs="Arial"/>
        <w:b/>
        <w:iCs/>
        <w:sz w:val="18"/>
        <w:szCs w:val="18"/>
      </w:rPr>
      <w:t>Propert</w:t>
    </w:r>
    <w:r w:rsidR="00EE65FE">
      <w:rPr>
        <w:rFonts w:ascii="Arial" w:hAnsi="Arial" w:cs="Arial"/>
        <w:b/>
        <w:iCs/>
        <w:sz w:val="18"/>
        <w:szCs w:val="18"/>
      </w:rPr>
      <w:t>ies</w:t>
    </w:r>
    <w:proofErr w:type="spellEnd"/>
    <w:r w:rsidRPr="00F3131E">
      <w:rPr>
        <w:rFonts w:ascii="Arial" w:hAnsi="Arial" w:cs="Arial"/>
        <w:iCs/>
        <w:sz w:val="18"/>
        <w:szCs w:val="18"/>
      </w:rPr>
      <w:t xml:space="preserve"> utvecklar</w:t>
    </w:r>
    <w:r w:rsidR="00F5272A">
      <w:rPr>
        <w:rFonts w:ascii="Arial" w:hAnsi="Arial" w:cs="Arial"/>
        <w:iCs/>
        <w:sz w:val="18"/>
        <w:szCs w:val="18"/>
      </w:rPr>
      <w:t>, bygger</w:t>
    </w:r>
    <w:r w:rsidRPr="00F3131E">
      <w:rPr>
        <w:rFonts w:ascii="Arial" w:hAnsi="Arial" w:cs="Arial"/>
        <w:iCs/>
        <w:sz w:val="18"/>
        <w:szCs w:val="18"/>
      </w:rPr>
      <w:t xml:space="preserve"> och förvaltar kommersiella lokaler och bostäder. Projektportföljen omfattar idag 6</w:t>
    </w:r>
    <w:r>
      <w:rPr>
        <w:rFonts w:ascii="Arial" w:hAnsi="Arial" w:cs="Arial"/>
        <w:iCs/>
        <w:sz w:val="18"/>
        <w:szCs w:val="18"/>
      </w:rPr>
      <w:t>60</w:t>
    </w:r>
    <w:r w:rsidRPr="00F3131E">
      <w:rPr>
        <w:rFonts w:ascii="Arial" w:hAnsi="Arial" w:cs="Arial"/>
        <w:iCs/>
        <w:sz w:val="18"/>
        <w:szCs w:val="18"/>
      </w:rPr>
      <w:t xml:space="preserve"> 000 kvm byggrätter </w:t>
    </w:r>
    <w:r w:rsidRPr="00081523">
      <w:rPr>
        <w:rFonts w:ascii="Arial" w:hAnsi="Arial" w:cs="Arial"/>
        <w:sz w:val="18"/>
        <w:szCs w:val="18"/>
      </w:rPr>
      <w:t>med en projektvolym om ca 1</w:t>
    </w:r>
    <w:r>
      <w:rPr>
        <w:rFonts w:ascii="Arial" w:hAnsi="Arial" w:cs="Arial"/>
        <w:sz w:val="18"/>
        <w:szCs w:val="18"/>
      </w:rPr>
      <w:t>7</w:t>
    </w:r>
    <w:r w:rsidRPr="00081523">
      <w:rPr>
        <w:rFonts w:ascii="Arial" w:hAnsi="Arial" w:cs="Arial"/>
        <w:sz w:val="18"/>
        <w:szCs w:val="18"/>
      </w:rPr>
      <w:t xml:space="preserve"> miljarder kronor. </w:t>
    </w:r>
    <w:r w:rsidRPr="00F3131E">
      <w:rPr>
        <w:rFonts w:ascii="Arial" w:hAnsi="Arial" w:cs="Arial"/>
        <w:iCs/>
        <w:sz w:val="18"/>
        <w:szCs w:val="18"/>
      </w:rPr>
      <w:t>Fokus är inriktat på södra Sverige och huvudkontoret finns i Malmö. Läs mer på mpd.midroc.se</w:t>
    </w:r>
  </w:p>
  <w:p w14:paraId="77D6AAE9" w14:textId="30533716" w:rsidR="000572ED" w:rsidRPr="0002341C" w:rsidRDefault="000572ED" w:rsidP="000572ED">
    <w:pPr>
      <w:pStyle w:val="Normalwebb"/>
      <w:rPr>
        <w:rFonts w:ascii="Arial" w:hAnsi="Arial" w:cs="Arial"/>
        <w:sz w:val="18"/>
        <w:szCs w:val="18"/>
      </w:rPr>
    </w:pPr>
    <w:r w:rsidRPr="00F3131E">
      <w:rPr>
        <w:rFonts w:ascii="Arial" w:hAnsi="Arial" w:cs="Arial"/>
        <w:iCs/>
        <w:sz w:val="18"/>
        <w:szCs w:val="18"/>
      </w:rPr>
      <w:t xml:space="preserve">Midroc </w:t>
    </w:r>
    <w:proofErr w:type="spellStart"/>
    <w:r w:rsidRPr="00F3131E">
      <w:rPr>
        <w:rFonts w:ascii="Arial" w:hAnsi="Arial" w:cs="Arial"/>
        <w:iCs/>
        <w:sz w:val="18"/>
        <w:szCs w:val="18"/>
      </w:rPr>
      <w:t>Propert</w:t>
    </w:r>
    <w:r w:rsidR="00F5272A">
      <w:rPr>
        <w:rFonts w:ascii="Arial" w:hAnsi="Arial" w:cs="Arial"/>
        <w:iCs/>
        <w:sz w:val="18"/>
        <w:szCs w:val="18"/>
      </w:rPr>
      <w:t>ies</w:t>
    </w:r>
    <w:proofErr w:type="spellEnd"/>
    <w:r w:rsidRPr="00F3131E">
      <w:rPr>
        <w:rFonts w:ascii="Arial" w:hAnsi="Arial" w:cs="Arial"/>
        <w:iCs/>
        <w:sz w:val="18"/>
        <w:szCs w:val="18"/>
      </w:rPr>
      <w:t xml:space="preserve"> </w:t>
    </w:r>
    <w:r w:rsidRPr="00F3131E">
      <w:rPr>
        <w:rFonts w:ascii="Arial" w:hAnsi="Arial" w:cs="Arial"/>
        <w:iCs/>
        <w:color w:val="000000"/>
        <w:sz w:val="18"/>
        <w:szCs w:val="18"/>
      </w:rPr>
      <w:t xml:space="preserve">ingår i </w:t>
    </w:r>
    <w:r w:rsidRPr="0002341C">
      <w:rPr>
        <w:rFonts w:ascii="Arial" w:hAnsi="Arial" w:cs="Arial"/>
        <w:b/>
        <w:sz w:val="18"/>
        <w:szCs w:val="18"/>
      </w:rPr>
      <w:t>Midroc Europe</w:t>
    </w:r>
    <w:r w:rsidRPr="0002341C">
      <w:rPr>
        <w:rFonts w:ascii="Arial" w:hAnsi="Arial" w:cs="Arial"/>
        <w:sz w:val="18"/>
        <w:szCs w:val="18"/>
      </w:rPr>
      <w:t xml:space="preserve"> </w:t>
    </w:r>
    <w:r>
      <w:rPr>
        <w:rFonts w:ascii="Arial" w:hAnsi="Arial" w:cs="Arial"/>
        <w:sz w:val="18"/>
        <w:szCs w:val="18"/>
      </w:rPr>
      <w:t xml:space="preserve">som </w:t>
    </w:r>
    <w:r w:rsidRPr="0002341C">
      <w:rPr>
        <w:rFonts w:ascii="Arial" w:hAnsi="Arial" w:cs="Arial"/>
        <w:sz w:val="18"/>
        <w:szCs w:val="18"/>
      </w:rPr>
      <w:t>bedriver verksamhet inom områdena fastighet, bygg, industri och miljö. Verksamheten är internationell med Sverige som utgångspunkt. Antalet medarbetare är 3</w:t>
    </w:r>
    <w:r>
      <w:rPr>
        <w:rFonts w:ascii="Arial" w:hAnsi="Arial" w:cs="Arial"/>
        <w:sz w:val="18"/>
        <w:szCs w:val="18"/>
      </w:rPr>
      <w:t xml:space="preserve"> </w:t>
    </w:r>
    <w:r w:rsidRPr="0002341C">
      <w:rPr>
        <w:rFonts w:ascii="Arial" w:hAnsi="Arial" w:cs="Arial"/>
        <w:sz w:val="18"/>
        <w:szCs w:val="18"/>
      </w:rPr>
      <w:t xml:space="preserve">200 och omsättningen över 5 miljarder kronor.  </w:t>
    </w: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21546" w14:textId="77777777" w:rsidR="003C7B70" w:rsidRDefault="003C7B70">
      <w:r>
        <w:separator/>
      </w:r>
    </w:p>
  </w:footnote>
  <w:footnote w:type="continuationSeparator" w:id="0">
    <w:p w14:paraId="4433D1CF" w14:textId="77777777" w:rsidR="003C7B70" w:rsidRDefault="003C7B70">
      <w:r>
        <w:continuationSeparator/>
      </w:r>
    </w:p>
  </w:footnote>
  <w:footnote w:type="continuationNotice" w:id="1">
    <w:p w14:paraId="3B0BA22F" w14:textId="77777777" w:rsidR="003C7B70" w:rsidRDefault="003C7B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33"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34"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15:restartNumberingAfterBreak="0">
    <w:nsid w:val="4E6F2CFA"/>
    <w:multiLevelType w:val="hybridMultilevel"/>
    <w:tmpl w:val="4C5AAFC8"/>
    <w:lvl w:ilvl="0" w:tplc="603AEB30">
      <w:start w:val="5"/>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1"/>
  </w:num>
  <w:num w:numId="4">
    <w:abstractNumId w:val="10"/>
  </w:num>
  <w:num w:numId="5">
    <w:abstractNumId w:val="3"/>
  </w:num>
  <w:num w:numId="6">
    <w:abstractNumId w:val="4"/>
  </w:num>
  <w:num w:numId="7">
    <w:abstractNumId w:val="9"/>
  </w:num>
  <w:num w:numId="8">
    <w:abstractNumId w:val="0"/>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22DDA"/>
    <w:rsid w:val="0002341C"/>
    <w:rsid w:val="00024379"/>
    <w:rsid w:val="00032F22"/>
    <w:rsid w:val="000345A2"/>
    <w:rsid w:val="00050D6D"/>
    <w:rsid w:val="000528AF"/>
    <w:rsid w:val="0005611D"/>
    <w:rsid w:val="000572ED"/>
    <w:rsid w:val="000575AD"/>
    <w:rsid w:val="00057A1E"/>
    <w:rsid w:val="00057D22"/>
    <w:rsid w:val="00074D0A"/>
    <w:rsid w:val="00074D36"/>
    <w:rsid w:val="00093BA9"/>
    <w:rsid w:val="00094900"/>
    <w:rsid w:val="00095CA7"/>
    <w:rsid w:val="000A100A"/>
    <w:rsid w:val="000A3468"/>
    <w:rsid w:val="000A5192"/>
    <w:rsid w:val="000A56B5"/>
    <w:rsid w:val="000A7CD0"/>
    <w:rsid w:val="000B0872"/>
    <w:rsid w:val="000B285A"/>
    <w:rsid w:val="000B39C3"/>
    <w:rsid w:val="000B6C35"/>
    <w:rsid w:val="000C4316"/>
    <w:rsid w:val="000C7C73"/>
    <w:rsid w:val="000D21AC"/>
    <w:rsid w:val="000E3EFC"/>
    <w:rsid w:val="000E671D"/>
    <w:rsid w:val="000F0100"/>
    <w:rsid w:val="000F2FBD"/>
    <w:rsid w:val="000F5A71"/>
    <w:rsid w:val="000F65B4"/>
    <w:rsid w:val="00106DDC"/>
    <w:rsid w:val="001219E4"/>
    <w:rsid w:val="00145506"/>
    <w:rsid w:val="00147CA9"/>
    <w:rsid w:val="00164D89"/>
    <w:rsid w:val="001674FD"/>
    <w:rsid w:val="00173B2F"/>
    <w:rsid w:val="001868D4"/>
    <w:rsid w:val="001973CE"/>
    <w:rsid w:val="001A374D"/>
    <w:rsid w:val="001A62B8"/>
    <w:rsid w:val="001A6C5D"/>
    <w:rsid w:val="001B06E3"/>
    <w:rsid w:val="001B0B29"/>
    <w:rsid w:val="001B214C"/>
    <w:rsid w:val="001B7AD9"/>
    <w:rsid w:val="001D58EC"/>
    <w:rsid w:val="001D6693"/>
    <w:rsid w:val="001F5C1A"/>
    <w:rsid w:val="001F70B9"/>
    <w:rsid w:val="00201ED2"/>
    <w:rsid w:val="00205B34"/>
    <w:rsid w:val="00220198"/>
    <w:rsid w:val="002338F1"/>
    <w:rsid w:val="0024349A"/>
    <w:rsid w:val="00246097"/>
    <w:rsid w:val="00247BE7"/>
    <w:rsid w:val="002605A8"/>
    <w:rsid w:val="002709C8"/>
    <w:rsid w:val="002748B4"/>
    <w:rsid w:val="00294BE4"/>
    <w:rsid w:val="00297635"/>
    <w:rsid w:val="002A2400"/>
    <w:rsid w:val="002A49B6"/>
    <w:rsid w:val="002B051E"/>
    <w:rsid w:val="002B17E8"/>
    <w:rsid w:val="002C156B"/>
    <w:rsid w:val="002D6BC4"/>
    <w:rsid w:val="002E4744"/>
    <w:rsid w:val="002F5F09"/>
    <w:rsid w:val="003033BE"/>
    <w:rsid w:val="00305AA0"/>
    <w:rsid w:val="00306AC4"/>
    <w:rsid w:val="00310A3F"/>
    <w:rsid w:val="003134A9"/>
    <w:rsid w:val="0032091C"/>
    <w:rsid w:val="00320A41"/>
    <w:rsid w:val="003215D8"/>
    <w:rsid w:val="00323515"/>
    <w:rsid w:val="00325F79"/>
    <w:rsid w:val="00327670"/>
    <w:rsid w:val="00330A0D"/>
    <w:rsid w:val="003415A8"/>
    <w:rsid w:val="0035073C"/>
    <w:rsid w:val="0036593F"/>
    <w:rsid w:val="00380E99"/>
    <w:rsid w:val="003A12CE"/>
    <w:rsid w:val="003A6782"/>
    <w:rsid w:val="003B1F23"/>
    <w:rsid w:val="003C596C"/>
    <w:rsid w:val="003C7B70"/>
    <w:rsid w:val="003D08D3"/>
    <w:rsid w:val="003D219E"/>
    <w:rsid w:val="003E020D"/>
    <w:rsid w:val="003E1728"/>
    <w:rsid w:val="003E4596"/>
    <w:rsid w:val="00402047"/>
    <w:rsid w:val="00405CC4"/>
    <w:rsid w:val="004107FA"/>
    <w:rsid w:val="00411860"/>
    <w:rsid w:val="00415005"/>
    <w:rsid w:val="004169A3"/>
    <w:rsid w:val="00424BA4"/>
    <w:rsid w:val="00433C41"/>
    <w:rsid w:val="00437351"/>
    <w:rsid w:val="00440CA2"/>
    <w:rsid w:val="00447B99"/>
    <w:rsid w:val="00453A36"/>
    <w:rsid w:val="0045444F"/>
    <w:rsid w:val="00457B76"/>
    <w:rsid w:val="00473807"/>
    <w:rsid w:val="00473CCE"/>
    <w:rsid w:val="004763B0"/>
    <w:rsid w:val="004831BF"/>
    <w:rsid w:val="00483D29"/>
    <w:rsid w:val="004846BE"/>
    <w:rsid w:val="004858F2"/>
    <w:rsid w:val="0049698B"/>
    <w:rsid w:val="004A1969"/>
    <w:rsid w:val="004A6511"/>
    <w:rsid w:val="004A7B24"/>
    <w:rsid w:val="004B4906"/>
    <w:rsid w:val="004B4F41"/>
    <w:rsid w:val="004C1544"/>
    <w:rsid w:val="004D373D"/>
    <w:rsid w:val="004D3D82"/>
    <w:rsid w:val="004E1FC1"/>
    <w:rsid w:val="004F3EB6"/>
    <w:rsid w:val="004F6ED1"/>
    <w:rsid w:val="00512878"/>
    <w:rsid w:val="005236EF"/>
    <w:rsid w:val="0052608D"/>
    <w:rsid w:val="00527DB8"/>
    <w:rsid w:val="00530C07"/>
    <w:rsid w:val="005343EE"/>
    <w:rsid w:val="0054291C"/>
    <w:rsid w:val="00555D72"/>
    <w:rsid w:val="00564A0A"/>
    <w:rsid w:val="0057032B"/>
    <w:rsid w:val="00577D86"/>
    <w:rsid w:val="00582A60"/>
    <w:rsid w:val="005847CC"/>
    <w:rsid w:val="005850D2"/>
    <w:rsid w:val="00595539"/>
    <w:rsid w:val="005A5F06"/>
    <w:rsid w:val="005B6371"/>
    <w:rsid w:val="005B7E43"/>
    <w:rsid w:val="005C0BD6"/>
    <w:rsid w:val="005C1E4F"/>
    <w:rsid w:val="005C309B"/>
    <w:rsid w:val="005C4FAB"/>
    <w:rsid w:val="005D52D1"/>
    <w:rsid w:val="005D720F"/>
    <w:rsid w:val="005F0C7B"/>
    <w:rsid w:val="005F3802"/>
    <w:rsid w:val="005F52B0"/>
    <w:rsid w:val="005F66CA"/>
    <w:rsid w:val="0060078F"/>
    <w:rsid w:val="0060137C"/>
    <w:rsid w:val="00601A5A"/>
    <w:rsid w:val="0061118B"/>
    <w:rsid w:val="00624E33"/>
    <w:rsid w:val="00626537"/>
    <w:rsid w:val="006349BE"/>
    <w:rsid w:val="00640FAD"/>
    <w:rsid w:val="006429CF"/>
    <w:rsid w:val="006467EF"/>
    <w:rsid w:val="00646CBE"/>
    <w:rsid w:val="006554E1"/>
    <w:rsid w:val="00667A9D"/>
    <w:rsid w:val="00681240"/>
    <w:rsid w:val="006B570C"/>
    <w:rsid w:val="006B60D7"/>
    <w:rsid w:val="006C18CB"/>
    <w:rsid w:val="006C2BEC"/>
    <w:rsid w:val="006D0AFC"/>
    <w:rsid w:val="006D25D9"/>
    <w:rsid w:val="006E08E9"/>
    <w:rsid w:val="006E1930"/>
    <w:rsid w:val="006E237F"/>
    <w:rsid w:val="006E402D"/>
    <w:rsid w:val="006E40EE"/>
    <w:rsid w:val="006E63A1"/>
    <w:rsid w:val="006F0DD7"/>
    <w:rsid w:val="007170E6"/>
    <w:rsid w:val="007179A8"/>
    <w:rsid w:val="0072475A"/>
    <w:rsid w:val="00725A39"/>
    <w:rsid w:val="007264C1"/>
    <w:rsid w:val="00727B85"/>
    <w:rsid w:val="00732F9A"/>
    <w:rsid w:val="00735206"/>
    <w:rsid w:val="00736ADD"/>
    <w:rsid w:val="007404BA"/>
    <w:rsid w:val="0074618C"/>
    <w:rsid w:val="00755A8E"/>
    <w:rsid w:val="00760F86"/>
    <w:rsid w:val="00762892"/>
    <w:rsid w:val="00763D34"/>
    <w:rsid w:val="0077164A"/>
    <w:rsid w:val="00775FA3"/>
    <w:rsid w:val="00780CBD"/>
    <w:rsid w:val="007A13BB"/>
    <w:rsid w:val="007C0540"/>
    <w:rsid w:val="007C7056"/>
    <w:rsid w:val="007E4C18"/>
    <w:rsid w:val="007E53BF"/>
    <w:rsid w:val="007E6182"/>
    <w:rsid w:val="007F0E5A"/>
    <w:rsid w:val="007F1445"/>
    <w:rsid w:val="00804CAE"/>
    <w:rsid w:val="00806016"/>
    <w:rsid w:val="00811990"/>
    <w:rsid w:val="008124B3"/>
    <w:rsid w:val="00814CFE"/>
    <w:rsid w:val="00815BB5"/>
    <w:rsid w:val="0082400D"/>
    <w:rsid w:val="00824812"/>
    <w:rsid w:val="008262E4"/>
    <w:rsid w:val="008413E6"/>
    <w:rsid w:val="0085327B"/>
    <w:rsid w:val="00853750"/>
    <w:rsid w:val="008618F1"/>
    <w:rsid w:val="0086788B"/>
    <w:rsid w:val="00876399"/>
    <w:rsid w:val="008773F5"/>
    <w:rsid w:val="00892445"/>
    <w:rsid w:val="00893D9E"/>
    <w:rsid w:val="00894331"/>
    <w:rsid w:val="00894380"/>
    <w:rsid w:val="008B093B"/>
    <w:rsid w:val="008D3F56"/>
    <w:rsid w:val="008D7E07"/>
    <w:rsid w:val="008E2D2C"/>
    <w:rsid w:val="008E4DF6"/>
    <w:rsid w:val="008F1572"/>
    <w:rsid w:val="008F3E9D"/>
    <w:rsid w:val="008F3F77"/>
    <w:rsid w:val="008F53CE"/>
    <w:rsid w:val="009039BF"/>
    <w:rsid w:val="00936D24"/>
    <w:rsid w:val="009469E7"/>
    <w:rsid w:val="00954194"/>
    <w:rsid w:val="0095469C"/>
    <w:rsid w:val="0095690D"/>
    <w:rsid w:val="00960415"/>
    <w:rsid w:val="009748FD"/>
    <w:rsid w:val="00975073"/>
    <w:rsid w:val="00981285"/>
    <w:rsid w:val="00985796"/>
    <w:rsid w:val="009917CE"/>
    <w:rsid w:val="00992844"/>
    <w:rsid w:val="009942B5"/>
    <w:rsid w:val="009949EF"/>
    <w:rsid w:val="009A065A"/>
    <w:rsid w:val="009A3261"/>
    <w:rsid w:val="009B7ED8"/>
    <w:rsid w:val="009C1AD9"/>
    <w:rsid w:val="009D389F"/>
    <w:rsid w:val="009D3CA5"/>
    <w:rsid w:val="009D54E4"/>
    <w:rsid w:val="009E2707"/>
    <w:rsid w:val="009E2C7F"/>
    <w:rsid w:val="009E3286"/>
    <w:rsid w:val="00A01F36"/>
    <w:rsid w:val="00A10F89"/>
    <w:rsid w:val="00A1760B"/>
    <w:rsid w:val="00A17DCD"/>
    <w:rsid w:val="00A276EE"/>
    <w:rsid w:val="00A370C2"/>
    <w:rsid w:val="00A5491F"/>
    <w:rsid w:val="00A55BBE"/>
    <w:rsid w:val="00A60051"/>
    <w:rsid w:val="00A615FB"/>
    <w:rsid w:val="00A7508B"/>
    <w:rsid w:val="00A81D0E"/>
    <w:rsid w:val="00A81F58"/>
    <w:rsid w:val="00A82263"/>
    <w:rsid w:val="00A9060C"/>
    <w:rsid w:val="00A95173"/>
    <w:rsid w:val="00AA026D"/>
    <w:rsid w:val="00AA2DA3"/>
    <w:rsid w:val="00AB1C80"/>
    <w:rsid w:val="00AC15C4"/>
    <w:rsid w:val="00AC3F80"/>
    <w:rsid w:val="00AC7680"/>
    <w:rsid w:val="00AC7D2A"/>
    <w:rsid w:val="00AE0024"/>
    <w:rsid w:val="00AE3CC1"/>
    <w:rsid w:val="00AF0C2A"/>
    <w:rsid w:val="00AF34F4"/>
    <w:rsid w:val="00AF459C"/>
    <w:rsid w:val="00AF7E8D"/>
    <w:rsid w:val="00B0009E"/>
    <w:rsid w:val="00B038C6"/>
    <w:rsid w:val="00B12907"/>
    <w:rsid w:val="00B12F2D"/>
    <w:rsid w:val="00B20122"/>
    <w:rsid w:val="00B210F5"/>
    <w:rsid w:val="00B240E8"/>
    <w:rsid w:val="00B45611"/>
    <w:rsid w:val="00B50135"/>
    <w:rsid w:val="00B516B2"/>
    <w:rsid w:val="00B65483"/>
    <w:rsid w:val="00B66AF8"/>
    <w:rsid w:val="00B711CD"/>
    <w:rsid w:val="00B72783"/>
    <w:rsid w:val="00B82147"/>
    <w:rsid w:val="00B93984"/>
    <w:rsid w:val="00B94291"/>
    <w:rsid w:val="00BA34D7"/>
    <w:rsid w:val="00BA3A48"/>
    <w:rsid w:val="00BA40E8"/>
    <w:rsid w:val="00BC1BB7"/>
    <w:rsid w:val="00BC1C6F"/>
    <w:rsid w:val="00BC1E09"/>
    <w:rsid w:val="00BC3A42"/>
    <w:rsid w:val="00BC5B59"/>
    <w:rsid w:val="00BD2E6B"/>
    <w:rsid w:val="00BD40F5"/>
    <w:rsid w:val="00BD4C9C"/>
    <w:rsid w:val="00BD6EE2"/>
    <w:rsid w:val="00BE398E"/>
    <w:rsid w:val="00BE50AE"/>
    <w:rsid w:val="00BE52ED"/>
    <w:rsid w:val="00C1093E"/>
    <w:rsid w:val="00C10C0A"/>
    <w:rsid w:val="00C11EF8"/>
    <w:rsid w:val="00C14984"/>
    <w:rsid w:val="00C244ED"/>
    <w:rsid w:val="00C246C8"/>
    <w:rsid w:val="00C27EEA"/>
    <w:rsid w:val="00C368EF"/>
    <w:rsid w:val="00C36CF7"/>
    <w:rsid w:val="00C37BCC"/>
    <w:rsid w:val="00C44A80"/>
    <w:rsid w:val="00C44F20"/>
    <w:rsid w:val="00C56668"/>
    <w:rsid w:val="00C66D2A"/>
    <w:rsid w:val="00C76B96"/>
    <w:rsid w:val="00C773B7"/>
    <w:rsid w:val="00C81552"/>
    <w:rsid w:val="00C8250A"/>
    <w:rsid w:val="00C8415E"/>
    <w:rsid w:val="00C87610"/>
    <w:rsid w:val="00C92534"/>
    <w:rsid w:val="00CD124D"/>
    <w:rsid w:val="00CD4FE9"/>
    <w:rsid w:val="00CE1AB5"/>
    <w:rsid w:val="00CE30A8"/>
    <w:rsid w:val="00CF40DA"/>
    <w:rsid w:val="00D01397"/>
    <w:rsid w:val="00D14A1B"/>
    <w:rsid w:val="00D1749F"/>
    <w:rsid w:val="00D20B82"/>
    <w:rsid w:val="00D24ADE"/>
    <w:rsid w:val="00D26523"/>
    <w:rsid w:val="00D343DE"/>
    <w:rsid w:val="00D34D56"/>
    <w:rsid w:val="00D37577"/>
    <w:rsid w:val="00D42DB1"/>
    <w:rsid w:val="00D44941"/>
    <w:rsid w:val="00D5294E"/>
    <w:rsid w:val="00D63722"/>
    <w:rsid w:val="00D66DDC"/>
    <w:rsid w:val="00D7337F"/>
    <w:rsid w:val="00DB51AA"/>
    <w:rsid w:val="00DC3B45"/>
    <w:rsid w:val="00DC6996"/>
    <w:rsid w:val="00DC7BD4"/>
    <w:rsid w:val="00DD05C2"/>
    <w:rsid w:val="00DD0C76"/>
    <w:rsid w:val="00DD7989"/>
    <w:rsid w:val="00DF5B19"/>
    <w:rsid w:val="00E26C4E"/>
    <w:rsid w:val="00E318B0"/>
    <w:rsid w:val="00E40108"/>
    <w:rsid w:val="00E418D1"/>
    <w:rsid w:val="00E555B6"/>
    <w:rsid w:val="00E56E86"/>
    <w:rsid w:val="00E629FA"/>
    <w:rsid w:val="00E644A4"/>
    <w:rsid w:val="00E66E8D"/>
    <w:rsid w:val="00E6720A"/>
    <w:rsid w:val="00E73B69"/>
    <w:rsid w:val="00E8537F"/>
    <w:rsid w:val="00EA52A9"/>
    <w:rsid w:val="00EA5AA3"/>
    <w:rsid w:val="00EB7646"/>
    <w:rsid w:val="00EC60EB"/>
    <w:rsid w:val="00ED45B8"/>
    <w:rsid w:val="00ED46E5"/>
    <w:rsid w:val="00EE02AD"/>
    <w:rsid w:val="00EE1748"/>
    <w:rsid w:val="00EE65FE"/>
    <w:rsid w:val="00EF43AE"/>
    <w:rsid w:val="00F0027D"/>
    <w:rsid w:val="00F01018"/>
    <w:rsid w:val="00F01B58"/>
    <w:rsid w:val="00F224BB"/>
    <w:rsid w:val="00F22745"/>
    <w:rsid w:val="00F3131E"/>
    <w:rsid w:val="00F43B85"/>
    <w:rsid w:val="00F477AD"/>
    <w:rsid w:val="00F5272A"/>
    <w:rsid w:val="00F6188F"/>
    <w:rsid w:val="00F628A5"/>
    <w:rsid w:val="00F62B8D"/>
    <w:rsid w:val="00F63FB6"/>
    <w:rsid w:val="00F6431C"/>
    <w:rsid w:val="00F71CF1"/>
    <w:rsid w:val="00F800B5"/>
    <w:rsid w:val="00F84F8B"/>
    <w:rsid w:val="00F85AFE"/>
    <w:rsid w:val="00F91C28"/>
    <w:rsid w:val="00F940E9"/>
    <w:rsid w:val="00FA0B25"/>
    <w:rsid w:val="00FB61F2"/>
    <w:rsid w:val="00FB699B"/>
    <w:rsid w:val="00FC20B8"/>
    <w:rsid w:val="00FD0C5A"/>
    <w:rsid w:val="00FD125D"/>
    <w:rsid w:val="00FD2557"/>
    <w:rsid w:val="00FD5E8A"/>
    <w:rsid w:val="00FD7D51"/>
    <w:rsid w:val="00FE0B1E"/>
    <w:rsid w:val="00FE3ADA"/>
    <w:rsid w:val="00FE4E25"/>
    <w:rsid w:val="00FF27A9"/>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8814E"/>
  <w15:docId w15:val="{2BCCE551-6909-4A00-A501-E5FD8C6B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Rubrik1">
    <w:name w:val="heading 1"/>
    <w:basedOn w:val="Normal"/>
    <w:next w:val="Normal"/>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77149089">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703221">
      <w:bodyDiv w:val="1"/>
      <w:marLeft w:val="0"/>
      <w:marRight w:val="0"/>
      <w:marTop w:val="0"/>
      <w:marBottom w:val="0"/>
      <w:divBdr>
        <w:top w:val="none" w:sz="0" w:space="0" w:color="auto"/>
        <w:left w:val="none" w:sz="0" w:space="0" w:color="auto"/>
        <w:bottom w:val="none" w:sz="0" w:space="0" w:color="auto"/>
        <w:right w:val="none" w:sz="0" w:space="0" w:color="auto"/>
      </w:divBdr>
    </w:div>
    <w:div w:id="890071461">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7B360-0169-4127-8F10-1AD382014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35</TotalTime>
  <Pages>2</Pages>
  <Words>469</Words>
  <Characters>2491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
  <cp:lastModifiedBy>Skiöld, Karin</cp:lastModifiedBy>
  <cp:revision>10</cp:revision>
  <cp:lastPrinted>2016-01-18T21:07:00Z</cp:lastPrinted>
  <dcterms:created xsi:type="dcterms:W3CDTF">2016-01-18T21:00:00Z</dcterms:created>
  <dcterms:modified xsi:type="dcterms:W3CDTF">2016-01-19T07:45:00Z</dcterms:modified>
</cp:coreProperties>
</file>