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3A158" w14:textId="77777777" w:rsidR="008A61F0" w:rsidRPr="00710D24" w:rsidRDefault="008A61F0" w:rsidP="00852CEC">
      <w:pPr>
        <w:ind w:left="2342"/>
        <w:jc w:val="right"/>
        <w:rPr>
          <w:rFonts w:cs="Arial"/>
          <w:b/>
          <w:bCs/>
          <w:i/>
          <w:iCs/>
          <w:noProof/>
        </w:rPr>
      </w:pPr>
      <w:r w:rsidRPr="00710D24">
        <w:rPr>
          <w:b/>
          <w:bCs/>
          <w:i/>
          <w:iCs/>
        </w:rPr>
        <w:t>Media relations:</w:t>
      </w:r>
    </w:p>
    <w:p w14:paraId="43D183D0" w14:textId="77777777" w:rsidR="008A61F0" w:rsidRPr="00710D24" w:rsidRDefault="008A61F0" w:rsidP="00852CEC">
      <w:pPr>
        <w:ind w:left="2342"/>
        <w:jc w:val="right"/>
        <w:rPr>
          <w:rFonts w:cs="Arial"/>
          <w:bCs/>
          <w:i/>
          <w:iCs/>
          <w:noProof/>
        </w:rPr>
      </w:pPr>
      <w:r w:rsidRPr="00710D24">
        <w:rPr>
          <w:bCs/>
          <w:i/>
          <w:iCs/>
        </w:rPr>
        <w:t>Florence Lièvre</w:t>
      </w:r>
    </w:p>
    <w:p w14:paraId="57BA8A0B" w14:textId="06107150" w:rsidR="008A61F0" w:rsidRPr="00710D24" w:rsidRDefault="008A61F0" w:rsidP="00852CEC">
      <w:pPr>
        <w:ind w:left="2342"/>
        <w:jc w:val="right"/>
        <w:rPr>
          <w:rFonts w:cs="Arial"/>
          <w:bCs/>
          <w:i/>
          <w:iCs/>
          <w:noProof/>
        </w:rPr>
      </w:pPr>
      <w:r w:rsidRPr="00710D24">
        <w:rPr>
          <w:bCs/>
          <w:i/>
          <w:iCs/>
        </w:rPr>
        <w:t xml:space="preserve">Tel.: </w:t>
      </w:r>
      <w:r w:rsidR="00710D24">
        <w:rPr>
          <w:bCs/>
          <w:i/>
          <w:iCs/>
        </w:rPr>
        <w:t xml:space="preserve">+33 </w:t>
      </w:r>
      <w:r w:rsidR="00710D24" w:rsidRPr="00710D24">
        <w:rPr>
          <w:bCs/>
          <w:i/>
          <w:iCs/>
        </w:rPr>
        <w:t xml:space="preserve">1 </w:t>
      </w:r>
      <w:r w:rsidRPr="00710D24">
        <w:rPr>
          <w:bCs/>
          <w:i/>
          <w:iCs/>
        </w:rPr>
        <w:t>47 54 50 71</w:t>
      </w:r>
    </w:p>
    <w:p w14:paraId="2A4EACC7" w14:textId="77777777" w:rsidR="00C90010" w:rsidRPr="00710D24" w:rsidRDefault="00C90010" w:rsidP="00852CEC">
      <w:pPr>
        <w:ind w:left="2342"/>
        <w:jc w:val="right"/>
        <w:rPr>
          <w:rFonts w:cs="Arial"/>
          <w:bCs/>
          <w:i/>
          <w:iCs/>
          <w:noProof/>
        </w:rPr>
      </w:pPr>
      <w:r w:rsidRPr="00710D24">
        <w:rPr>
          <w:bCs/>
          <w:i/>
          <w:iCs/>
        </w:rPr>
        <w:t>florence.lievre@capgemini.com</w:t>
      </w:r>
    </w:p>
    <w:p w14:paraId="27470D89" w14:textId="77777777" w:rsidR="008A61F0" w:rsidRPr="00710D24" w:rsidRDefault="008A61F0" w:rsidP="00852CEC">
      <w:pPr>
        <w:ind w:left="2342"/>
        <w:jc w:val="right"/>
        <w:rPr>
          <w:rFonts w:cs="Arial"/>
          <w:b/>
          <w:bCs/>
          <w:i/>
          <w:iCs/>
          <w:noProof/>
        </w:rPr>
      </w:pPr>
    </w:p>
    <w:p w14:paraId="6BDEFFEF" w14:textId="77777777" w:rsidR="008A61F0" w:rsidRPr="00710D24" w:rsidRDefault="008A61F0" w:rsidP="00852CEC">
      <w:pPr>
        <w:ind w:left="2342"/>
        <w:jc w:val="right"/>
        <w:rPr>
          <w:rFonts w:cs="Arial"/>
          <w:b/>
          <w:bCs/>
          <w:i/>
          <w:iCs/>
          <w:noProof/>
        </w:rPr>
      </w:pPr>
      <w:r w:rsidRPr="00710D24">
        <w:rPr>
          <w:b/>
          <w:bCs/>
          <w:i/>
          <w:iCs/>
        </w:rPr>
        <w:t>Investor relations:</w:t>
      </w:r>
    </w:p>
    <w:p w14:paraId="650D5262" w14:textId="77777777" w:rsidR="008A61F0" w:rsidRPr="005359A0" w:rsidRDefault="008A61F0" w:rsidP="00852CEC">
      <w:pPr>
        <w:ind w:left="2342"/>
        <w:jc w:val="right"/>
        <w:rPr>
          <w:rFonts w:cs="Arial"/>
          <w:bCs/>
          <w:i/>
          <w:iCs/>
          <w:noProof/>
        </w:rPr>
      </w:pPr>
      <w:r>
        <w:rPr>
          <w:bCs/>
          <w:i/>
          <w:iCs/>
        </w:rPr>
        <w:t>Vincent Biraud</w:t>
      </w:r>
    </w:p>
    <w:p w14:paraId="4B1E5C6E" w14:textId="3FD7B6B8" w:rsidR="00EB185F" w:rsidRPr="005359A0" w:rsidRDefault="008A61F0" w:rsidP="00852CEC">
      <w:pPr>
        <w:ind w:left="2342"/>
        <w:jc w:val="right"/>
        <w:rPr>
          <w:rFonts w:cs="Arial"/>
          <w:bCs/>
          <w:i/>
          <w:iCs/>
          <w:noProof/>
        </w:rPr>
      </w:pPr>
      <w:r>
        <w:rPr>
          <w:bCs/>
          <w:i/>
          <w:iCs/>
        </w:rPr>
        <w:t xml:space="preserve">Tel.: </w:t>
      </w:r>
      <w:r w:rsidR="00710D24">
        <w:rPr>
          <w:bCs/>
          <w:i/>
          <w:iCs/>
        </w:rPr>
        <w:t xml:space="preserve">+33 </w:t>
      </w:r>
      <w:r>
        <w:rPr>
          <w:bCs/>
          <w:i/>
          <w:iCs/>
        </w:rPr>
        <w:t>1 47 54 50 87</w:t>
      </w:r>
    </w:p>
    <w:p w14:paraId="66CCD834" w14:textId="77777777" w:rsidR="00C90010" w:rsidRPr="005359A0" w:rsidRDefault="00C90010" w:rsidP="00852CEC">
      <w:pPr>
        <w:ind w:left="2342"/>
        <w:jc w:val="right"/>
        <w:rPr>
          <w:rFonts w:cs="Arial"/>
          <w:bCs/>
          <w:i/>
          <w:iCs/>
          <w:noProof/>
        </w:rPr>
      </w:pPr>
      <w:r>
        <w:rPr>
          <w:bCs/>
          <w:i/>
          <w:iCs/>
        </w:rPr>
        <w:t>vincent.biraud@capgemini.com</w:t>
      </w:r>
    </w:p>
    <w:p w14:paraId="5B8F207A" w14:textId="77777777" w:rsidR="002550C8" w:rsidRPr="005359A0" w:rsidRDefault="002550C8" w:rsidP="00AC715B">
      <w:pPr>
        <w:spacing w:before="120" w:after="120" w:line="24" w:lineRule="atLeast"/>
        <w:ind w:left="2340"/>
        <w:jc w:val="right"/>
        <w:rPr>
          <w:rFonts w:cs="Arial"/>
          <w:b/>
          <w:bCs/>
          <w:i/>
          <w:iCs/>
          <w:noProof/>
        </w:rPr>
      </w:pPr>
    </w:p>
    <w:p w14:paraId="1CDDBD24" w14:textId="3E9AE194" w:rsidR="00063A81" w:rsidRDefault="00063A81" w:rsidP="00AC715B">
      <w:pPr>
        <w:spacing w:before="120" w:after="120" w:line="24" w:lineRule="atLeast"/>
        <w:ind w:left="2340"/>
        <w:jc w:val="right"/>
        <w:rPr>
          <w:rFonts w:cs="Arial"/>
          <w:b/>
          <w:bCs/>
          <w:i/>
          <w:iCs/>
          <w:noProof/>
        </w:rPr>
      </w:pPr>
    </w:p>
    <w:p w14:paraId="56CCC727" w14:textId="0900FB96" w:rsidR="00FE29BC" w:rsidRDefault="00FE29BC" w:rsidP="00AC715B">
      <w:pPr>
        <w:spacing w:before="120" w:after="120" w:line="24" w:lineRule="atLeast"/>
        <w:ind w:left="2340"/>
        <w:jc w:val="right"/>
        <w:rPr>
          <w:rFonts w:cs="Arial"/>
          <w:b/>
          <w:bCs/>
          <w:i/>
          <w:iCs/>
          <w:noProof/>
        </w:rPr>
      </w:pPr>
    </w:p>
    <w:p w14:paraId="05C069DC" w14:textId="77777777" w:rsidR="00FE29BC" w:rsidRPr="005359A0" w:rsidRDefault="00FE29BC" w:rsidP="00AC715B">
      <w:pPr>
        <w:spacing w:before="120" w:after="120" w:line="24" w:lineRule="atLeast"/>
        <w:ind w:left="2340"/>
        <w:jc w:val="right"/>
        <w:rPr>
          <w:rFonts w:cs="Arial"/>
          <w:b/>
          <w:bCs/>
          <w:i/>
          <w:iCs/>
          <w:noProof/>
        </w:rPr>
      </w:pPr>
    </w:p>
    <w:p w14:paraId="01ADD93C" w14:textId="10C38F04" w:rsidR="00E954B2" w:rsidRDefault="00FE29BC" w:rsidP="00E954B2">
      <w:pPr>
        <w:spacing w:before="120" w:after="120" w:line="288" w:lineRule="auto"/>
        <w:jc w:val="center"/>
        <w:rPr>
          <w:b/>
          <w:bCs/>
          <w:sz w:val="24"/>
        </w:rPr>
      </w:pPr>
      <w:bookmarkStart w:id="0" w:name="_Hlk535389279"/>
      <w:r w:rsidRPr="00FE29BC">
        <w:rPr>
          <w:b/>
          <w:bCs/>
          <w:sz w:val="24"/>
        </w:rPr>
        <w:t>Building on excellent 2018 results, Capgemini starts 2019 with confidence</w:t>
      </w:r>
    </w:p>
    <w:p w14:paraId="395239C9" w14:textId="77777777" w:rsidR="00FE29BC" w:rsidRPr="005359A0" w:rsidRDefault="00FE29BC" w:rsidP="00E954B2">
      <w:pPr>
        <w:spacing w:before="120" w:after="120" w:line="288" w:lineRule="auto"/>
        <w:jc w:val="center"/>
        <w:rPr>
          <w:rFonts w:cs="Arial"/>
          <w:b/>
          <w:bCs/>
          <w:sz w:val="24"/>
        </w:rPr>
      </w:pPr>
    </w:p>
    <w:bookmarkEnd w:id="0"/>
    <w:p w14:paraId="05738D65" w14:textId="333EAF52" w:rsidR="00E954B2" w:rsidRDefault="00E954B2" w:rsidP="002B7B57">
      <w:pPr>
        <w:spacing w:before="120" w:line="288" w:lineRule="auto"/>
        <w:ind w:left="568" w:hanging="284"/>
        <w:rPr>
          <w:rFonts w:cs="Arial"/>
          <w:b/>
          <w:bCs/>
          <w:szCs w:val="18"/>
        </w:rPr>
      </w:pPr>
    </w:p>
    <w:p w14:paraId="06D8B0A3" w14:textId="77777777" w:rsidR="00FE29BC" w:rsidRPr="005359A0" w:rsidRDefault="00FE29BC" w:rsidP="002B7B57">
      <w:pPr>
        <w:spacing w:before="120" w:line="288" w:lineRule="auto"/>
        <w:ind w:left="568" w:hanging="284"/>
        <w:rPr>
          <w:rFonts w:cs="Arial"/>
          <w:b/>
          <w:bCs/>
          <w:szCs w:val="18"/>
        </w:rPr>
      </w:pPr>
    </w:p>
    <w:p w14:paraId="3D0410D2" w14:textId="77777777" w:rsidR="00A631C3" w:rsidRPr="005359A0" w:rsidRDefault="00E954B2" w:rsidP="0044658F">
      <w:pPr>
        <w:pStyle w:val="ListParagraph"/>
        <w:numPr>
          <w:ilvl w:val="0"/>
          <w:numId w:val="48"/>
        </w:numPr>
        <w:spacing w:line="288" w:lineRule="auto"/>
        <w:rPr>
          <w:rFonts w:cs="Arial"/>
          <w:b/>
          <w:bCs/>
          <w:szCs w:val="18"/>
        </w:rPr>
      </w:pPr>
      <w:bookmarkStart w:id="1" w:name="_Hlk535389261"/>
      <w:r>
        <w:rPr>
          <w:b/>
          <w:bCs/>
          <w:szCs w:val="18"/>
        </w:rPr>
        <w:t>Revenues of €13,197 million</w:t>
      </w:r>
    </w:p>
    <w:p w14:paraId="60060A71" w14:textId="77777777" w:rsidR="00A631C3" w:rsidRPr="005359A0" w:rsidRDefault="0044658F" w:rsidP="00A631C3">
      <w:pPr>
        <w:pStyle w:val="ListParagraph"/>
        <w:numPr>
          <w:ilvl w:val="0"/>
          <w:numId w:val="48"/>
        </w:numPr>
        <w:spacing w:line="288" w:lineRule="auto"/>
        <w:rPr>
          <w:rFonts w:cs="Arial"/>
          <w:b/>
          <w:bCs/>
          <w:szCs w:val="18"/>
        </w:rPr>
      </w:pPr>
      <w:r>
        <w:rPr>
          <w:b/>
          <w:bCs/>
          <w:szCs w:val="18"/>
        </w:rPr>
        <w:t>FY revenue growth of 8.1% at constant exchange rates and 7.8% in Q4</w:t>
      </w:r>
    </w:p>
    <w:p w14:paraId="62CB6A83" w14:textId="77777777" w:rsidR="00E954B2" w:rsidRPr="005359A0" w:rsidRDefault="00E954B2" w:rsidP="0044658F">
      <w:pPr>
        <w:pStyle w:val="ListParagraph"/>
        <w:numPr>
          <w:ilvl w:val="0"/>
          <w:numId w:val="48"/>
        </w:numPr>
        <w:spacing w:line="288" w:lineRule="auto"/>
        <w:rPr>
          <w:rFonts w:cs="Arial"/>
          <w:b/>
          <w:bCs/>
          <w:szCs w:val="18"/>
        </w:rPr>
      </w:pPr>
      <w:r>
        <w:rPr>
          <w:b/>
        </w:rPr>
        <w:t>Operating margin rate</w:t>
      </w:r>
      <w:bookmarkStart w:id="2" w:name="_Ref536089963"/>
      <w:r>
        <w:rPr>
          <w:rStyle w:val="FootnoteReference"/>
          <w:rFonts w:cs="Arial"/>
          <w:bCs/>
          <w:szCs w:val="18"/>
        </w:rPr>
        <w:footnoteReference w:customMarkFollows="1" w:id="2"/>
        <w:t>*</w:t>
      </w:r>
      <w:bookmarkEnd w:id="2"/>
      <w:r>
        <w:rPr>
          <w:b/>
        </w:rPr>
        <w:t xml:space="preserve"> of 12.1%, up 20 basis points</w:t>
      </w:r>
    </w:p>
    <w:p w14:paraId="30C21F26" w14:textId="77777777" w:rsidR="00434D81" w:rsidRPr="005359A0" w:rsidRDefault="00434D81" w:rsidP="0044658F">
      <w:pPr>
        <w:pStyle w:val="ListParagraph"/>
        <w:numPr>
          <w:ilvl w:val="0"/>
          <w:numId w:val="48"/>
        </w:numPr>
        <w:spacing w:line="288" w:lineRule="auto"/>
        <w:rPr>
          <w:rFonts w:cs="Arial"/>
          <w:b/>
          <w:bCs/>
          <w:szCs w:val="18"/>
        </w:rPr>
      </w:pPr>
      <w:r>
        <w:rPr>
          <w:b/>
          <w:bCs/>
          <w:szCs w:val="18"/>
        </w:rPr>
        <w:t xml:space="preserve">Net profit Group share of €730 million </w:t>
      </w:r>
    </w:p>
    <w:p w14:paraId="2231BC70" w14:textId="77777777" w:rsidR="004973E5" w:rsidRPr="005359A0" w:rsidRDefault="00E954B2" w:rsidP="0044658F">
      <w:pPr>
        <w:pStyle w:val="ListParagraph"/>
        <w:numPr>
          <w:ilvl w:val="0"/>
          <w:numId w:val="48"/>
        </w:numPr>
        <w:spacing w:line="288" w:lineRule="auto"/>
        <w:rPr>
          <w:rFonts w:cs="Arial"/>
          <w:b/>
          <w:bCs/>
          <w:szCs w:val="18"/>
        </w:rPr>
      </w:pPr>
      <w:r>
        <w:rPr>
          <w:b/>
        </w:rPr>
        <w:t>Organic free cash flow</w:t>
      </w:r>
      <w:r w:rsidR="00A3625B" w:rsidRPr="00325B31">
        <w:rPr>
          <w:rFonts w:cs="Arial"/>
          <w:bCs/>
          <w:szCs w:val="18"/>
          <w:vertAlign w:val="superscript"/>
        </w:rPr>
        <w:fldChar w:fldCharType="begin"/>
      </w:r>
      <w:r w:rsidR="00A3625B" w:rsidRPr="00325B31">
        <w:rPr>
          <w:rFonts w:cs="Arial"/>
          <w:bCs/>
          <w:szCs w:val="18"/>
          <w:vertAlign w:val="superscript"/>
        </w:rPr>
        <w:instrText xml:space="preserve"> NOTEREF _Ref536089963 \h  \* MERGEFORMAT </w:instrText>
      </w:r>
      <w:r w:rsidR="00A3625B" w:rsidRPr="00325B31">
        <w:rPr>
          <w:rFonts w:cs="Arial"/>
          <w:bCs/>
          <w:szCs w:val="18"/>
          <w:vertAlign w:val="superscript"/>
        </w:rPr>
      </w:r>
      <w:r w:rsidR="00A3625B" w:rsidRPr="00325B31">
        <w:rPr>
          <w:rFonts w:cs="Arial"/>
          <w:bCs/>
          <w:szCs w:val="18"/>
          <w:vertAlign w:val="superscript"/>
        </w:rPr>
        <w:fldChar w:fldCharType="separate"/>
      </w:r>
      <w:r w:rsidR="00E35E4F" w:rsidRPr="00325B31">
        <w:rPr>
          <w:vertAlign w:val="superscript"/>
        </w:rPr>
        <w:t>*</w:t>
      </w:r>
      <w:r w:rsidR="00A3625B" w:rsidRPr="00325B31">
        <w:rPr>
          <w:rFonts w:cs="Arial"/>
          <w:bCs/>
          <w:szCs w:val="18"/>
          <w:vertAlign w:val="superscript"/>
        </w:rPr>
        <w:fldChar w:fldCharType="end"/>
      </w:r>
      <w:r>
        <w:rPr>
          <w:b/>
        </w:rPr>
        <w:t xml:space="preserve"> of €1,160 million</w:t>
      </w:r>
    </w:p>
    <w:p w14:paraId="6916E10A" w14:textId="5D443635" w:rsidR="004973E5" w:rsidRPr="003459EA" w:rsidRDefault="004973E5" w:rsidP="0044658F">
      <w:pPr>
        <w:pStyle w:val="ListParagraph"/>
        <w:numPr>
          <w:ilvl w:val="0"/>
          <w:numId w:val="48"/>
        </w:numPr>
        <w:spacing w:line="288" w:lineRule="auto"/>
        <w:rPr>
          <w:rFonts w:cs="Arial"/>
          <w:b/>
          <w:bCs/>
          <w:szCs w:val="18"/>
        </w:rPr>
      </w:pPr>
      <w:r>
        <w:rPr>
          <w:b/>
          <w:bCs/>
          <w:szCs w:val="18"/>
        </w:rPr>
        <w:t xml:space="preserve">Proposed dividend </w:t>
      </w:r>
      <w:r w:rsidRPr="00BE7C0F">
        <w:rPr>
          <w:b/>
          <w:bCs/>
          <w:szCs w:val="18"/>
        </w:rPr>
        <w:t xml:space="preserve">of </w:t>
      </w:r>
      <w:r w:rsidR="00BE7C0F" w:rsidRPr="00BE7C0F">
        <w:rPr>
          <w:b/>
        </w:rPr>
        <w:t xml:space="preserve">€1.70 </w:t>
      </w:r>
      <w:r w:rsidRPr="00BE7C0F">
        <w:rPr>
          <w:b/>
          <w:bCs/>
          <w:szCs w:val="18"/>
        </w:rPr>
        <w:t>per</w:t>
      </w:r>
      <w:r>
        <w:rPr>
          <w:b/>
          <w:bCs/>
          <w:szCs w:val="18"/>
        </w:rPr>
        <w:t xml:space="preserve"> share</w:t>
      </w:r>
    </w:p>
    <w:bookmarkEnd w:id="1"/>
    <w:p w14:paraId="2DC419FF" w14:textId="77777777" w:rsidR="007942A0" w:rsidRPr="005359A0" w:rsidRDefault="007942A0" w:rsidP="002B7B57">
      <w:pPr>
        <w:spacing w:line="288" w:lineRule="auto"/>
        <w:rPr>
          <w:rFonts w:cs="Arial"/>
          <w:b/>
          <w:i/>
        </w:rPr>
      </w:pPr>
    </w:p>
    <w:p w14:paraId="57260B8D" w14:textId="77777777" w:rsidR="00063A81" w:rsidRPr="005359A0" w:rsidRDefault="00063A81" w:rsidP="002B7B57">
      <w:pPr>
        <w:spacing w:line="288" w:lineRule="auto"/>
        <w:rPr>
          <w:rFonts w:cs="Arial"/>
          <w:b/>
          <w:i/>
        </w:rPr>
      </w:pPr>
    </w:p>
    <w:p w14:paraId="6995F7BD" w14:textId="77777777" w:rsidR="00063A81" w:rsidRPr="005359A0" w:rsidRDefault="00063A81" w:rsidP="002B7B57">
      <w:pPr>
        <w:spacing w:line="288" w:lineRule="auto"/>
        <w:rPr>
          <w:rFonts w:cs="Arial"/>
          <w:b/>
          <w:i/>
        </w:rPr>
      </w:pPr>
    </w:p>
    <w:p w14:paraId="394DED7F" w14:textId="7E8149D9" w:rsidR="00E954B2" w:rsidRPr="005359A0" w:rsidRDefault="00E808B3" w:rsidP="001B1046">
      <w:pPr>
        <w:spacing w:before="120" w:after="120" w:line="288" w:lineRule="auto"/>
        <w:rPr>
          <w:rFonts w:cs="Arial"/>
        </w:rPr>
      </w:pPr>
      <w:r>
        <w:rPr>
          <w:b/>
        </w:rPr>
        <w:t>Paris, February 14, 2019 –</w:t>
      </w:r>
      <w:r>
        <w:t xml:space="preserve"> </w:t>
      </w:r>
      <w:bookmarkStart w:id="3" w:name="_Hlk535389307"/>
      <w:r>
        <w:t>The Board of Directors of Cap</w:t>
      </w:r>
      <w:r w:rsidR="00710D24">
        <w:t>g</w:t>
      </w:r>
      <w:r>
        <w:t>emini SE, chaired by Paul Hermelin, convened in Paris on February 13, 2019 to review and authorize the issue of the accounts</w:t>
      </w:r>
      <w:r w:rsidR="00A15CD4" w:rsidRPr="005359A0">
        <w:rPr>
          <w:rStyle w:val="FootnoteReference"/>
          <w:rFonts w:cs="Arial"/>
        </w:rPr>
        <w:footnoteReference w:id="3"/>
      </w:r>
      <w:r>
        <w:t xml:space="preserve"> of Capgemini Group for the year ended December 31, 2018.</w:t>
      </w:r>
      <w:bookmarkEnd w:id="3"/>
      <w:r>
        <w:t xml:space="preserve"> </w:t>
      </w:r>
    </w:p>
    <w:p w14:paraId="365BD27E" w14:textId="1FD15547" w:rsidR="00CE070B" w:rsidRPr="00CE070B" w:rsidRDefault="00E808B3" w:rsidP="00CE070B">
      <w:pPr>
        <w:spacing w:before="120" w:after="120" w:line="288" w:lineRule="auto"/>
        <w:rPr>
          <w:rFonts w:cs="Arial"/>
          <w:i/>
        </w:rPr>
      </w:pPr>
      <w:r w:rsidRPr="00FE159F">
        <w:t>Paul Hermelin, Chairman and Chief Executive Officer of Capgemini Group</w:t>
      </w:r>
      <w:r w:rsidR="00CE070B">
        <w:t>, states</w:t>
      </w:r>
      <w:r w:rsidRPr="00FE159F">
        <w:t xml:space="preserve">: </w:t>
      </w:r>
      <w:r w:rsidR="00FE29BC" w:rsidRPr="00FE29BC">
        <w:rPr>
          <w:rFonts w:cs="Arial"/>
        </w:rPr>
        <w:t>“</w:t>
      </w:r>
      <w:r w:rsidR="00CE070B" w:rsidRPr="00CE070B">
        <w:rPr>
          <w:rFonts w:cs="Arial"/>
          <w:i/>
        </w:rPr>
        <w:t xml:space="preserve">In 2018, we demonstrated once again our </w:t>
      </w:r>
      <w:r w:rsidR="004E55AE">
        <w:rPr>
          <w:rFonts w:cs="Arial"/>
          <w:i/>
        </w:rPr>
        <w:t>capacity</w:t>
      </w:r>
      <w:r w:rsidR="00CE070B" w:rsidRPr="00CE070B">
        <w:rPr>
          <w:rFonts w:cs="Arial"/>
          <w:i/>
        </w:rPr>
        <w:t xml:space="preserve"> to improve our profitability while delivering sustained growth. All regions contributed to our solid top-line momentum, which we </w:t>
      </w:r>
      <w:r w:rsidR="00073D01">
        <w:rPr>
          <w:rFonts w:cs="Arial"/>
          <w:i/>
        </w:rPr>
        <w:t>maintained</w:t>
      </w:r>
      <w:r w:rsidR="00CE070B" w:rsidRPr="00CE070B">
        <w:rPr>
          <w:rFonts w:cs="Arial"/>
          <w:i/>
        </w:rPr>
        <w:t xml:space="preserve"> in the fourth quarter on top of </w:t>
      </w:r>
      <w:r w:rsidR="004E55AE">
        <w:rPr>
          <w:rFonts w:cs="Arial"/>
          <w:i/>
        </w:rPr>
        <w:t xml:space="preserve">a </w:t>
      </w:r>
      <w:r w:rsidR="00CE070B" w:rsidRPr="00CE070B">
        <w:rPr>
          <w:rFonts w:cs="Arial"/>
          <w:i/>
        </w:rPr>
        <w:t>particularly demanding</w:t>
      </w:r>
      <w:r w:rsidR="00073D01">
        <w:rPr>
          <w:rFonts w:cs="Arial"/>
          <w:i/>
        </w:rPr>
        <w:t xml:space="preserve"> </w:t>
      </w:r>
      <w:r w:rsidR="00CE070B" w:rsidRPr="00CE070B">
        <w:rPr>
          <w:rFonts w:cs="Arial"/>
          <w:i/>
        </w:rPr>
        <w:t>comparison</w:t>
      </w:r>
      <w:r w:rsidR="00073D01">
        <w:rPr>
          <w:rFonts w:cs="Arial"/>
          <w:i/>
        </w:rPr>
        <w:t xml:space="preserve"> basis</w:t>
      </w:r>
      <w:r w:rsidR="00CE070B" w:rsidRPr="00CE070B">
        <w:rPr>
          <w:rFonts w:cs="Arial"/>
          <w:i/>
        </w:rPr>
        <w:t xml:space="preserve"> last year. We reached </w:t>
      </w:r>
      <w:r w:rsidR="00127A3E" w:rsidRPr="00CE070B">
        <w:rPr>
          <w:rFonts w:cs="Arial"/>
          <w:i/>
        </w:rPr>
        <w:t>all</w:t>
      </w:r>
      <w:r w:rsidR="00CE070B" w:rsidRPr="00CE070B">
        <w:rPr>
          <w:rFonts w:cs="Arial"/>
          <w:i/>
        </w:rPr>
        <w:t xml:space="preserve"> the targets we had set for ourselves, including </w:t>
      </w:r>
      <w:r w:rsidR="00127A3E">
        <w:rPr>
          <w:rFonts w:cs="Arial"/>
          <w:i/>
        </w:rPr>
        <w:t xml:space="preserve">the </w:t>
      </w:r>
      <w:r w:rsidR="00CE070B" w:rsidRPr="00CE070B">
        <w:rPr>
          <w:rFonts w:cs="Arial"/>
          <w:i/>
        </w:rPr>
        <w:t xml:space="preserve">sales </w:t>
      </w:r>
      <w:r w:rsidR="00127A3E">
        <w:rPr>
          <w:rFonts w:cs="Arial"/>
          <w:i/>
        </w:rPr>
        <w:t xml:space="preserve">outlook </w:t>
      </w:r>
      <w:r w:rsidR="00CE070B" w:rsidRPr="00CE070B">
        <w:rPr>
          <w:rFonts w:cs="Arial"/>
          <w:i/>
        </w:rPr>
        <w:t>which was raised during the year.</w:t>
      </w:r>
    </w:p>
    <w:p w14:paraId="7BA708D5" w14:textId="52E8B2BC" w:rsidR="00CE070B" w:rsidRPr="00CE070B" w:rsidRDefault="00CE070B" w:rsidP="00CE070B">
      <w:pPr>
        <w:spacing w:before="120" w:after="120" w:line="288" w:lineRule="auto"/>
        <w:rPr>
          <w:rFonts w:cs="Arial"/>
          <w:i/>
        </w:rPr>
      </w:pPr>
      <w:r w:rsidRPr="00CE070B">
        <w:rPr>
          <w:rFonts w:cs="Arial"/>
          <w:i/>
        </w:rPr>
        <w:t>Today, the Group is well positioned to continue outperforming</w:t>
      </w:r>
      <w:r w:rsidR="00711185">
        <w:rPr>
          <w:rFonts w:cs="Arial"/>
          <w:i/>
        </w:rPr>
        <w:t xml:space="preserve"> the market</w:t>
      </w:r>
      <w:r w:rsidRPr="00CE070B">
        <w:rPr>
          <w:rFonts w:cs="Arial"/>
          <w:i/>
        </w:rPr>
        <w:t>, in pursuit of our two strategic priorities.</w:t>
      </w:r>
    </w:p>
    <w:p w14:paraId="520AC425" w14:textId="3C436122" w:rsidR="00CE070B" w:rsidRPr="00CE070B" w:rsidRDefault="00CE070B" w:rsidP="00CE070B">
      <w:pPr>
        <w:spacing w:before="120" w:after="120" w:line="288" w:lineRule="auto"/>
        <w:rPr>
          <w:rFonts w:cs="Arial"/>
          <w:i/>
        </w:rPr>
      </w:pPr>
      <w:r w:rsidRPr="00CE070B">
        <w:rPr>
          <w:rFonts w:cs="Arial"/>
          <w:i/>
        </w:rPr>
        <w:t xml:space="preserve">First, a more dynamic management of </w:t>
      </w:r>
      <w:r w:rsidR="00127A3E">
        <w:rPr>
          <w:rFonts w:cs="Arial"/>
          <w:i/>
        </w:rPr>
        <w:t xml:space="preserve">our </w:t>
      </w:r>
      <w:r w:rsidRPr="00CE070B">
        <w:rPr>
          <w:rFonts w:cs="Arial"/>
          <w:i/>
        </w:rPr>
        <w:t xml:space="preserve">portfolio of services, which enabled Capgemini to be recognized as a world leader in digital and cloud. These high-growth areas </w:t>
      </w:r>
      <w:r w:rsidR="00127A3E">
        <w:rPr>
          <w:rFonts w:cs="Arial"/>
          <w:i/>
        </w:rPr>
        <w:t>will</w:t>
      </w:r>
      <w:r w:rsidRPr="00CE070B">
        <w:rPr>
          <w:rFonts w:cs="Arial"/>
          <w:i/>
        </w:rPr>
        <w:t xml:space="preserve"> soon account for half of our revenue</w:t>
      </w:r>
      <w:r w:rsidR="00127A3E">
        <w:rPr>
          <w:rFonts w:cs="Arial"/>
          <w:i/>
        </w:rPr>
        <w:t>s</w:t>
      </w:r>
      <w:r w:rsidRPr="00CE070B">
        <w:rPr>
          <w:rFonts w:cs="Arial"/>
          <w:i/>
        </w:rPr>
        <w:t>.</w:t>
      </w:r>
    </w:p>
    <w:p w14:paraId="0213A785" w14:textId="0C33BA40" w:rsidR="00CE070B" w:rsidRPr="00CE070B" w:rsidRDefault="00CE070B" w:rsidP="00CE070B">
      <w:pPr>
        <w:spacing w:before="120" w:after="120" w:line="288" w:lineRule="auto"/>
        <w:rPr>
          <w:rFonts w:cs="Arial"/>
          <w:i/>
        </w:rPr>
      </w:pPr>
      <w:bookmarkStart w:id="4" w:name="_Hlk860188"/>
      <w:r w:rsidRPr="00CE070B">
        <w:rPr>
          <w:rFonts w:cs="Arial"/>
          <w:i/>
        </w:rPr>
        <w:t xml:space="preserve">And second, aligning our </w:t>
      </w:r>
      <w:r w:rsidR="00127A3E">
        <w:rPr>
          <w:rFonts w:cs="Arial"/>
          <w:i/>
        </w:rPr>
        <w:t xml:space="preserve">whole </w:t>
      </w:r>
      <w:r w:rsidRPr="00CE070B">
        <w:rPr>
          <w:rFonts w:cs="Arial"/>
          <w:i/>
        </w:rPr>
        <w:t xml:space="preserve">organization </w:t>
      </w:r>
      <w:r w:rsidR="00127A3E">
        <w:rPr>
          <w:rFonts w:cs="Arial"/>
          <w:i/>
        </w:rPr>
        <w:t>around the client</w:t>
      </w:r>
      <w:r w:rsidR="00C52D48">
        <w:rPr>
          <w:rFonts w:cs="Arial"/>
          <w:i/>
        </w:rPr>
        <w:t>,</w:t>
      </w:r>
      <w:r w:rsidR="00127A3E">
        <w:rPr>
          <w:rFonts w:cs="Arial"/>
          <w:i/>
        </w:rPr>
        <w:t xml:space="preserve"> </w:t>
      </w:r>
      <w:r w:rsidRPr="00CE070B">
        <w:rPr>
          <w:rFonts w:cs="Arial"/>
          <w:i/>
        </w:rPr>
        <w:t>provid</w:t>
      </w:r>
      <w:r w:rsidR="00C52D48">
        <w:rPr>
          <w:rFonts w:cs="Arial"/>
          <w:i/>
        </w:rPr>
        <w:t>ing</w:t>
      </w:r>
      <w:r w:rsidRPr="00CE070B">
        <w:rPr>
          <w:rFonts w:cs="Arial"/>
          <w:i/>
        </w:rPr>
        <w:t xml:space="preserve"> </w:t>
      </w:r>
      <w:r w:rsidR="00734067">
        <w:rPr>
          <w:rFonts w:cs="Arial"/>
          <w:i/>
        </w:rPr>
        <w:t>each</w:t>
      </w:r>
      <w:r w:rsidR="0054132B">
        <w:rPr>
          <w:rFonts w:cs="Arial"/>
          <w:i/>
        </w:rPr>
        <w:t xml:space="preserve"> of </w:t>
      </w:r>
      <w:r w:rsidR="004E55AE">
        <w:rPr>
          <w:rFonts w:cs="Arial"/>
          <w:i/>
        </w:rPr>
        <w:t>them</w:t>
      </w:r>
      <w:r w:rsidR="00127A3E">
        <w:rPr>
          <w:rFonts w:cs="Arial"/>
          <w:i/>
        </w:rPr>
        <w:t xml:space="preserve"> </w:t>
      </w:r>
      <w:r w:rsidRPr="00CE070B">
        <w:rPr>
          <w:rFonts w:cs="Arial"/>
          <w:i/>
        </w:rPr>
        <w:t xml:space="preserve">with the full spectrum of the Group’s </w:t>
      </w:r>
      <w:r w:rsidR="00127A3E">
        <w:rPr>
          <w:rFonts w:cs="Arial"/>
          <w:i/>
        </w:rPr>
        <w:t>services</w:t>
      </w:r>
      <w:r w:rsidR="00C455EB">
        <w:rPr>
          <w:rFonts w:cs="Arial"/>
          <w:i/>
        </w:rPr>
        <w:t xml:space="preserve"> and</w:t>
      </w:r>
      <w:r w:rsidRPr="00CE070B">
        <w:rPr>
          <w:rFonts w:cs="Arial"/>
          <w:i/>
        </w:rPr>
        <w:t xml:space="preserve"> </w:t>
      </w:r>
      <w:r w:rsidR="00127A3E" w:rsidRPr="00127A3E">
        <w:rPr>
          <w:rFonts w:cs="Arial"/>
          <w:i/>
        </w:rPr>
        <w:t>work</w:t>
      </w:r>
      <w:r w:rsidR="004E55AE">
        <w:rPr>
          <w:rFonts w:cs="Arial"/>
          <w:i/>
        </w:rPr>
        <w:t>ing</w:t>
      </w:r>
      <w:r w:rsidR="00127A3E" w:rsidRPr="00127A3E">
        <w:rPr>
          <w:rFonts w:cs="Arial"/>
          <w:i/>
        </w:rPr>
        <w:t xml:space="preserve"> </w:t>
      </w:r>
      <w:r w:rsidR="00127A3E">
        <w:rPr>
          <w:rFonts w:cs="Arial"/>
          <w:i/>
        </w:rPr>
        <w:t xml:space="preserve">hand in hand </w:t>
      </w:r>
      <w:r w:rsidR="00127A3E" w:rsidRPr="00127A3E">
        <w:rPr>
          <w:rFonts w:cs="Arial"/>
          <w:i/>
        </w:rPr>
        <w:t>to develop and implement their business and technology agenda</w:t>
      </w:r>
      <w:r w:rsidR="004E55AE">
        <w:rPr>
          <w:rFonts w:cs="Arial"/>
          <w:i/>
        </w:rPr>
        <w:t>s</w:t>
      </w:r>
      <w:r w:rsidRPr="00CE070B">
        <w:rPr>
          <w:rFonts w:cs="Arial"/>
          <w:i/>
        </w:rPr>
        <w:t>.</w:t>
      </w:r>
      <w:bookmarkStart w:id="5" w:name="_GoBack"/>
      <w:bookmarkEnd w:id="5"/>
    </w:p>
    <w:bookmarkEnd w:id="4"/>
    <w:p w14:paraId="4930B1E5" w14:textId="0C5CA5A3" w:rsidR="00FE29BC" w:rsidRDefault="00CE070B" w:rsidP="00CE070B">
      <w:pPr>
        <w:spacing w:before="120" w:after="120" w:line="288" w:lineRule="auto"/>
        <w:rPr>
          <w:i/>
        </w:rPr>
      </w:pPr>
      <w:r w:rsidRPr="00CE070B">
        <w:rPr>
          <w:rFonts w:cs="Arial"/>
          <w:i/>
        </w:rPr>
        <w:t>We are confident that our key strengths and solid financial performances will support our success in 2019</w:t>
      </w:r>
      <w:r w:rsidR="008E6350" w:rsidRPr="008E6350">
        <w:rPr>
          <w:rFonts w:cs="Arial"/>
          <w:i/>
        </w:rPr>
        <w:t>.</w:t>
      </w:r>
      <w:r w:rsidR="00FE29BC">
        <w:rPr>
          <w:i/>
          <w:iCs/>
        </w:rPr>
        <w:t xml:space="preserve">” </w:t>
      </w:r>
    </w:p>
    <w:p w14:paraId="07B898EA" w14:textId="45B6A964" w:rsidR="005228C4" w:rsidRPr="005359A0" w:rsidRDefault="00063A81" w:rsidP="00FE159F">
      <w:pPr>
        <w:spacing w:before="120" w:after="120" w:line="288" w:lineRule="auto"/>
        <w:rPr>
          <w:rFonts w:cs="Arial"/>
          <w:i/>
        </w:rPr>
      </w:pPr>
      <w:r>
        <w:br w:type="page"/>
      </w:r>
    </w:p>
    <w:p w14:paraId="4FCF004E" w14:textId="77777777" w:rsidR="00C91770" w:rsidRPr="005359A0" w:rsidRDefault="00C91770" w:rsidP="00A15CD4">
      <w:pPr>
        <w:pStyle w:val="Heading1"/>
        <w:tabs>
          <w:tab w:val="left" w:pos="8738"/>
        </w:tabs>
      </w:pPr>
      <w:r>
        <w:lastRenderedPageBreak/>
        <w:t>2018 KEY FIGURES</w:t>
      </w:r>
      <w:r>
        <w:tab/>
      </w:r>
    </w:p>
    <w:tbl>
      <w:tblPr>
        <w:tblW w:w="0" w:type="auto"/>
        <w:jc w:val="center"/>
        <w:tblLook w:val="04A0" w:firstRow="1" w:lastRow="0" w:firstColumn="1" w:lastColumn="0" w:noHBand="0" w:noVBand="1"/>
      </w:tblPr>
      <w:tblGrid>
        <w:gridCol w:w="3254"/>
        <w:gridCol w:w="1757"/>
        <w:gridCol w:w="1757"/>
        <w:gridCol w:w="2445"/>
      </w:tblGrid>
      <w:tr w:rsidR="00C91770" w:rsidRPr="005359A0" w14:paraId="53F49AA8" w14:textId="77777777" w:rsidTr="005C082A">
        <w:trPr>
          <w:trHeight w:val="454"/>
          <w:jc w:val="center"/>
        </w:trPr>
        <w:tc>
          <w:tcPr>
            <w:tcW w:w="3254" w:type="dxa"/>
            <w:tcBorders>
              <w:bottom w:val="single" w:sz="4" w:space="0" w:color="30849B"/>
            </w:tcBorders>
            <w:vAlign w:val="center"/>
          </w:tcPr>
          <w:p w14:paraId="534B8C1F" w14:textId="77777777" w:rsidR="00C91770" w:rsidRPr="005359A0" w:rsidRDefault="00C91770" w:rsidP="00C91770">
            <w:pPr>
              <w:keepNext/>
              <w:jc w:val="center"/>
              <w:rPr>
                <w:rFonts w:cs="Arial"/>
                <w:i/>
                <w:sz w:val="16"/>
              </w:rPr>
            </w:pPr>
            <w:r>
              <w:rPr>
                <w:i/>
                <w:sz w:val="16"/>
              </w:rPr>
              <w:t>(In millions of euros)</w:t>
            </w:r>
          </w:p>
        </w:tc>
        <w:tc>
          <w:tcPr>
            <w:tcW w:w="1757" w:type="dxa"/>
            <w:tcBorders>
              <w:bottom w:val="single" w:sz="4" w:space="0" w:color="30849B"/>
            </w:tcBorders>
            <w:vAlign w:val="center"/>
          </w:tcPr>
          <w:p w14:paraId="144B6EA9" w14:textId="77777777" w:rsidR="00C91770" w:rsidRPr="005359A0" w:rsidRDefault="00EB7381" w:rsidP="00C91770">
            <w:pPr>
              <w:keepNext/>
              <w:jc w:val="center"/>
              <w:rPr>
                <w:rFonts w:cs="Arial"/>
                <w:b/>
                <w:sz w:val="16"/>
              </w:rPr>
            </w:pPr>
            <w:r>
              <w:rPr>
                <w:b/>
                <w:sz w:val="16"/>
              </w:rPr>
              <w:t>2017</w:t>
            </w:r>
          </w:p>
          <w:p w14:paraId="2CE1045D" w14:textId="77777777" w:rsidR="006D233D" w:rsidRPr="005359A0" w:rsidRDefault="006D233D" w:rsidP="00C91770">
            <w:pPr>
              <w:keepNext/>
              <w:jc w:val="center"/>
              <w:rPr>
                <w:rFonts w:cs="Arial"/>
                <w:sz w:val="16"/>
              </w:rPr>
            </w:pPr>
            <w:r>
              <w:rPr>
                <w:sz w:val="16"/>
              </w:rPr>
              <w:t>(restated for IFRS15)</w:t>
            </w:r>
          </w:p>
        </w:tc>
        <w:tc>
          <w:tcPr>
            <w:tcW w:w="1757" w:type="dxa"/>
            <w:tcBorders>
              <w:bottom w:val="single" w:sz="4" w:space="0" w:color="30849B"/>
            </w:tcBorders>
            <w:shd w:val="clear" w:color="auto" w:fill="BBE7FF" w:themeFill="accent1" w:themeFillTint="33"/>
            <w:vAlign w:val="center"/>
          </w:tcPr>
          <w:p w14:paraId="4F713BC0" w14:textId="77777777" w:rsidR="00C91770" w:rsidRPr="005359A0" w:rsidRDefault="00EB7381" w:rsidP="00C91770">
            <w:pPr>
              <w:keepNext/>
              <w:jc w:val="center"/>
              <w:rPr>
                <w:rFonts w:cs="Arial"/>
                <w:b/>
                <w:sz w:val="16"/>
              </w:rPr>
            </w:pPr>
            <w:r>
              <w:rPr>
                <w:b/>
                <w:sz w:val="16"/>
              </w:rPr>
              <w:t>2018</w:t>
            </w:r>
          </w:p>
          <w:p w14:paraId="460E1808" w14:textId="77777777" w:rsidR="006D233D" w:rsidRPr="005359A0" w:rsidRDefault="006D233D" w:rsidP="00C91770">
            <w:pPr>
              <w:keepNext/>
              <w:jc w:val="center"/>
              <w:rPr>
                <w:rFonts w:cs="Arial"/>
                <w:b/>
                <w:sz w:val="16"/>
              </w:rPr>
            </w:pPr>
          </w:p>
        </w:tc>
        <w:tc>
          <w:tcPr>
            <w:tcW w:w="2445" w:type="dxa"/>
            <w:tcBorders>
              <w:bottom w:val="single" w:sz="4" w:space="0" w:color="30849B"/>
            </w:tcBorders>
            <w:shd w:val="clear" w:color="auto" w:fill="auto"/>
            <w:vAlign w:val="center"/>
          </w:tcPr>
          <w:p w14:paraId="25BCB83C" w14:textId="77777777" w:rsidR="00C91770" w:rsidRPr="005359A0" w:rsidRDefault="00C91770" w:rsidP="00C91770">
            <w:pPr>
              <w:keepNext/>
              <w:jc w:val="center"/>
              <w:rPr>
                <w:rFonts w:cs="Arial"/>
                <w:b/>
                <w:i/>
                <w:sz w:val="16"/>
              </w:rPr>
            </w:pPr>
            <w:r>
              <w:rPr>
                <w:b/>
                <w:i/>
                <w:sz w:val="16"/>
              </w:rPr>
              <w:t>Change</w:t>
            </w:r>
          </w:p>
        </w:tc>
      </w:tr>
      <w:tr w:rsidR="00EB7381" w:rsidRPr="005359A0" w14:paraId="35DBEC4A" w14:textId="77777777" w:rsidTr="005C082A">
        <w:trPr>
          <w:trHeight w:val="284"/>
          <w:jc w:val="center"/>
        </w:trPr>
        <w:tc>
          <w:tcPr>
            <w:tcW w:w="3254" w:type="dxa"/>
            <w:tcBorders>
              <w:top w:val="single" w:sz="4" w:space="0" w:color="30849B"/>
              <w:bottom w:val="dotted" w:sz="4" w:space="0" w:color="30849B"/>
            </w:tcBorders>
            <w:vAlign w:val="center"/>
          </w:tcPr>
          <w:p w14:paraId="69DDF618" w14:textId="77777777" w:rsidR="00EB7381" w:rsidRPr="005359A0" w:rsidRDefault="00EB7381" w:rsidP="00EB7381">
            <w:pPr>
              <w:keepNext/>
              <w:rPr>
                <w:rFonts w:cs="Arial"/>
                <w:b/>
                <w:sz w:val="16"/>
              </w:rPr>
            </w:pPr>
            <w:r>
              <w:rPr>
                <w:b/>
                <w:sz w:val="16"/>
              </w:rPr>
              <w:t xml:space="preserve">Revenues </w:t>
            </w:r>
          </w:p>
        </w:tc>
        <w:tc>
          <w:tcPr>
            <w:tcW w:w="1757" w:type="dxa"/>
            <w:tcBorders>
              <w:top w:val="single" w:sz="4" w:space="0" w:color="30849B"/>
              <w:bottom w:val="dotted" w:sz="4" w:space="0" w:color="30849B"/>
            </w:tcBorders>
            <w:shd w:val="clear" w:color="auto" w:fill="auto"/>
            <w:vAlign w:val="center"/>
          </w:tcPr>
          <w:p w14:paraId="0336F979" w14:textId="77777777" w:rsidR="00EB7381" w:rsidRPr="005359A0" w:rsidRDefault="00EB7381" w:rsidP="00EB7381">
            <w:pPr>
              <w:keepNext/>
              <w:ind w:left="-170" w:right="366"/>
              <w:jc w:val="right"/>
              <w:rPr>
                <w:rFonts w:cs="Arial"/>
                <w:b/>
                <w:sz w:val="16"/>
              </w:rPr>
            </w:pPr>
            <w:r>
              <w:rPr>
                <w:b/>
                <w:sz w:val="16"/>
              </w:rPr>
              <w:t>12,525</w:t>
            </w:r>
          </w:p>
        </w:tc>
        <w:tc>
          <w:tcPr>
            <w:tcW w:w="1757" w:type="dxa"/>
            <w:tcBorders>
              <w:top w:val="single" w:sz="4" w:space="0" w:color="30849B"/>
              <w:bottom w:val="dotted" w:sz="4" w:space="0" w:color="30849B"/>
            </w:tcBorders>
            <w:shd w:val="clear" w:color="auto" w:fill="BBE7FF" w:themeFill="accent1" w:themeFillTint="33"/>
            <w:vAlign w:val="center"/>
          </w:tcPr>
          <w:p w14:paraId="6F0D4902" w14:textId="77777777" w:rsidR="00EB7381" w:rsidRPr="005359A0" w:rsidRDefault="005C082A" w:rsidP="00EB7381">
            <w:pPr>
              <w:keepNext/>
              <w:ind w:left="-170" w:right="429"/>
              <w:jc w:val="right"/>
              <w:rPr>
                <w:rFonts w:cs="Arial"/>
                <w:b/>
                <w:sz w:val="16"/>
              </w:rPr>
            </w:pPr>
            <w:r>
              <w:rPr>
                <w:b/>
                <w:sz w:val="16"/>
              </w:rPr>
              <w:t>13,197</w:t>
            </w:r>
          </w:p>
        </w:tc>
        <w:tc>
          <w:tcPr>
            <w:tcW w:w="2445" w:type="dxa"/>
            <w:tcBorders>
              <w:top w:val="single" w:sz="4" w:space="0" w:color="30849B"/>
              <w:bottom w:val="dotted" w:sz="4" w:space="0" w:color="30849B"/>
            </w:tcBorders>
            <w:shd w:val="clear" w:color="auto" w:fill="auto"/>
            <w:vAlign w:val="center"/>
          </w:tcPr>
          <w:p w14:paraId="6BB6B874" w14:textId="77777777" w:rsidR="00EB7381" w:rsidRPr="005359A0" w:rsidRDefault="00EB7381" w:rsidP="00EB7381">
            <w:pPr>
              <w:keepNext/>
              <w:jc w:val="center"/>
              <w:rPr>
                <w:b/>
                <w:sz w:val="16"/>
              </w:rPr>
            </w:pPr>
            <w:r>
              <w:rPr>
                <w:b/>
                <w:sz w:val="16"/>
              </w:rPr>
              <w:t>+5.4%</w:t>
            </w:r>
          </w:p>
          <w:p w14:paraId="5BCF2C1B" w14:textId="6319E400" w:rsidR="00EB7381" w:rsidRPr="005359A0" w:rsidRDefault="00EB7381" w:rsidP="00EB7381">
            <w:pPr>
              <w:keepNext/>
              <w:jc w:val="center"/>
              <w:rPr>
                <w:rFonts w:cs="Arial"/>
                <w:b/>
                <w:sz w:val="16"/>
              </w:rPr>
            </w:pPr>
            <w:r>
              <w:rPr>
                <w:b/>
              </w:rPr>
              <w:t>+8.1%</w:t>
            </w:r>
            <w:r>
              <w:t xml:space="preserve"> at constant exchange rates</w:t>
            </w:r>
            <w:r w:rsidR="00A3625B" w:rsidRPr="005359A0">
              <w:rPr>
                <w:rFonts w:cs="Arial"/>
                <w:b/>
                <w:bCs/>
                <w:szCs w:val="18"/>
                <w:vertAlign w:val="superscript"/>
              </w:rPr>
              <w:fldChar w:fldCharType="begin"/>
            </w:r>
            <w:r w:rsidR="00A3625B" w:rsidRPr="005359A0">
              <w:rPr>
                <w:rFonts w:cs="Arial"/>
                <w:b/>
                <w:bCs/>
                <w:szCs w:val="18"/>
                <w:vertAlign w:val="superscript"/>
              </w:rPr>
              <w:instrText xml:space="preserve"> NOTEREF _Ref536089963 \h  \* MERGEFORMAT </w:instrText>
            </w:r>
            <w:r w:rsidR="00A3625B" w:rsidRPr="005359A0">
              <w:rPr>
                <w:rFonts w:cs="Arial"/>
                <w:b/>
                <w:bCs/>
                <w:szCs w:val="18"/>
                <w:vertAlign w:val="superscript"/>
              </w:rPr>
            </w:r>
            <w:r w:rsidR="00A3625B" w:rsidRPr="005359A0">
              <w:rPr>
                <w:rFonts w:cs="Arial"/>
                <w:b/>
                <w:bCs/>
                <w:szCs w:val="18"/>
                <w:vertAlign w:val="superscript"/>
              </w:rPr>
              <w:fldChar w:fldCharType="separate"/>
            </w:r>
            <w:r w:rsidR="00E35E4F" w:rsidRPr="00E35E4F">
              <w:rPr>
                <w:vertAlign w:val="superscript"/>
              </w:rPr>
              <w:t>*</w:t>
            </w:r>
            <w:r w:rsidR="00A3625B" w:rsidRPr="005359A0">
              <w:rPr>
                <w:rFonts w:cs="Arial"/>
                <w:b/>
                <w:bCs/>
                <w:szCs w:val="18"/>
                <w:vertAlign w:val="superscript"/>
              </w:rPr>
              <w:fldChar w:fldCharType="end"/>
            </w:r>
          </w:p>
        </w:tc>
      </w:tr>
      <w:tr w:rsidR="00EB7381" w:rsidRPr="005359A0" w14:paraId="612EE066" w14:textId="77777777" w:rsidTr="005C082A">
        <w:trPr>
          <w:trHeight w:val="284"/>
          <w:jc w:val="center"/>
        </w:trPr>
        <w:tc>
          <w:tcPr>
            <w:tcW w:w="3254" w:type="dxa"/>
            <w:tcBorders>
              <w:top w:val="dotted" w:sz="4" w:space="0" w:color="30849B"/>
            </w:tcBorders>
            <w:vAlign w:val="center"/>
          </w:tcPr>
          <w:p w14:paraId="51049C9D" w14:textId="77777777" w:rsidR="00EB7381" w:rsidRPr="005359A0" w:rsidRDefault="00EB7381" w:rsidP="00EB7381">
            <w:pPr>
              <w:keepNext/>
              <w:rPr>
                <w:rFonts w:cs="Arial"/>
                <w:b/>
                <w:sz w:val="16"/>
              </w:rPr>
            </w:pPr>
            <w:r>
              <w:rPr>
                <w:b/>
              </w:rPr>
              <w:t>Operating margin</w:t>
            </w:r>
            <w:r w:rsidR="00605361" w:rsidRPr="00325B31">
              <w:rPr>
                <w:rFonts w:cs="Arial"/>
                <w:bCs/>
                <w:szCs w:val="18"/>
                <w:vertAlign w:val="superscript"/>
              </w:rPr>
              <w:fldChar w:fldCharType="begin"/>
            </w:r>
            <w:r w:rsidR="00605361" w:rsidRPr="00325B31">
              <w:rPr>
                <w:rFonts w:cs="Arial"/>
                <w:bCs/>
                <w:szCs w:val="18"/>
                <w:vertAlign w:val="superscript"/>
              </w:rPr>
              <w:instrText xml:space="preserve"> NOTEREF _Ref536089963 \h  \* MERGEFORMAT </w:instrText>
            </w:r>
            <w:r w:rsidR="00605361" w:rsidRPr="00325B31">
              <w:rPr>
                <w:rFonts w:cs="Arial"/>
                <w:bCs/>
                <w:szCs w:val="18"/>
                <w:vertAlign w:val="superscript"/>
              </w:rPr>
            </w:r>
            <w:r w:rsidR="00605361" w:rsidRPr="00325B31">
              <w:rPr>
                <w:rFonts w:cs="Arial"/>
                <w:bCs/>
                <w:szCs w:val="18"/>
                <w:vertAlign w:val="superscript"/>
              </w:rPr>
              <w:fldChar w:fldCharType="separate"/>
            </w:r>
            <w:r w:rsidR="00E35E4F" w:rsidRPr="00325B31">
              <w:rPr>
                <w:vertAlign w:val="superscript"/>
              </w:rPr>
              <w:t>*</w:t>
            </w:r>
            <w:r w:rsidR="00605361" w:rsidRPr="00325B31">
              <w:rPr>
                <w:rFonts w:cs="Arial"/>
                <w:bCs/>
                <w:szCs w:val="18"/>
                <w:vertAlign w:val="superscript"/>
              </w:rPr>
              <w:fldChar w:fldCharType="end"/>
            </w:r>
          </w:p>
        </w:tc>
        <w:tc>
          <w:tcPr>
            <w:tcW w:w="1757" w:type="dxa"/>
            <w:tcBorders>
              <w:top w:val="dotted" w:sz="4" w:space="0" w:color="30849B"/>
            </w:tcBorders>
            <w:shd w:val="clear" w:color="auto" w:fill="auto"/>
            <w:vAlign w:val="center"/>
          </w:tcPr>
          <w:p w14:paraId="38F902AF" w14:textId="77777777" w:rsidR="00EB7381" w:rsidRPr="005359A0" w:rsidRDefault="00EB7381" w:rsidP="00EB7381">
            <w:pPr>
              <w:keepNext/>
              <w:ind w:left="-170" w:right="366"/>
              <w:jc w:val="right"/>
              <w:rPr>
                <w:rFonts w:cs="Arial"/>
                <w:b/>
                <w:sz w:val="16"/>
              </w:rPr>
            </w:pPr>
            <w:r>
              <w:rPr>
                <w:b/>
                <w:sz w:val="16"/>
              </w:rPr>
              <w:t>1,493</w:t>
            </w:r>
          </w:p>
        </w:tc>
        <w:tc>
          <w:tcPr>
            <w:tcW w:w="1757" w:type="dxa"/>
            <w:tcBorders>
              <w:top w:val="dotted" w:sz="4" w:space="0" w:color="30849B"/>
            </w:tcBorders>
            <w:shd w:val="clear" w:color="auto" w:fill="BBE7FF" w:themeFill="accent1" w:themeFillTint="33"/>
            <w:vAlign w:val="center"/>
          </w:tcPr>
          <w:p w14:paraId="43E8D0A3" w14:textId="77777777" w:rsidR="00EB7381" w:rsidRPr="005359A0" w:rsidRDefault="00EB7381" w:rsidP="00EB7381">
            <w:pPr>
              <w:keepNext/>
              <w:ind w:left="-170" w:right="429"/>
              <w:jc w:val="right"/>
              <w:rPr>
                <w:rFonts w:cs="Arial"/>
                <w:b/>
                <w:sz w:val="16"/>
              </w:rPr>
            </w:pPr>
            <w:r>
              <w:rPr>
                <w:b/>
                <w:sz w:val="16"/>
              </w:rPr>
              <w:t>1,597</w:t>
            </w:r>
          </w:p>
        </w:tc>
        <w:tc>
          <w:tcPr>
            <w:tcW w:w="2445" w:type="dxa"/>
            <w:tcBorders>
              <w:top w:val="dotted" w:sz="4" w:space="0" w:color="30849B"/>
            </w:tcBorders>
            <w:shd w:val="clear" w:color="auto" w:fill="auto"/>
            <w:vAlign w:val="center"/>
          </w:tcPr>
          <w:p w14:paraId="5598C79E" w14:textId="77777777" w:rsidR="00EB7381" w:rsidRPr="005359A0" w:rsidRDefault="006E2F3D" w:rsidP="00EB7381">
            <w:pPr>
              <w:keepNext/>
              <w:jc w:val="center"/>
              <w:rPr>
                <w:rFonts w:cs="Arial"/>
                <w:b/>
                <w:sz w:val="16"/>
              </w:rPr>
            </w:pPr>
            <w:r>
              <w:rPr>
                <w:b/>
                <w:sz w:val="16"/>
              </w:rPr>
              <w:t>+7%</w:t>
            </w:r>
          </w:p>
        </w:tc>
      </w:tr>
      <w:tr w:rsidR="00EB7381" w:rsidRPr="005359A0" w14:paraId="0E0EC8CC" w14:textId="77777777" w:rsidTr="005C082A">
        <w:trPr>
          <w:trHeight w:val="284"/>
          <w:jc w:val="center"/>
        </w:trPr>
        <w:tc>
          <w:tcPr>
            <w:tcW w:w="3254" w:type="dxa"/>
            <w:tcBorders>
              <w:bottom w:val="dotted" w:sz="4" w:space="0" w:color="30849B"/>
            </w:tcBorders>
            <w:vAlign w:val="center"/>
          </w:tcPr>
          <w:p w14:paraId="5E638763" w14:textId="77777777" w:rsidR="00EB7381" w:rsidRPr="005359A0" w:rsidRDefault="00EB7381" w:rsidP="00EB7381">
            <w:pPr>
              <w:keepNext/>
              <w:ind w:left="170"/>
              <w:rPr>
                <w:rFonts w:cs="Arial"/>
                <w:i/>
                <w:sz w:val="16"/>
              </w:rPr>
            </w:pPr>
            <w:r>
              <w:rPr>
                <w:i/>
                <w:sz w:val="16"/>
              </w:rPr>
              <w:t>as a % of revenues</w:t>
            </w:r>
          </w:p>
        </w:tc>
        <w:tc>
          <w:tcPr>
            <w:tcW w:w="1757" w:type="dxa"/>
            <w:tcBorders>
              <w:bottom w:val="dotted" w:sz="4" w:space="0" w:color="30849B"/>
            </w:tcBorders>
            <w:shd w:val="clear" w:color="auto" w:fill="auto"/>
            <w:vAlign w:val="center"/>
          </w:tcPr>
          <w:p w14:paraId="2B4DD51B" w14:textId="77777777" w:rsidR="00EB7381" w:rsidRPr="005359A0" w:rsidRDefault="00EB7381" w:rsidP="00EB7381">
            <w:pPr>
              <w:keepNext/>
              <w:ind w:left="-170" w:right="366"/>
              <w:jc w:val="right"/>
              <w:rPr>
                <w:rFonts w:cs="Arial"/>
                <w:i/>
                <w:sz w:val="16"/>
              </w:rPr>
            </w:pPr>
            <w:r>
              <w:rPr>
                <w:i/>
                <w:sz w:val="16"/>
              </w:rPr>
              <w:t>11.9%</w:t>
            </w:r>
          </w:p>
        </w:tc>
        <w:tc>
          <w:tcPr>
            <w:tcW w:w="1757" w:type="dxa"/>
            <w:tcBorders>
              <w:bottom w:val="dotted" w:sz="4" w:space="0" w:color="30849B"/>
            </w:tcBorders>
            <w:shd w:val="clear" w:color="auto" w:fill="BBE7FF" w:themeFill="accent1" w:themeFillTint="33"/>
            <w:vAlign w:val="center"/>
          </w:tcPr>
          <w:p w14:paraId="63F5351D" w14:textId="77777777" w:rsidR="00EB7381" w:rsidRPr="005359A0" w:rsidRDefault="00FB7C73" w:rsidP="00EB7381">
            <w:pPr>
              <w:keepNext/>
              <w:ind w:left="-170" w:right="429"/>
              <w:jc w:val="right"/>
              <w:rPr>
                <w:rFonts w:cs="Arial"/>
                <w:i/>
                <w:sz w:val="16"/>
              </w:rPr>
            </w:pPr>
            <w:r>
              <w:rPr>
                <w:i/>
                <w:sz w:val="16"/>
              </w:rPr>
              <w:t>12.1%</w:t>
            </w:r>
          </w:p>
        </w:tc>
        <w:tc>
          <w:tcPr>
            <w:tcW w:w="2445" w:type="dxa"/>
            <w:tcBorders>
              <w:bottom w:val="dotted" w:sz="4" w:space="0" w:color="30849B"/>
            </w:tcBorders>
            <w:shd w:val="clear" w:color="auto" w:fill="auto"/>
            <w:vAlign w:val="center"/>
          </w:tcPr>
          <w:p w14:paraId="51037E3D" w14:textId="77777777" w:rsidR="00EB7381" w:rsidRPr="005359A0" w:rsidRDefault="00EB7381" w:rsidP="00EB7381">
            <w:pPr>
              <w:keepNext/>
              <w:jc w:val="center"/>
              <w:rPr>
                <w:rFonts w:cs="Arial"/>
                <w:i/>
                <w:sz w:val="16"/>
              </w:rPr>
            </w:pPr>
            <w:r>
              <w:rPr>
                <w:b/>
                <w:sz w:val="16"/>
              </w:rPr>
              <w:t>+20 basis points</w:t>
            </w:r>
          </w:p>
        </w:tc>
      </w:tr>
      <w:tr w:rsidR="00EB7381" w:rsidRPr="005359A0" w14:paraId="0A882305" w14:textId="77777777" w:rsidTr="005C082A">
        <w:trPr>
          <w:trHeight w:val="284"/>
          <w:jc w:val="center"/>
        </w:trPr>
        <w:tc>
          <w:tcPr>
            <w:tcW w:w="3254" w:type="dxa"/>
            <w:tcBorders>
              <w:top w:val="dotted" w:sz="4" w:space="0" w:color="30849B"/>
            </w:tcBorders>
            <w:vAlign w:val="center"/>
          </w:tcPr>
          <w:p w14:paraId="6839FD65" w14:textId="77777777" w:rsidR="00EB7381" w:rsidRPr="005359A0" w:rsidRDefault="00EB7381" w:rsidP="00EB7381">
            <w:pPr>
              <w:keepNext/>
              <w:rPr>
                <w:rFonts w:cs="Arial"/>
                <w:b/>
                <w:sz w:val="16"/>
              </w:rPr>
            </w:pPr>
            <w:r>
              <w:rPr>
                <w:b/>
                <w:sz w:val="16"/>
              </w:rPr>
              <w:t>Operating profit</w:t>
            </w:r>
          </w:p>
        </w:tc>
        <w:tc>
          <w:tcPr>
            <w:tcW w:w="1757" w:type="dxa"/>
            <w:tcBorders>
              <w:top w:val="dotted" w:sz="4" w:space="0" w:color="30849B"/>
            </w:tcBorders>
            <w:shd w:val="clear" w:color="auto" w:fill="auto"/>
            <w:vAlign w:val="center"/>
          </w:tcPr>
          <w:p w14:paraId="13BAE9E1" w14:textId="77777777" w:rsidR="00EB7381" w:rsidRPr="005359A0" w:rsidRDefault="00EB7381" w:rsidP="00EB7381">
            <w:pPr>
              <w:keepNext/>
              <w:ind w:left="-170" w:right="366"/>
              <w:jc w:val="right"/>
              <w:rPr>
                <w:rFonts w:cs="Arial"/>
                <w:b/>
                <w:sz w:val="16"/>
              </w:rPr>
            </w:pPr>
            <w:r>
              <w:rPr>
                <w:b/>
                <w:sz w:val="16"/>
              </w:rPr>
              <w:t>1,183</w:t>
            </w:r>
          </w:p>
        </w:tc>
        <w:tc>
          <w:tcPr>
            <w:tcW w:w="1757" w:type="dxa"/>
            <w:tcBorders>
              <w:top w:val="dotted" w:sz="4" w:space="0" w:color="30849B"/>
            </w:tcBorders>
            <w:shd w:val="clear" w:color="auto" w:fill="BBE7FF" w:themeFill="accent1" w:themeFillTint="33"/>
            <w:vAlign w:val="center"/>
          </w:tcPr>
          <w:p w14:paraId="04AB1C95" w14:textId="77777777" w:rsidR="00EB7381" w:rsidRPr="005359A0" w:rsidRDefault="00EB7381" w:rsidP="00EB7381">
            <w:pPr>
              <w:keepNext/>
              <w:ind w:left="-170" w:right="429"/>
              <w:jc w:val="right"/>
              <w:rPr>
                <w:rFonts w:cs="Arial"/>
                <w:b/>
                <w:sz w:val="16"/>
              </w:rPr>
            </w:pPr>
            <w:r>
              <w:rPr>
                <w:b/>
                <w:sz w:val="16"/>
              </w:rPr>
              <w:t>1,251</w:t>
            </w:r>
          </w:p>
        </w:tc>
        <w:tc>
          <w:tcPr>
            <w:tcW w:w="2445" w:type="dxa"/>
            <w:tcBorders>
              <w:top w:val="dotted" w:sz="4" w:space="0" w:color="30849B"/>
            </w:tcBorders>
            <w:shd w:val="clear" w:color="auto" w:fill="auto"/>
            <w:vAlign w:val="center"/>
          </w:tcPr>
          <w:p w14:paraId="33742A51" w14:textId="77777777" w:rsidR="00EB7381" w:rsidRPr="005359A0" w:rsidRDefault="00EB7381" w:rsidP="00EB7381">
            <w:pPr>
              <w:keepNext/>
              <w:jc w:val="center"/>
              <w:rPr>
                <w:rFonts w:cs="Arial"/>
                <w:b/>
                <w:sz w:val="16"/>
              </w:rPr>
            </w:pPr>
          </w:p>
        </w:tc>
      </w:tr>
      <w:tr w:rsidR="00EB7381" w:rsidRPr="005359A0" w14:paraId="5193EF61" w14:textId="77777777" w:rsidTr="005C082A">
        <w:trPr>
          <w:trHeight w:val="284"/>
          <w:jc w:val="center"/>
        </w:trPr>
        <w:tc>
          <w:tcPr>
            <w:tcW w:w="3254" w:type="dxa"/>
            <w:tcBorders>
              <w:bottom w:val="dotted" w:sz="4" w:space="0" w:color="30849B"/>
            </w:tcBorders>
            <w:vAlign w:val="center"/>
          </w:tcPr>
          <w:p w14:paraId="23B43622" w14:textId="77777777" w:rsidR="00EB7381" w:rsidRPr="005359A0" w:rsidRDefault="00EB7381" w:rsidP="00EB7381">
            <w:pPr>
              <w:keepNext/>
              <w:ind w:left="170"/>
              <w:rPr>
                <w:rFonts w:cs="Arial"/>
                <w:i/>
                <w:sz w:val="16"/>
              </w:rPr>
            </w:pPr>
            <w:r>
              <w:rPr>
                <w:i/>
                <w:sz w:val="16"/>
              </w:rPr>
              <w:t>as a % of revenues</w:t>
            </w:r>
          </w:p>
        </w:tc>
        <w:tc>
          <w:tcPr>
            <w:tcW w:w="1757" w:type="dxa"/>
            <w:tcBorders>
              <w:bottom w:val="dotted" w:sz="4" w:space="0" w:color="30849B"/>
            </w:tcBorders>
            <w:shd w:val="clear" w:color="auto" w:fill="auto"/>
            <w:vAlign w:val="center"/>
          </w:tcPr>
          <w:p w14:paraId="538D7C7C" w14:textId="77777777" w:rsidR="00EB7381" w:rsidRPr="005359A0" w:rsidRDefault="00EB7381" w:rsidP="00EB7381">
            <w:pPr>
              <w:keepNext/>
              <w:ind w:left="-170" w:right="366"/>
              <w:jc w:val="right"/>
              <w:rPr>
                <w:rFonts w:cs="Arial"/>
                <w:i/>
                <w:sz w:val="16"/>
              </w:rPr>
            </w:pPr>
            <w:r>
              <w:rPr>
                <w:i/>
                <w:sz w:val="16"/>
              </w:rPr>
              <w:t>9.4%</w:t>
            </w:r>
          </w:p>
        </w:tc>
        <w:tc>
          <w:tcPr>
            <w:tcW w:w="1757" w:type="dxa"/>
            <w:tcBorders>
              <w:bottom w:val="dotted" w:sz="4" w:space="0" w:color="30849B"/>
            </w:tcBorders>
            <w:shd w:val="clear" w:color="auto" w:fill="BBE7FF" w:themeFill="accent1" w:themeFillTint="33"/>
            <w:vAlign w:val="center"/>
          </w:tcPr>
          <w:p w14:paraId="75ED7B7B" w14:textId="77777777" w:rsidR="00EB7381" w:rsidRPr="005359A0" w:rsidRDefault="00EB7381" w:rsidP="00EB7381">
            <w:pPr>
              <w:keepNext/>
              <w:ind w:left="-170" w:right="429"/>
              <w:jc w:val="right"/>
              <w:rPr>
                <w:rFonts w:cs="Arial"/>
                <w:i/>
                <w:sz w:val="16"/>
              </w:rPr>
            </w:pPr>
            <w:r>
              <w:rPr>
                <w:i/>
                <w:sz w:val="16"/>
              </w:rPr>
              <w:t>9.5%</w:t>
            </w:r>
          </w:p>
        </w:tc>
        <w:tc>
          <w:tcPr>
            <w:tcW w:w="2445" w:type="dxa"/>
            <w:tcBorders>
              <w:bottom w:val="dotted" w:sz="4" w:space="0" w:color="30849B"/>
            </w:tcBorders>
            <w:shd w:val="clear" w:color="auto" w:fill="auto"/>
            <w:vAlign w:val="center"/>
          </w:tcPr>
          <w:p w14:paraId="32A7271A" w14:textId="77777777" w:rsidR="00EB7381" w:rsidRPr="005359A0" w:rsidRDefault="00EB7381" w:rsidP="00EB7381">
            <w:pPr>
              <w:keepNext/>
              <w:jc w:val="center"/>
              <w:rPr>
                <w:rFonts w:cs="Arial"/>
                <w:i/>
                <w:sz w:val="16"/>
              </w:rPr>
            </w:pPr>
          </w:p>
        </w:tc>
      </w:tr>
      <w:tr w:rsidR="00EB7381" w:rsidRPr="005359A0" w14:paraId="05213C3B" w14:textId="77777777" w:rsidTr="005C082A">
        <w:trPr>
          <w:trHeight w:val="284"/>
          <w:jc w:val="center"/>
        </w:trPr>
        <w:tc>
          <w:tcPr>
            <w:tcW w:w="3254" w:type="dxa"/>
            <w:tcBorders>
              <w:top w:val="dotted" w:sz="4" w:space="0" w:color="30849B"/>
            </w:tcBorders>
            <w:vAlign w:val="center"/>
          </w:tcPr>
          <w:p w14:paraId="33533B66" w14:textId="77777777" w:rsidR="00EB7381" w:rsidRPr="005359A0" w:rsidRDefault="00EB7381" w:rsidP="00EB7381">
            <w:pPr>
              <w:keepNext/>
              <w:rPr>
                <w:rFonts w:cs="Arial"/>
                <w:b/>
                <w:sz w:val="16"/>
              </w:rPr>
            </w:pPr>
            <w:r>
              <w:rPr>
                <w:b/>
                <w:sz w:val="16"/>
              </w:rPr>
              <w:t>Net profit (Group share)</w:t>
            </w:r>
          </w:p>
        </w:tc>
        <w:tc>
          <w:tcPr>
            <w:tcW w:w="1757" w:type="dxa"/>
            <w:tcBorders>
              <w:top w:val="dotted" w:sz="4" w:space="0" w:color="30849B"/>
            </w:tcBorders>
            <w:shd w:val="clear" w:color="auto" w:fill="auto"/>
            <w:vAlign w:val="center"/>
          </w:tcPr>
          <w:p w14:paraId="1B1A85C2" w14:textId="77777777" w:rsidR="00EB7381" w:rsidRPr="005359A0" w:rsidRDefault="00EB7381" w:rsidP="00EB7381">
            <w:pPr>
              <w:keepNext/>
              <w:ind w:left="-170" w:right="366"/>
              <w:jc w:val="right"/>
              <w:rPr>
                <w:rFonts w:cs="Arial"/>
                <w:b/>
                <w:sz w:val="16"/>
              </w:rPr>
            </w:pPr>
            <w:r>
              <w:rPr>
                <w:b/>
                <w:sz w:val="16"/>
              </w:rPr>
              <w:t>820</w:t>
            </w:r>
          </w:p>
        </w:tc>
        <w:tc>
          <w:tcPr>
            <w:tcW w:w="1757" w:type="dxa"/>
            <w:tcBorders>
              <w:top w:val="dotted" w:sz="4" w:space="0" w:color="30849B"/>
            </w:tcBorders>
            <w:shd w:val="clear" w:color="auto" w:fill="BBE7FF" w:themeFill="accent1" w:themeFillTint="33"/>
            <w:vAlign w:val="center"/>
          </w:tcPr>
          <w:p w14:paraId="638A24D0" w14:textId="77777777" w:rsidR="00EB7381" w:rsidRPr="005359A0" w:rsidRDefault="00C32556" w:rsidP="00EB7381">
            <w:pPr>
              <w:keepNext/>
              <w:ind w:left="-170" w:right="429"/>
              <w:jc w:val="right"/>
              <w:rPr>
                <w:rFonts w:cs="Arial"/>
                <w:b/>
                <w:sz w:val="16"/>
              </w:rPr>
            </w:pPr>
            <w:r>
              <w:rPr>
                <w:b/>
                <w:sz w:val="16"/>
              </w:rPr>
              <w:t>730</w:t>
            </w:r>
          </w:p>
        </w:tc>
        <w:tc>
          <w:tcPr>
            <w:tcW w:w="2445" w:type="dxa"/>
            <w:tcBorders>
              <w:top w:val="dotted" w:sz="4" w:space="0" w:color="30849B"/>
            </w:tcBorders>
            <w:shd w:val="clear" w:color="auto" w:fill="auto"/>
            <w:vAlign w:val="center"/>
          </w:tcPr>
          <w:p w14:paraId="45B32863" w14:textId="77777777" w:rsidR="00EB7381" w:rsidRPr="005359A0" w:rsidRDefault="00EB7381" w:rsidP="00EB7381">
            <w:pPr>
              <w:keepNext/>
              <w:jc w:val="center"/>
              <w:rPr>
                <w:rFonts w:cs="Arial"/>
                <w:b/>
                <w:sz w:val="16"/>
              </w:rPr>
            </w:pPr>
          </w:p>
        </w:tc>
      </w:tr>
      <w:tr w:rsidR="00EB7381" w:rsidRPr="005359A0" w14:paraId="6DB03210" w14:textId="77777777" w:rsidTr="005C082A">
        <w:trPr>
          <w:trHeight w:val="284"/>
          <w:jc w:val="center"/>
        </w:trPr>
        <w:tc>
          <w:tcPr>
            <w:tcW w:w="3254" w:type="dxa"/>
            <w:vAlign w:val="center"/>
          </w:tcPr>
          <w:p w14:paraId="671043E0" w14:textId="77777777" w:rsidR="00EB7381" w:rsidRPr="005359A0" w:rsidRDefault="00EB7381" w:rsidP="00EB7381">
            <w:pPr>
              <w:keepNext/>
              <w:ind w:left="170"/>
              <w:rPr>
                <w:rFonts w:cs="Arial"/>
                <w:sz w:val="16"/>
              </w:rPr>
            </w:pPr>
            <w:r>
              <w:rPr>
                <w:sz w:val="16"/>
              </w:rPr>
              <w:t>Basic earnings per share (€)</w:t>
            </w:r>
          </w:p>
        </w:tc>
        <w:tc>
          <w:tcPr>
            <w:tcW w:w="1757" w:type="dxa"/>
            <w:shd w:val="clear" w:color="auto" w:fill="auto"/>
            <w:vAlign w:val="center"/>
          </w:tcPr>
          <w:p w14:paraId="7608DB2A" w14:textId="77777777" w:rsidR="00EB7381" w:rsidRPr="005359A0" w:rsidRDefault="00EB7381" w:rsidP="00EB7381">
            <w:pPr>
              <w:keepNext/>
              <w:ind w:left="-170" w:right="366"/>
              <w:jc w:val="right"/>
              <w:rPr>
                <w:rFonts w:cs="Arial"/>
                <w:sz w:val="16"/>
              </w:rPr>
            </w:pPr>
            <w:r>
              <w:rPr>
                <w:sz w:val="16"/>
              </w:rPr>
              <w:t>4.88</w:t>
            </w:r>
          </w:p>
        </w:tc>
        <w:tc>
          <w:tcPr>
            <w:tcW w:w="1757" w:type="dxa"/>
            <w:shd w:val="clear" w:color="auto" w:fill="BBE7FF" w:themeFill="accent1" w:themeFillTint="33"/>
            <w:vAlign w:val="center"/>
          </w:tcPr>
          <w:p w14:paraId="4CCCBE96" w14:textId="77777777" w:rsidR="00EB7381" w:rsidRPr="005359A0" w:rsidRDefault="00BD14FC" w:rsidP="00EB7381">
            <w:pPr>
              <w:keepNext/>
              <w:ind w:left="-170" w:right="429"/>
              <w:jc w:val="right"/>
              <w:rPr>
                <w:rFonts w:cs="Arial"/>
                <w:sz w:val="16"/>
              </w:rPr>
            </w:pPr>
            <w:r>
              <w:rPr>
                <w:sz w:val="16"/>
              </w:rPr>
              <w:t>4.37</w:t>
            </w:r>
          </w:p>
        </w:tc>
        <w:tc>
          <w:tcPr>
            <w:tcW w:w="2445" w:type="dxa"/>
            <w:shd w:val="clear" w:color="auto" w:fill="auto"/>
            <w:vAlign w:val="center"/>
          </w:tcPr>
          <w:p w14:paraId="65B862B9" w14:textId="77777777" w:rsidR="00EB7381" w:rsidRPr="005359A0" w:rsidRDefault="00BD14FC" w:rsidP="00EB7381">
            <w:pPr>
              <w:keepNext/>
              <w:jc w:val="center"/>
              <w:rPr>
                <w:rFonts w:cs="Arial"/>
                <w:sz w:val="16"/>
              </w:rPr>
            </w:pPr>
            <w:r>
              <w:rPr>
                <w:sz w:val="16"/>
              </w:rPr>
              <w:t>-10%</w:t>
            </w:r>
          </w:p>
        </w:tc>
      </w:tr>
      <w:tr w:rsidR="00BD14FC" w:rsidRPr="005359A0" w14:paraId="6AC24C0C" w14:textId="77777777" w:rsidTr="005C082A">
        <w:trPr>
          <w:trHeight w:val="284"/>
          <w:jc w:val="center"/>
        </w:trPr>
        <w:tc>
          <w:tcPr>
            <w:tcW w:w="3254" w:type="dxa"/>
            <w:tcBorders>
              <w:bottom w:val="single" w:sz="4" w:space="0" w:color="0070AD" w:themeColor="accent1"/>
            </w:tcBorders>
            <w:vAlign w:val="center"/>
          </w:tcPr>
          <w:p w14:paraId="1B7D8E5E" w14:textId="77777777" w:rsidR="00BD14FC" w:rsidRPr="005359A0" w:rsidRDefault="00BD14FC" w:rsidP="00BD14FC">
            <w:pPr>
              <w:keepNext/>
              <w:ind w:left="170"/>
              <w:rPr>
                <w:rFonts w:cs="Arial"/>
                <w:sz w:val="16"/>
              </w:rPr>
            </w:pPr>
            <w:r w:rsidRPr="00767DF1">
              <w:rPr>
                <w:sz w:val="16"/>
              </w:rPr>
              <w:t>Normalized earnings per share (€)</w:t>
            </w:r>
            <w:r w:rsidR="00A3625B" w:rsidRPr="00767DF1">
              <w:rPr>
                <w:rFonts w:cs="Arial"/>
                <w:b/>
                <w:bCs/>
                <w:sz w:val="16"/>
                <w:szCs w:val="18"/>
                <w:vertAlign w:val="superscript"/>
              </w:rPr>
              <w:fldChar w:fldCharType="begin"/>
            </w:r>
            <w:r w:rsidR="00A3625B" w:rsidRPr="00767DF1">
              <w:rPr>
                <w:rFonts w:cs="Arial"/>
                <w:b/>
                <w:bCs/>
                <w:sz w:val="16"/>
                <w:szCs w:val="18"/>
                <w:vertAlign w:val="superscript"/>
              </w:rPr>
              <w:instrText xml:space="preserve"> NOTEREF _Ref536089963 \h  \* MERGEFORMAT </w:instrText>
            </w:r>
            <w:r w:rsidR="00A3625B" w:rsidRPr="00767DF1">
              <w:rPr>
                <w:rFonts w:cs="Arial"/>
                <w:b/>
                <w:bCs/>
                <w:sz w:val="16"/>
                <w:szCs w:val="18"/>
                <w:vertAlign w:val="superscript"/>
              </w:rPr>
            </w:r>
            <w:r w:rsidR="00A3625B" w:rsidRPr="00767DF1">
              <w:rPr>
                <w:rFonts w:cs="Arial"/>
                <w:b/>
                <w:bCs/>
                <w:sz w:val="16"/>
                <w:szCs w:val="18"/>
                <w:vertAlign w:val="superscript"/>
              </w:rPr>
              <w:fldChar w:fldCharType="separate"/>
            </w:r>
            <w:r w:rsidR="00E35E4F" w:rsidRPr="00767DF1">
              <w:rPr>
                <w:sz w:val="16"/>
                <w:vertAlign w:val="superscript"/>
              </w:rPr>
              <w:t>*</w:t>
            </w:r>
            <w:r w:rsidR="00A3625B" w:rsidRPr="00767DF1">
              <w:rPr>
                <w:rFonts w:cs="Arial"/>
                <w:b/>
                <w:bCs/>
                <w:sz w:val="16"/>
                <w:szCs w:val="18"/>
                <w:vertAlign w:val="superscript"/>
              </w:rPr>
              <w:fldChar w:fldCharType="end"/>
            </w:r>
          </w:p>
        </w:tc>
        <w:tc>
          <w:tcPr>
            <w:tcW w:w="1757" w:type="dxa"/>
            <w:tcBorders>
              <w:bottom w:val="single" w:sz="4" w:space="0" w:color="0070AD" w:themeColor="accent1"/>
            </w:tcBorders>
            <w:shd w:val="clear" w:color="auto" w:fill="auto"/>
            <w:vAlign w:val="center"/>
          </w:tcPr>
          <w:p w14:paraId="3ACB7E0C" w14:textId="77777777" w:rsidR="00BD14FC" w:rsidRPr="005359A0" w:rsidRDefault="00BD14FC" w:rsidP="00BD14FC">
            <w:pPr>
              <w:keepNext/>
              <w:ind w:left="-170" w:right="366"/>
              <w:jc w:val="right"/>
              <w:rPr>
                <w:rFonts w:cs="Arial"/>
                <w:sz w:val="16"/>
              </w:rPr>
            </w:pPr>
            <w:r>
              <w:rPr>
                <w:rFonts w:ascii="Verdana" w:hAnsi="Verdana"/>
                <w:sz w:val="16"/>
              </w:rPr>
              <w:t>6.22</w:t>
            </w:r>
          </w:p>
        </w:tc>
        <w:tc>
          <w:tcPr>
            <w:tcW w:w="1757" w:type="dxa"/>
            <w:tcBorders>
              <w:bottom w:val="single" w:sz="4" w:space="0" w:color="0070AD" w:themeColor="accent1"/>
            </w:tcBorders>
            <w:shd w:val="clear" w:color="auto" w:fill="BBE7FF" w:themeFill="accent1" w:themeFillTint="33"/>
            <w:vAlign w:val="center"/>
          </w:tcPr>
          <w:p w14:paraId="2BAF5A4B" w14:textId="77777777" w:rsidR="00BD14FC" w:rsidRPr="005359A0" w:rsidRDefault="005165BB" w:rsidP="005165BB">
            <w:pPr>
              <w:keepNext/>
              <w:ind w:left="-170" w:right="392"/>
              <w:jc w:val="right"/>
              <w:rPr>
                <w:rFonts w:cs="Arial"/>
                <w:sz w:val="16"/>
              </w:rPr>
            </w:pPr>
            <w:r>
              <w:rPr>
                <w:sz w:val="16"/>
              </w:rPr>
              <w:t>6.06</w:t>
            </w:r>
            <w:bookmarkStart w:id="6" w:name="_Ref536089531"/>
            <w:r w:rsidRPr="005359A0">
              <w:rPr>
                <w:rStyle w:val="FootnoteReference"/>
                <w:rFonts w:cs="Arial"/>
                <w:sz w:val="16"/>
              </w:rPr>
              <w:footnoteReference w:id="4"/>
            </w:r>
            <w:bookmarkEnd w:id="6"/>
          </w:p>
        </w:tc>
        <w:tc>
          <w:tcPr>
            <w:tcW w:w="2445" w:type="dxa"/>
            <w:tcBorders>
              <w:bottom w:val="single" w:sz="4" w:space="0" w:color="0070AD" w:themeColor="accent1"/>
            </w:tcBorders>
            <w:shd w:val="clear" w:color="auto" w:fill="auto"/>
            <w:vAlign w:val="center"/>
          </w:tcPr>
          <w:p w14:paraId="0127B11D" w14:textId="77777777" w:rsidR="00BD14FC" w:rsidRPr="005359A0" w:rsidRDefault="00BD14FC" w:rsidP="00BD14FC">
            <w:pPr>
              <w:keepNext/>
              <w:jc w:val="center"/>
              <w:rPr>
                <w:rFonts w:cs="Arial"/>
                <w:sz w:val="16"/>
              </w:rPr>
            </w:pPr>
            <w:r>
              <w:rPr>
                <w:sz w:val="16"/>
              </w:rPr>
              <w:t xml:space="preserve"> -3%</w:t>
            </w:r>
          </w:p>
        </w:tc>
      </w:tr>
      <w:tr w:rsidR="00EB7381" w:rsidRPr="005359A0" w14:paraId="3B3148FE" w14:textId="77777777" w:rsidTr="005C082A">
        <w:trPr>
          <w:trHeight w:val="284"/>
          <w:jc w:val="center"/>
        </w:trPr>
        <w:tc>
          <w:tcPr>
            <w:tcW w:w="3254" w:type="dxa"/>
            <w:tcBorders>
              <w:top w:val="single" w:sz="4" w:space="0" w:color="0070AD" w:themeColor="accent1"/>
            </w:tcBorders>
            <w:vAlign w:val="center"/>
          </w:tcPr>
          <w:p w14:paraId="3AEC5023" w14:textId="77777777" w:rsidR="00EB7381" w:rsidRPr="005359A0" w:rsidRDefault="00EB7381" w:rsidP="00EB7381">
            <w:pPr>
              <w:keepNext/>
              <w:rPr>
                <w:rFonts w:cs="Arial"/>
                <w:sz w:val="16"/>
              </w:rPr>
            </w:pPr>
            <w:r>
              <w:rPr>
                <w:b/>
              </w:rPr>
              <w:t>Organic Free Cash Flow</w:t>
            </w:r>
            <w:r w:rsidR="00A3625B" w:rsidRPr="00325B31">
              <w:rPr>
                <w:rFonts w:cs="Arial"/>
                <w:bCs/>
                <w:szCs w:val="18"/>
                <w:vertAlign w:val="superscript"/>
              </w:rPr>
              <w:fldChar w:fldCharType="begin"/>
            </w:r>
            <w:r w:rsidR="00A3625B" w:rsidRPr="00325B31">
              <w:rPr>
                <w:rFonts w:cs="Arial"/>
                <w:bCs/>
                <w:szCs w:val="18"/>
                <w:vertAlign w:val="superscript"/>
              </w:rPr>
              <w:instrText xml:space="preserve"> NOTEREF _Ref536089963 \h  \* MERGEFORMAT </w:instrText>
            </w:r>
            <w:r w:rsidR="00A3625B" w:rsidRPr="00325B31">
              <w:rPr>
                <w:rFonts w:cs="Arial"/>
                <w:bCs/>
                <w:szCs w:val="18"/>
                <w:vertAlign w:val="superscript"/>
              </w:rPr>
            </w:r>
            <w:r w:rsidR="00A3625B" w:rsidRPr="00325B31">
              <w:rPr>
                <w:rFonts w:cs="Arial"/>
                <w:bCs/>
                <w:szCs w:val="18"/>
                <w:vertAlign w:val="superscript"/>
              </w:rPr>
              <w:fldChar w:fldCharType="separate"/>
            </w:r>
            <w:r w:rsidR="00E35E4F" w:rsidRPr="00325B31">
              <w:rPr>
                <w:vertAlign w:val="superscript"/>
              </w:rPr>
              <w:t>*</w:t>
            </w:r>
            <w:r w:rsidR="00A3625B" w:rsidRPr="00325B31">
              <w:rPr>
                <w:rFonts w:cs="Arial"/>
                <w:bCs/>
                <w:szCs w:val="18"/>
                <w:vertAlign w:val="superscript"/>
              </w:rPr>
              <w:fldChar w:fldCharType="end"/>
            </w:r>
          </w:p>
        </w:tc>
        <w:tc>
          <w:tcPr>
            <w:tcW w:w="1757" w:type="dxa"/>
            <w:tcBorders>
              <w:top w:val="single" w:sz="4" w:space="0" w:color="0070AD" w:themeColor="accent1"/>
            </w:tcBorders>
            <w:shd w:val="clear" w:color="auto" w:fill="auto"/>
            <w:vAlign w:val="center"/>
          </w:tcPr>
          <w:p w14:paraId="16CB239D" w14:textId="77777777" w:rsidR="00EB7381" w:rsidRPr="005359A0" w:rsidRDefault="00EB7381" w:rsidP="00EB7381">
            <w:pPr>
              <w:keepNext/>
              <w:ind w:left="-170" w:right="366"/>
              <w:jc w:val="right"/>
              <w:rPr>
                <w:rFonts w:cs="Arial"/>
                <w:b/>
                <w:sz w:val="16"/>
              </w:rPr>
            </w:pPr>
            <w:r>
              <w:rPr>
                <w:b/>
                <w:sz w:val="16"/>
              </w:rPr>
              <w:t>1,080</w:t>
            </w:r>
          </w:p>
        </w:tc>
        <w:tc>
          <w:tcPr>
            <w:tcW w:w="1757" w:type="dxa"/>
            <w:tcBorders>
              <w:top w:val="single" w:sz="4" w:space="0" w:color="0070AD" w:themeColor="accent1"/>
            </w:tcBorders>
            <w:shd w:val="clear" w:color="auto" w:fill="BBE7FF" w:themeFill="accent1" w:themeFillTint="33"/>
            <w:vAlign w:val="center"/>
          </w:tcPr>
          <w:p w14:paraId="0A21E9CC" w14:textId="77777777" w:rsidR="00EB7381" w:rsidRPr="005359A0" w:rsidRDefault="00EB7381" w:rsidP="00EB7381">
            <w:pPr>
              <w:keepNext/>
              <w:ind w:left="-170" w:right="429"/>
              <w:jc w:val="right"/>
              <w:rPr>
                <w:rFonts w:cs="Arial"/>
                <w:b/>
                <w:color w:val="FF0000"/>
                <w:sz w:val="16"/>
              </w:rPr>
            </w:pPr>
            <w:r>
              <w:rPr>
                <w:b/>
                <w:sz w:val="16"/>
              </w:rPr>
              <w:t>1,160</w:t>
            </w:r>
          </w:p>
        </w:tc>
        <w:tc>
          <w:tcPr>
            <w:tcW w:w="2445" w:type="dxa"/>
            <w:tcBorders>
              <w:top w:val="single" w:sz="4" w:space="0" w:color="0070AD" w:themeColor="accent1"/>
            </w:tcBorders>
            <w:shd w:val="clear" w:color="auto" w:fill="auto"/>
            <w:vAlign w:val="center"/>
          </w:tcPr>
          <w:p w14:paraId="5212ED95" w14:textId="77777777" w:rsidR="00EB7381" w:rsidRPr="005359A0" w:rsidRDefault="00EB7381" w:rsidP="00EB7381">
            <w:pPr>
              <w:keepNext/>
              <w:jc w:val="center"/>
              <w:rPr>
                <w:rFonts w:cs="Arial"/>
                <w:b/>
                <w:sz w:val="16"/>
              </w:rPr>
            </w:pPr>
            <w:r>
              <w:rPr>
                <w:b/>
                <w:sz w:val="16"/>
              </w:rPr>
              <w:t>+80M€</w:t>
            </w:r>
          </w:p>
        </w:tc>
      </w:tr>
      <w:tr w:rsidR="00EB7381" w:rsidRPr="005359A0" w14:paraId="3171D739" w14:textId="77777777" w:rsidTr="005C082A">
        <w:trPr>
          <w:trHeight w:val="284"/>
          <w:jc w:val="center"/>
        </w:trPr>
        <w:tc>
          <w:tcPr>
            <w:tcW w:w="3254" w:type="dxa"/>
            <w:tcBorders>
              <w:bottom w:val="single" w:sz="4" w:space="0" w:color="0070AD" w:themeColor="accent1"/>
            </w:tcBorders>
            <w:vAlign w:val="center"/>
          </w:tcPr>
          <w:p w14:paraId="6CCA0645" w14:textId="734CBE18" w:rsidR="00EB7381" w:rsidRPr="005359A0" w:rsidRDefault="00EB7381" w:rsidP="00EB7381">
            <w:pPr>
              <w:keepNext/>
              <w:rPr>
                <w:rFonts w:cs="Arial"/>
                <w:sz w:val="16"/>
              </w:rPr>
            </w:pPr>
            <w:r>
              <w:rPr>
                <w:sz w:val="16"/>
              </w:rPr>
              <w:t>Net cash / (Net debt)</w:t>
            </w:r>
          </w:p>
        </w:tc>
        <w:tc>
          <w:tcPr>
            <w:tcW w:w="1757" w:type="dxa"/>
            <w:tcBorders>
              <w:bottom w:val="single" w:sz="4" w:space="0" w:color="0070AD" w:themeColor="accent1"/>
            </w:tcBorders>
            <w:shd w:val="clear" w:color="auto" w:fill="auto"/>
            <w:vAlign w:val="center"/>
          </w:tcPr>
          <w:p w14:paraId="1D5F88A5" w14:textId="77777777" w:rsidR="00EB7381" w:rsidRPr="005359A0" w:rsidRDefault="00EB7381" w:rsidP="00EB7381">
            <w:pPr>
              <w:keepNext/>
              <w:ind w:left="-170" w:right="366"/>
              <w:jc w:val="right"/>
              <w:rPr>
                <w:rFonts w:cs="Arial"/>
                <w:sz w:val="16"/>
              </w:rPr>
            </w:pPr>
            <w:r>
              <w:rPr>
                <w:sz w:val="16"/>
              </w:rPr>
              <w:t>(1,209)</w:t>
            </w:r>
          </w:p>
        </w:tc>
        <w:tc>
          <w:tcPr>
            <w:tcW w:w="1757" w:type="dxa"/>
            <w:tcBorders>
              <w:bottom w:val="single" w:sz="4" w:space="0" w:color="0070AD" w:themeColor="accent1"/>
            </w:tcBorders>
            <w:shd w:val="clear" w:color="auto" w:fill="BBE7FF" w:themeFill="accent1" w:themeFillTint="33"/>
            <w:vAlign w:val="center"/>
          </w:tcPr>
          <w:p w14:paraId="7509D3EA" w14:textId="77777777" w:rsidR="00EB7381" w:rsidRPr="005359A0" w:rsidRDefault="00EB7381" w:rsidP="00EB7381">
            <w:pPr>
              <w:keepNext/>
              <w:ind w:left="-170" w:right="429"/>
              <w:jc w:val="right"/>
              <w:rPr>
                <w:rFonts w:cs="Arial"/>
                <w:sz w:val="16"/>
              </w:rPr>
            </w:pPr>
            <w:r>
              <w:rPr>
                <w:sz w:val="16"/>
              </w:rPr>
              <w:t>(1,184)</w:t>
            </w:r>
          </w:p>
        </w:tc>
        <w:tc>
          <w:tcPr>
            <w:tcW w:w="2445" w:type="dxa"/>
            <w:tcBorders>
              <w:bottom w:val="single" w:sz="4" w:space="0" w:color="0070AD" w:themeColor="accent1"/>
            </w:tcBorders>
            <w:shd w:val="clear" w:color="auto" w:fill="auto"/>
            <w:vAlign w:val="center"/>
          </w:tcPr>
          <w:p w14:paraId="1513BE22" w14:textId="77777777" w:rsidR="00EB7381" w:rsidRPr="005359A0" w:rsidRDefault="00EB7381" w:rsidP="00EB7381">
            <w:pPr>
              <w:keepNext/>
              <w:jc w:val="center"/>
              <w:rPr>
                <w:rFonts w:cs="Arial"/>
                <w:sz w:val="16"/>
              </w:rPr>
            </w:pPr>
            <w:r>
              <w:rPr>
                <w:sz w:val="16"/>
              </w:rPr>
              <w:t>+25M€</w:t>
            </w:r>
          </w:p>
        </w:tc>
      </w:tr>
    </w:tbl>
    <w:p w14:paraId="775A7A5F" w14:textId="77777777" w:rsidR="007942A0" w:rsidRPr="005359A0" w:rsidRDefault="007942A0">
      <w:pPr>
        <w:rPr>
          <w:rFonts w:cs="Arial"/>
        </w:rPr>
      </w:pPr>
    </w:p>
    <w:p w14:paraId="65159874" w14:textId="347B689A" w:rsidR="00FB3A31" w:rsidRPr="005359A0" w:rsidRDefault="003B72EC" w:rsidP="00980DC7">
      <w:pPr>
        <w:spacing w:before="120" w:after="120" w:line="288" w:lineRule="auto"/>
        <w:rPr>
          <w:rFonts w:cs="Arial"/>
        </w:rPr>
      </w:pPr>
      <w:bookmarkStart w:id="7" w:name="_Hlk504930058"/>
      <w:r>
        <w:t>In 2018, Capgemini met or exceeded all financial targets set at the beginning of the year. The Group strengthened its growth profile, while continuing to improve profitability and organic free cash flow</w:t>
      </w:r>
      <w:r w:rsidR="00A3625B" w:rsidRPr="005359A0">
        <w:rPr>
          <w:rFonts w:cs="Arial"/>
          <w:b/>
          <w:bCs/>
          <w:szCs w:val="18"/>
          <w:vertAlign w:val="superscript"/>
        </w:rPr>
        <w:fldChar w:fldCharType="begin"/>
      </w:r>
      <w:r w:rsidR="00A3625B" w:rsidRPr="005359A0">
        <w:rPr>
          <w:rFonts w:cs="Arial"/>
          <w:b/>
          <w:bCs/>
          <w:szCs w:val="18"/>
          <w:vertAlign w:val="superscript"/>
        </w:rPr>
        <w:instrText xml:space="preserve"> NOTEREF _Ref536089963 \h  \* MERGEFORMAT </w:instrText>
      </w:r>
      <w:r w:rsidR="00A3625B" w:rsidRPr="005359A0">
        <w:rPr>
          <w:rFonts w:cs="Arial"/>
          <w:b/>
          <w:bCs/>
          <w:szCs w:val="18"/>
          <w:vertAlign w:val="superscript"/>
        </w:rPr>
      </w:r>
      <w:r w:rsidR="00A3625B" w:rsidRPr="005359A0">
        <w:rPr>
          <w:rFonts w:cs="Arial"/>
          <w:b/>
          <w:bCs/>
          <w:szCs w:val="18"/>
          <w:vertAlign w:val="superscript"/>
        </w:rPr>
        <w:fldChar w:fldCharType="separate"/>
      </w:r>
      <w:r w:rsidR="00E35E4F" w:rsidRPr="00E35E4F">
        <w:rPr>
          <w:vertAlign w:val="superscript"/>
        </w:rPr>
        <w:t>*</w:t>
      </w:r>
      <w:r w:rsidR="00A3625B" w:rsidRPr="005359A0">
        <w:rPr>
          <w:rFonts w:cs="Arial"/>
          <w:b/>
          <w:bCs/>
          <w:szCs w:val="18"/>
          <w:vertAlign w:val="superscript"/>
        </w:rPr>
        <w:fldChar w:fldCharType="end"/>
      </w:r>
      <w:r>
        <w:t xml:space="preserve"> generation. </w:t>
      </w:r>
    </w:p>
    <w:p w14:paraId="0886836B" w14:textId="6225A6B6" w:rsidR="00C91770" w:rsidRPr="005359A0" w:rsidRDefault="00C91770" w:rsidP="00980DC7">
      <w:pPr>
        <w:spacing w:before="120" w:after="120" w:line="288" w:lineRule="auto"/>
        <w:rPr>
          <w:rFonts w:cs="Arial"/>
        </w:rPr>
      </w:pPr>
      <w:r>
        <w:t xml:space="preserve">In 2018, the Group generated </w:t>
      </w:r>
      <w:r>
        <w:rPr>
          <w:b/>
        </w:rPr>
        <w:t>revenues</w:t>
      </w:r>
      <w:r>
        <w:t xml:space="preserve"> of €13,197 million, up 5.4% compared with 2017. Growth is 8.1% at constant exchange rates</w:t>
      </w:r>
      <w:r w:rsidR="00A3625B" w:rsidRPr="005359A0">
        <w:rPr>
          <w:rFonts w:cs="Arial"/>
          <w:b/>
          <w:bCs/>
          <w:szCs w:val="18"/>
          <w:vertAlign w:val="superscript"/>
        </w:rPr>
        <w:fldChar w:fldCharType="begin"/>
      </w:r>
      <w:r w:rsidR="00A3625B" w:rsidRPr="005359A0">
        <w:rPr>
          <w:rFonts w:cs="Arial"/>
          <w:b/>
          <w:bCs/>
          <w:szCs w:val="18"/>
          <w:vertAlign w:val="superscript"/>
        </w:rPr>
        <w:instrText xml:space="preserve"> NOTEREF _Ref536089963 \h  \* MERGEFORMAT </w:instrText>
      </w:r>
      <w:r w:rsidR="00A3625B" w:rsidRPr="005359A0">
        <w:rPr>
          <w:rFonts w:cs="Arial"/>
          <w:b/>
          <w:bCs/>
          <w:szCs w:val="18"/>
          <w:vertAlign w:val="superscript"/>
        </w:rPr>
      </w:r>
      <w:r w:rsidR="00A3625B" w:rsidRPr="005359A0">
        <w:rPr>
          <w:rFonts w:cs="Arial"/>
          <w:b/>
          <w:bCs/>
          <w:szCs w:val="18"/>
          <w:vertAlign w:val="superscript"/>
        </w:rPr>
        <w:fldChar w:fldCharType="separate"/>
      </w:r>
      <w:r w:rsidR="00E35E4F" w:rsidRPr="00E35E4F">
        <w:rPr>
          <w:vertAlign w:val="superscript"/>
        </w:rPr>
        <w:t>*</w:t>
      </w:r>
      <w:r w:rsidR="00A3625B" w:rsidRPr="005359A0">
        <w:rPr>
          <w:rFonts w:cs="Arial"/>
          <w:b/>
          <w:bCs/>
          <w:szCs w:val="18"/>
          <w:vertAlign w:val="superscript"/>
        </w:rPr>
        <w:fldChar w:fldCharType="end"/>
      </w:r>
      <w:r>
        <w:t>, significantly above the 6% to 7% target communicated at the beginning of the year. Organic growth</w:t>
      </w:r>
      <w:r w:rsidR="00A3625B" w:rsidRPr="005359A0">
        <w:rPr>
          <w:rFonts w:cs="Arial"/>
          <w:b/>
          <w:bCs/>
          <w:szCs w:val="18"/>
          <w:vertAlign w:val="superscript"/>
        </w:rPr>
        <w:fldChar w:fldCharType="begin"/>
      </w:r>
      <w:r w:rsidR="00A3625B" w:rsidRPr="005359A0">
        <w:rPr>
          <w:rFonts w:cs="Arial"/>
          <w:b/>
          <w:bCs/>
          <w:szCs w:val="18"/>
          <w:vertAlign w:val="superscript"/>
        </w:rPr>
        <w:instrText xml:space="preserve"> NOTEREF _Ref536089963 \h  \* MERGEFORMAT </w:instrText>
      </w:r>
      <w:r w:rsidR="00A3625B" w:rsidRPr="005359A0">
        <w:rPr>
          <w:rFonts w:cs="Arial"/>
          <w:b/>
          <w:bCs/>
          <w:szCs w:val="18"/>
          <w:vertAlign w:val="superscript"/>
        </w:rPr>
      </w:r>
      <w:r w:rsidR="00A3625B" w:rsidRPr="005359A0">
        <w:rPr>
          <w:rFonts w:cs="Arial"/>
          <w:b/>
          <w:bCs/>
          <w:szCs w:val="18"/>
          <w:vertAlign w:val="superscript"/>
        </w:rPr>
        <w:fldChar w:fldCharType="separate"/>
      </w:r>
      <w:r w:rsidR="00E35E4F" w:rsidRPr="00E35E4F">
        <w:rPr>
          <w:vertAlign w:val="superscript"/>
        </w:rPr>
        <w:t>*</w:t>
      </w:r>
      <w:r w:rsidR="00A3625B" w:rsidRPr="005359A0">
        <w:rPr>
          <w:rFonts w:cs="Arial"/>
          <w:b/>
          <w:bCs/>
          <w:szCs w:val="18"/>
          <w:vertAlign w:val="superscript"/>
        </w:rPr>
        <w:fldChar w:fldCharType="end"/>
      </w:r>
      <w:r>
        <w:t xml:space="preserve"> (i.e. excluding the impact of currency fluctuations and changes in Group scope) was 6.2%. Q4 growth is 7.8% at constant exchange rates and 5.7% </w:t>
      </w:r>
      <w:r w:rsidR="00710D24">
        <w:t>organic</w:t>
      </w:r>
      <w:r>
        <w:t xml:space="preserve">. </w:t>
      </w:r>
    </w:p>
    <w:bookmarkEnd w:id="7"/>
    <w:p w14:paraId="2B6C5B37" w14:textId="1DF01DC2" w:rsidR="00E2265F" w:rsidRPr="005359A0" w:rsidRDefault="00E2265F" w:rsidP="00980DC7">
      <w:pPr>
        <w:spacing w:before="120" w:after="120" w:line="288" w:lineRule="auto"/>
        <w:rPr>
          <w:rFonts w:ascii="Verdana" w:hAnsi="Verdana" w:cs="Arial"/>
        </w:rPr>
      </w:pPr>
      <w:r>
        <w:rPr>
          <w:rFonts w:ascii="Verdana" w:hAnsi="Verdana"/>
        </w:rPr>
        <w:t xml:space="preserve">This momentum continues to be supported by </w:t>
      </w:r>
      <w:r>
        <w:rPr>
          <w:rFonts w:ascii="Verdana" w:hAnsi="Verdana"/>
          <w:b/>
        </w:rPr>
        <w:t>Digital</w:t>
      </w:r>
      <w:r>
        <w:rPr>
          <w:rFonts w:ascii="Verdana" w:hAnsi="Verdana"/>
        </w:rPr>
        <w:t xml:space="preserve"> &amp; </w:t>
      </w:r>
      <w:r>
        <w:rPr>
          <w:rFonts w:ascii="Verdana" w:hAnsi="Verdana"/>
          <w:b/>
        </w:rPr>
        <w:t>Cloud</w:t>
      </w:r>
      <w:r>
        <w:rPr>
          <w:rFonts w:ascii="Verdana" w:hAnsi="Verdana"/>
        </w:rPr>
        <w:t xml:space="preserve"> activities, which grew over 20% at constant exchange rates and now </w:t>
      </w:r>
      <w:r w:rsidR="00142BB2">
        <w:rPr>
          <w:rFonts w:ascii="Verdana" w:hAnsi="Verdana"/>
        </w:rPr>
        <w:t>account for</w:t>
      </w:r>
      <w:r>
        <w:rPr>
          <w:rFonts w:ascii="Verdana" w:hAnsi="Verdana"/>
        </w:rPr>
        <w:t xml:space="preserve"> around 45% of </w:t>
      </w:r>
      <w:r w:rsidR="00142BB2">
        <w:rPr>
          <w:rFonts w:ascii="Verdana" w:hAnsi="Verdana"/>
        </w:rPr>
        <w:t xml:space="preserve">the </w:t>
      </w:r>
      <w:r>
        <w:rPr>
          <w:rFonts w:ascii="Verdana" w:hAnsi="Verdana"/>
        </w:rPr>
        <w:t>Group.</w:t>
      </w:r>
    </w:p>
    <w:p w14:paraId="76F4216C" w14:textId="77777777" w:rsidR="00C91770" w:rsidRPr="005359A0" w:rsidRDefault="00C91770" w:rsidP="00980DC7">
      <w:pPr>
        <w:spacing w:before="120" w:after="120" w:line="288" w:lineRule="auto"/>
      </w:pPr>
      <w:r>
        <w:rPr>
          <w:b/>
        </w:rPr>
        <w:t>Bookings</w:t>
      </w:r>
      <w:r>
        <w:t xml:space="preserve"> totaled €13,393 million in 2018, a </w:t>
      </w:r>
      <w:r>
        <w:rPr>
          <w:b/>
        </w:rPr>
        <w:t>9%</w:t>
      </w:r>
      <w:r>
        <w:t xml:space="preserve"> increase at constant exchange rates year-on-year. </w:t>
      </w:r>
    </w:p>
    <w:p w14:paraId="0EB32147" w14:textId="75646724" w:rsidR="00C91770" w:rsidRPr="00E571E1" w:rsidRDefault="005D789B" w:rsidP="00980DC7">
      <w:pPr>
        <w:spacing w:before="120" w:after="120" w:line="288" w:lineRule="auto"/>
        <w:rPr>
          <w:rFonts w:cs="Arial"/>
        </w:rPr>
      </w:pPr>
      <w:bookmarkStart w:id="8" w:name="_Hlk504930109"/>
      <w:r>
        <w:t>For 2018</w:t>
      </w:r>
      <w:r w:rsidR="00C455EB">
        <w:t>,</w:t>
      </w:r>
      <w:r w:rsidR="00C91770">
        <w:t xml:space="preserve"> </w:t>
      </w:r>
      <w:r w:rsidR="00C91770">
        <w:rPr>
          <w:b/>
        </w:rPr>
        <w:t>operating margin</w:t>
      </w:r>
      <w:r w:rsidR="00A3625B" w:rsidRPr="00325B31">
        <w:rPr>
          <w:rFonts w:cs="Arial"/>
          <w:bCs/>
          <w:szCs w:val="18"/>
          <w:vertAlign w:val="superscript"/>
        </w:rPr>
        <w:fldChar w:fldCharType="begin"/>
      </w:r>
      <w:r w:rsidR="00A3625B" w:rsidRPr="00325B31">
        <w:rPr>
          <w:rFonts w:cs="Arial"/>
          <w:bCs/>
          <w:szCs w:val="18"/>
          <w:vertAlign w:val="superscript"/>
        </w:rPr>
        <w:instrText xml:space="preserve"> NOTEREF _Ref536089963 \h  \* MERGEFORMAT </w:instrText>
      </w:r>
      <w:r w:rsidR="00A3625B" w:rsidRPr="00325B31">
        <w:rPr>
          <w:rFonts w:cs="Arial"/>
          <w:bCs/>
          <w:szCs w:val="18"/>
          <w:vertAlign w:val="superscript"/>
        </w:rPr>
      </w:r>
      <w:r w:rsidR="00A3625B" w:rsidRPr="00325B31">
        <w:rPr>
          <w:rFonts w:cs="Arial"/>
          <w:bCs/>
          <w:szCs w:val="18"/>
          <w:vertAlign w:val="superscript"/>
        </w:rPr>
        <w:fldChar w:fldCharType="separate"/>
      </w:r>
      <w:r w:rsidR="00E35E4F" w:rsidRPr="00325B31">
        <w:rPr>
          <w:vertAlign w:val="superscript"/>
        </w:rPr>
        <w:t>*</w:t>
      </w:r>
      <w:r w:rsidR="00A3625B" w:rsidRPr="00325B31">
        <w:rPr>
          <w:rFonts w:cs="Arial"/>
          <w:bCs/>
          <w:szCs w:val="18"/>
          <w:vertAlign w:val="superscript"/>
        </w:rPr>
        <w:fldChar w:fldCharType="end"/>
      </w:r>
      <w:r w:rsidR="00C91770">
        <w:t xml:space="preserve"> </w:t>
      </w:r>
      <w:r>
        <w:t xml:space="preserve">was </w:t>
      </w:r>
      <w:r w:rsidR="00C91770">
        <w:t xml:space="preserve">€1,597 million, or 12.1% of revenues, an increase of 7% or 20 basis points year-on-year, in line with annual objectives. </w:t>
      </w:r>
      <w:r w:rsidR="00150C7C" w:rsidRPr="00150C7C">
        <w:t xml:space="preserve">This further improvement </w:t>
      </w:r>
      <w:r w:rsidR="00150C7C">
        <w:t xml:space="preserve">in margin </w:t>
      </w:r>
      <w:r w:rsidR="00150C7C" w:rsidRPr="00150C7C">
        <w:t xml:space="preserve">illustrates the Group's ability to combine investments in its talent </w:t>
      </w:r>
      <w:r w:rsidR="00150C7C">
        <w:t xml:space="preserve">and </w:t>
      </w:r>
      <w:r w:rsidR="00BE7C0F">
        <w:t xml:space="preserve">its </w:t>
      </w:r>
      <w:r w:rsidR="00150C7C" w:rsidRPr="00150C7C">
        <w:t>portfolio of sector offerings with profitable growth</w:t>
      </w:r>
      <w:r w:rsidR="00C91770">
        <w:t xml:space="preserve">. </w:t>
      </w:r>
      <w:r w:rsidR="00C455EB">
        <w:t>It</w:t>
      </w:r>
      <w:r w:rsidR="00C91770">
        <w:t xml:space="preserve"> </w:t>
      </w:r>
      <w:r w:rsidR="006B71A5">
        <w:t xml:space="preserve">also </w:t>
      </w:r>
      <w:r w:rsidR="00C91770">
        <w:t xml:space="preserve">reflects a stronger gross margin, particularly in the second-half of the year. Geographically, </w:t>
      </w:r>
      <w:r w:rsidR="006B71A5" w:rsidRPr="00E571E1">
        <w:t>continental Europe</w:t>
      </w:r>
      <w:r w:rsidR="006B71A5">
        <w:t xml:space="preserve"> and</w:t>
      </w:r>
      <w:r w:rsidR="006B71A5" w:rsidRPr="00E571E1">
        <w:t xml:space="preserve"> the Asia-Pacific and Latin America</w:t>
      </w:r>
      <w:r w:rsidR="006B71A5">
        <w:t xml:space="preserve"> </w:t>
      </w:r>
      <w:r w:rsidR="006B71A5" w:rsidRPr="00E571E1">
        <w:t xml:space="preserve">region </w:t>
      </w:r>
      <w:r w:rsidR="006B71A5">
        <w:t>are the main contributors to this performance</w:t>
      </w:r>
      <w:r w:rsidR="00C91770" w:rsidRPr="00E571E1">
        <w:t xml:space="preserve">. </w:t>
      </w:r>
    </w:p>
    <w:p w14:paraId="091049C8" w14:textId="58D77454" w:rsidR="00C91770" w:rsidRPr="005359A0" w:rsidRDefault="00C91770" w:rsidP="00980DC7">
      <w:pPr>
        <w:spacing w:before="120" w:after="120" w:line="288" w:lineRule="auto"/>
        <w:rPr>
          <w:rFonts w:cs="Arial"/>
        </w:rPr>
      </w:pPr>
      <w:bookmarkStart w:id="9" w:name="_Hlk504930151"/>
      <w:bookmarkEnd w:id="8"/>
      <w:r w:rsidRPr="00E571E1">
        <w:t xml:space="preserve">Other operating income and expenses rose as expected, </w:t>
      </w:r>
      <w:r w:rsidR="006B71A5">
        <w:t>to represent a net expense of</w:t>
      </w:r>
      <w:r w:rsidR="006B71A5" w:rsidRPr="00E571E1">
        <w:t xml:space="preserve"> </w:t>
      </w:r>
      <w:r w:rsidRPr="00E571E1">
        <w:t>€346 million compared with €310 million in 2017</w:t>
      </w:r>
      <w:r w:rsidR="00BC0BCE">
        <w:t xml:space="preserve">. This comes </w:t>
      </w:r>
      <w:r w:rsidR="009D081B">
        <w:t xml:space="preserve">notably </w:t>
      </w:r>
      <w:r w:rsidR="00BC0BCE">
        <w:t xml:space="preserve">from </w:t>
      </w:r>
      <w:r w:rsidRPr="00E571E1">
        <w:t>higher intangible asset amortization charges and th</w:t>
      </w:r>
      <w:r>
        <w:t xml:space="preserve">e </w:t>
      </w:r>
      <w:r w:rsidR="00E97E39">
        <w:t xml:space="preserve">mechanical </w:t>
      </w:r>
      <w:r>
        <w:t>increase in the share grant expense</w:t>
      </w:r>
      <w:r w:rsidR="00150C7C">
        <w:t xml:space="preserve"> </w:t>
      </w:r>
      <w:r w:rsidR="00C455EB">
        <w:t xml:space="preserve">linked to </w:t>
      </w:r>
      <w:r w:rsidR="00BC0BCE" w:rsidRPr="00BC0BCE">
        <w:t xml:space="preserve">Capgemini share price </w:t>
      </w:r>
      <w:r w:rsidR="00C455EB">
        <w:t xml:space="preserve">evolution </w:t>
      </w:r>
      <w:r w:rsidR="00BC0BCE" w:rsidRPr="00BC0BCE">
        <w:t>over the past few years</w:t>
      </w:r>
      <w:r>
        <w:t xml:space="preserve">. </w:t>
      </w:r>
      <w:r w:rsidR="00E97E39">
        <w:t xml:space="preserve">In contrast, </w:t>
      </w:r>
      <w:r>
        <w:t xml:space="preserve">restructuring costs </w:t>
      </w:r>
      <w:r w:rsidR="00BC0BCE">
        <w:t>are down in 2018 (</w:t>
      </w:r>
      <w:r>
        <w:t>from €131 million in 2017 to €122 million</w:t>
      </w:r>
      <w:r w:rsidR="00BC0BCE">
        <w:t>)</w:t>
      </w:r>
      <w:r>
        <w:t xml:space="preserve"> </w:t>
      </w:r>
      <w:r w:rsidR="00BC0BCE">
        <w:t>and this should continue in 2019</w:t>
      </w:r>
      <w:r w:rsidR="00CE070B">
        <w:t>, settling</w:t>
      </w:r>
      <w:r w:rsidR="00935AC6">
        <w:t xml:space="preserve"> </w:t>
      </w:r>
      <w:r w:rsidR="007A3A3B">
        <w:t xml:space="preserve">at </w:t>
      </w:r>
      <w:r w:rsidR="00BC0BCE">
        <w:t>around €80 million</w:t>
      </w:r>
      <w:r>
        <w:t xml:space="preserve">. </w:t>
      </w:r>
    </w:p>
    <w:p w14:paraId="50EB3ED8" w14:textId="77777777" w:rsidR="00C91770" w:rsidRPr="005359A0" w:rsidRDefault="00C91770" w:rsidP="00980DC7">
      <w:pPr>
        <w:spacing w:before="120" w:after="120" w:line="288" w:lineRule="auto"/>
        <w:rPr>
          <w:rFonts w:cs="Arial"/>
        </w:rPr>
      </w:pPr>
      <w:bookmarkStart w:id="10" w:name="_Hlk504936249"/>
      <w:bookmarkEnd w:id="9"/>
      <w:r>
        <w:rPr>
          <w:b/>
        </w:rPr>
        <w:t>Operating profit</w:t>
      </w:r>
      <w:r>
        <w:t xml:space="preserve"> totaled €1,251 million, or 9.5% of revenues, compared with €1,183 million, or 9.4% of revenues, in 2017.</w:t>
      </w:r>
    </w:p>
    <w:p w14:paraId="581CA51F" w14:textId="3E8CFA30" w:rsidR="00ED045F" w:rsidRPr="007A3A3B" w:rsidRDefault="004B0CA9" w:rsidP="004E3124">
      <w:pPr>
        <w:spacing w:before="120" w:after="120" w:line="288" w:lineRule="auto"/>
        <w:rPr>
          <w:rFonts w:ascii="Verdana" w:hAnsi="Verdana"/>
        </w:rPr>
      </w:pPr>
      <w:bookmarkStart w:id="11" w:name="_Hlk504937150"/>
      <w:bookmarkStart w:id="12" w:name="_Hlk504936407"/>
      <w:bookmarkEnd w:id="10"/>
      <w:r>
        <w:t xml:space="preserve">The </w:t>
      </w:r>
      <w:r>
        <w:rPr>
          <w:b/>
        </w:rPr>
        <w:t>net financial expense</w:t>
      </w:r>
      <w:r>
        <w:t xml:space="preserve"> is €80 million, </w:t>
      </w:r>
      <w:r w:rsidR="007A3A3B">
        <w:t xml:space="preserve">slightly </w:t>
      </w:r>
      <w:r>
        <w:t xml:space="preserve">up on €72 million last year. </w:t>
      </w:r>
      <w:r>
        <w:rPr>
          <w:rFonts w:ascii="Verdana" w:hAnsi="Verdana"/>
        </w:rPr>
        <w:t xml:space="preserve">The </w:t>
      </w:r>
      <w:r>
        <w:rPr>
          <w:rFonts w:ascii="Verdana" w:hAnsi="Verdana"/>
          <w:b/>
        </w:rPr>
        <w:t>income tax expense</w:t>
      </w:r>
      <w:r>
        <w:rPr>
          <w:rFonts w:ascii="Verdana" w:hAnsi="Verdana"/>
        </w:rPr>
        <w:t xml:space="preserve"> </w:t>
      </w:r>
      <w:r w:rsidR="00D45692">
        <w:rPr>
          <w:rFonts w:ascii="Verdana" w:hAnsi="Verdana"/>
        </w:rPr>
        <w:t>is up</w:t>
      </w:r>
      <w:r>
        <w:rPr>
          <w:rFonts w:ascii="Verdana" w:hAnsi="Verdana"/>
        </w:rPr>
        <w:t xml:space="preserve"> </w:t>
      </w:r>
      <w:r w:rsidR="00BE7C0F">
        <w:rPr>
          <w:rFonts w:ascii="Verdana" w:hAnsi="Verdana"/>
        </w:rPr>
        <w:t xml:space="preserve">from </w:t>
      </w:r>
      <w:r>
        <w:rPr>
          <w:rFonts w:ascii="Verdana" w:hAnsi="Verdana"/>
        </w:rPr>
        <w:t>€</w:t>
      </w:r>
      <w:r w:rsidR="00BE7C0F">
        <w:rPr>
          <w:rFonts w:ascii="Verdana" w:hAnsi="Verdana"/>
        </w:rPr>
        <w:t>303</w:t>
      </w:r>
      <w:r>
        <w:rPr>
          <w:rFonts w:ascii="Verdana" w:hAnsi="Verdana"/>
        </w:rPr>
        <w:t xml:space="preserve"> million </w:t>
      </w:r>
      <w:r w:rsidR="00BE7C0F">
        <w:rPr>
          <w:rFonts w:ascii="Verdana" w:hAnsi="Verdana"/>
        </w:rPr>
        <w:t xml:space="preserve">in 2017 </w:t>
      </w:r>
      <w:r>
        <w:rPr>
          <w:rFonts w:ascii="Verdana" w:hAnsi="Verdana"/>
        </w:rPr>
        <w:t>to €447 million</w:t>
      </w:r>
      <w:r w:rsidR="00BE7C0F">
        <w:rPr>
          <w:rFonts w:ascii="Verdana" w:hAnsi="Verdana"/>
        </w:rPr>
        <w:t xml:space="preserve"> this year</w:t>
      </w:r>
      <w:r w:rsidR="00935AC6">
        <w:rPr>
          <w:rFonts w:ascii="Verdana" w:hAnsi="Verdana"/>
        </w:rPr>
        <w:t xml:space="preserve">. </w:t>
      </w:r>
      <w:bookmarkStart w:id="13" w:name="_Hlk355533"/>
      <w:r w:rsidR="004E3124" w:rsidRPr="004E3124">
        <w:rPr>
          <w:rFonts w:ascii="Verdana" w:hAnsi="Verdana"/>
        </w:rPr>
        <w:t>The effective tax rate (ETR) increased primarily because, as anticipated</w:t>
      </w:r>
      <w:r w:rsidR="00345F8D">
        <w:rPr>
          <w:rFonts w:ascii="Verdana" w:hAnsi="Verdana"/>
        </w:rPr>
        <w:t>, since 2018</w:t>
      </w:r>
      <w:r w:rsidR="004E3124" w:rsidRPr="004E3124">
        <w:rPr>
          <w:rFonts w:ascii="Verdana" w:hAnsi="Verdana"/>
        </w:rPr>
        <w:t xml:space="preserve"> the Group </w:t>
      </w:r>
      <w:r w:rsidR="00345F8D">
        <w:rPr>
          <w:rFonts w:ascii="Verdana" w:hAnsi="Verdana"/>
        </w:rPr>
        <w:t xml:space="preserve">does </w:t>
      </w:r>
      <w:r w:rsidR="004E3124" w:rsidRPr="004E3124">
        <w:rPr>
          <w:rFonts w:ascii="Verdana" w:hAnsi="Verdana"/>
        </w:rPr>
        <w:t xml:space="preserve">not </w:t>
      </w:r>
      <w:r w:rsidR="009F58BB" w:rsidRPr="004E3124">
        <w:rPr>
          <w:rFonts w:ascii="Verdana" w:hAnsi="Verdana"/>
        </w:rPr>
        <w:t>recognize</w:t>
      </w:r>
      <w:r w:rsidR="004E3124" w:rsidRPr="004E3124">
        <w:rPr>
          <w:rFonts w:ascii="Verdana" w:hAnsi="Verdana"/>
        </w:rPr>
        <w:t xml:space="preserve"> any new deferred tax assets in the U</w:t>
      </w:r>
      <w:r w:rsidR="00A0503F">
        <w:rPr>
          <w:rFonts w:ascii="Verdana" w:hAnsi="Verdana"/>
        </w:rPr>
        <w:t>.</w:t>
      </w:r>
      <w:r w:rsidR="004E3124" w:rsidRPr="004E3124">
        <w:rPr>
          <w:rFonts w:ascii="Verdana" w:hAnsi="Verdana"/>
        </w:rPr>
        <w:t>S</w:t>
      </w:r>
      <w:r w:rsidR="00A0503F">
        <w:rPr>
          <w:rFonts w:ascii="Verdana" w:hAnsi="Verdana"/>
        </w:rPr>
        <w:t>.</w:t>
      </w:r>
      <w:r w:rsidR="00BE7C0F">
        <w:rPr>
          <w:rStyle w:val="FootnoteReference"/>
          <w:rFonts w:ascii="Verdana" w:hAnsi="Verdana"/>
        </w:rPr>
        <w:footnoteReference w:id="5"/>
      </w:r>
      <w:r w:rsidR="004E3124" w:rsidRPr="004E3124">
        <w:rPr>
          <w:rFonts w:ascii="Verdana" w:hAnsi="Verdana"/>
        </w:rPr>
        <w:t xml:space="preserve">. </w:t>
      </w:r>
      <w:r w:rsidR="00F85633">
        <w:rPr>
          <w:rFonts w:ascii="Verdana" w:hAnsi="Verdana"/>
        </w:rPr>
        <w:t xml:space="preserve">In addition, the Group recorded a </w:t>
      </w:r>
      <w:r w:rsidRPr="00ED045F">
        <w:rPr>
          <w:rFonts w:ascii="Verdana" w:hAnsi="Verdana"/>
        </w:rPr>
        <w:t xml:space="preserve">€53 million </w:t>
      </w:r>
      <w:r w:rsidR="00ED045F">
        <w:rPr>
          <w:rFonts w:ascii="Verdana" w:hAnsi="Verdana"/>
        </w:rPr>
        <w:t xml:space="preserve">expense related to the </w:t>
      </w:r>
      <w:r w:rsidRPr="00ED045F">
        <w:rPr>
          <w:rFonts w:ascii="Verdana" w:hAnsi="Verdana"/>
        </w:rPr>
        <w:t xml:space="preserve">transitional impact of </w:t>
      </w:r>
      <w:r w:rsidR="00FC2D75">
        <w:rPr>
          <w:rFonts w:ascii="Verdana" w:hAnsi="Verdana"/>
        </w:rPr>
        <w:t xml:space="preserve">the </w:t>
      </w:r>
      <w:r w:rsidR="00F85633">
        <w:rPr>
          <w:rFonts w:ascii="Verdana" w:hAnsi="Verdana"/>
        </w:rPr>
        <w:t xml:space="preserve">U.S. </w:t>
      </w:r>
      <w:r w:rsidRPr="00ED045F">
        <w:rPr>
          <w:rFonts w:ascii="Verdana" w:hAnsi="Verdana"/>
        </w:rPr>
        <w:t xml:space="preserve">tax reform. </w:t>
      </w:r>
      <w:bookmarkEnd w:id="13"/>
      <w:r>
        <w:rPr>
          <w:rFonts w:ascii="Verdana" w:hAnsi="Verdana"/>
        </w:rPr>
        <w:t xml:space="preserve">Adjusted for this expense, the </w:t>
      </w:r>
      <w:r w:rsidR="00ED045F">
        <w:rPr>
          <w:rFonts w:ascii="Verdana" w:hAnsi="Verdana"/>
        </w:rPr>
        <w:t>ETR</w:t>
      </w:r>
      <w:r>
        <w:rPr>
          <w:rFonts w:ascii="Verdana" w:hAnsi="Verdana"/>
        </w:rPr>
        <w:t xml:space="preserve"> </w:t>
      </w:r>
      <w:r w:rsidR="00E97E39">
        <w:rPr>
          <w:rFonts w:ascii="Verdana" w:hAnsi="Verdana"/>
        </w:rPr>
        <w:t>increased</w:t>
      </w:r>
      <w:r>
        <w:rPr>
          <w:rFonts w:ascii="Verdana" w:hAnsi="Verdana"/>
        </w:rPr>
        <w:t xml:space="preserve"> from 27.3% </w:t>
      </w:r>
      <w:r w:rsidR="00E97E39">
        <w:rPr>
          <w:rFonts w:ascii="Verdana" w:hAnsi="Verdana"/>
        </w:rPr>
        <w:t>in 201</w:t>
      </w:r>
      <w:r w:rsidR="003C5D5B">
        <w:rPr>
          <w:rFonts w:ascii="Verdana" w:hAnsi="Verdana"/>
        </w:rPr>
        <w:t>7</w:t>
      </w:r>
      <w:r w:rsidR="00E97E39">
        <w:rPr>
          <w:rFonts w:ascii="Verdana" w:hAnsi="Verdana"/>
        </w:rPr>
        <w:t xml:space="preserve"> </w:t>
      </w:r>
      <w:r>
        <w:rPr>
          <w:rFonts w:ascii="Verdana" w:hAnsi="Verdana"/>
        </w:rPr>
        <w:t>to 33.7%.</w:t>
      </w:r>
    </w:p>
    <w:p w14:paraId="2877EC90" w14:textId="77777777" w:rsidR="004B0CA9" w:rsidRPr="005359A0" w:rsidRDefault="004B0CA9" w:rsidP="004B0CA9">
      <w:pPr>
        <w:spacing w:before="120" w:after="120" w:line="288" w:lineRule="auto"/>
        <w:rPr>
          <w:rFonts w:cs="Arial"/>
        </w:rPr>
      </w:pPr>
      <w:bookmarkStart w:id="14" w:name="_Hlk504937186"/>
      <w:bookmarkEnd w:id="11"/>
      <w:bookmarkEnd w:id="12"/>
      <w:r>
        <w:rPr>
          <w:b/>
        </w:rPr>
        <w:t>Net profit (Group share)</w:t>
      </w:r>
      <w:r>
        <w:t xml:space="preserve"> amounted to €730 million for 2018, down on €820 million for 2017, due to the higher tax expense. </w:t>
      </w:r>
      <w:r>
        <w:rPr>
          <w:b/>
        </w:rPr>
        <w:t>Basic EPS (earnings per share)</w:t>
      </w:r>
      <w:r>
        <w:t xml:space="preserve"> is €4.37. </w:t>
      </w:r>
      <w:r>
        <w:rPr>
          <w:b/>
        </w:rPr>
        <w:t>Normalized EPS</w:t>
      </w:r>
      <w:r w:rsidR="00605361" w:rsidRPr="00325B31">
        <w:rPr>
          <w:rFonts w:cs="Arial"/>
          <w:bCs/>
          <w:szCs w:val="18"/>
          <w:vertAlign w:val="superscript"/>
        </w:rPr>
        <w:fldChar w:fldCharType="begin"/>
      </w:r>
      <w:r w:rsidR="00605361" w:rsidRPr="00325B31">
        <w:rPr>
          <w:rFonts w:cs="Arial"/>
          <w:bCs/>
          <w:szCs w:val="18"/>
          <w:vertAlign w:val="superscript"/>
        </w:rPr>
        <w:instrText xml:space="preserve"> NOTEREF _Ref536089963 \h  \* MERGEFORMAT </w:instrText>
      </w:r>
      <w:r w:rsidR="00605361" w:rsidRPr="00325B31">
        <w:rPr>
          <w:rFonts w:cs="Arial"/>
          <w:bCs/>
          <w:szCs w:val="18"/>
          <w:vertAlign w:val="superscript"/>
        </w:rPr>
      </w:r>
      <w:r w:rsidR="00605361" w:rsidRPr="00325B31">
        <w:rPr>
          <w:rFonts w:cs="Arial"/>
          <w:bCs/>
          <w:szCs w:val="18"/>
          <w:vertAlign w:val="superscript"/>
        </w:rPr>
        <w:fldChar w:fldCharType="separate"/>
      </w:r>
      <w:r w:rsidR="00E35E4F" w:rsidRPr="00325B31">
        <w:rPr>
          <w:vertAlign w:val="superscript"/>
        </w:rPr>
        <w:t>*</w:t>
      </w:r>
      <w:r w:rsidR="00605361" w:rsidRPr="00325B31">
        <w:rPr>
          <w:rFonts w:cs="Arial"/>
          <w:bCs/>
          <w:szCs w:val="18"/>
          <w:vertAlign w:val="superscript"/>
        </w:rPr>
        <w:fldChar w:fldCharType="end"/>
      </w:r>
      <w:r>
        <w:t xml:space="preserve"> is €5.74, or €6.06 adjusted for the transitional tax expense, a level close to that reported in 2017 (-3%). </w:t>
      </w:r>
    </w:p>
    <w:bookmarkEnd w:id="14"/>
    <w:p w14:paraId="1BBB165F" w14:textId="7BC12CCF" w:rsidR="000A7BCA" w:rsidRDefault="004B0CA9" w:rsidP="004B0CA9">
      <w:pPr>
        <w:spacing w:before="120" w:after="120" w:line="288" w:lineRule="auto"/>
        <w:rPr>
          <w:rFonts w:cs="Arial"/>
        </w:rPr>
      </w:pPr>
      <w:r>
        <w:rPr>
          <w:b/>
        </w:rPr>
        <w:t>Organic free cash flow</w:t>
      </w:r>
      <w:r w:rsidR="00767DF1" w:rsidRPr="00767DF1">
        <w:rPr>
          <w:b/>
          <w:vertAlign w:val="superscript"/>
        </w:rPr>
        <w:fldChar w:fldCharType="begin"/>
      </w:r>
      <w:r w:rsidR="00767DF1" w:rsidRPr="00767DF1">
        <w:rPr>
          <w:b/>
          <w:vertAlign w:val="superscript"/>
        </w:rPr>
        <w:instrText xml:space="preserve"> NOTEREF _Ref536089963 \h </w:instrText>
      </w:r>
      <w:r w:rsidR="00767DF1">
        <w:rPr>
          <w:b/>
          <w:vertAlign w:val="superscript"/>
        </w:rPr>
        <w:instrText xml:space="preserve"> \* MERGEFORMAT </w:instrText>
      </w:r>
      <w:r w:rsidR="00767DF1" w:rsidRPr="00767DF1">
        <w:rPr>
          <w:b/>
          <w:vertAlign w:val="superscript"/>
        </w:rPr>
      </w:r>
      <w:r w:rsidR="00767DF1" w:rsidRPr="00767DF1">
        <w:rPr>
          <w:b/>
          <w:vertAlign w:val="superscript"/>
        </w:rPr>
        <w:fldChar w:fldCharType="separate"/>
      </w:r>
      <w:r w:rsidR="00767DF1" w:rsidRPr="00767DF1">
        <w:rPr>
          <w:vertAlign w:val="superscript"/>
        </w:rPr>
        <w:t>*</w:t>
      </w:r>
      <w:r w:rsidR="00767DF1" w:rsidRPr="00767DF1">
        <w:rPr>
          <w:b/>
          <w:vertAlign w:val="superscript"/>
        </w:rPr>
        <w:fldChar w:fldCharType="end"/>
      </w:r>
      <w:r>
        <w:t xml:space="preserve"> reached €1,160 million, exceeding the €1,000 million objective set at the beginning of the year. </w:t>
      </w:r>
      <w:bookmarkStart w:id="15" w:name="_Hlk504938168"/>
      <w:r w:rsidR="007A3A3B" w:rsidRPr="007A3A3B">
        <w:t>In 2018, the Group benefited from a €</w:t>
      </w:r>
      <w:r w:rsidR="00512A24">
        <w:t>65</w:t>
      </w:r>
      <w:r w:rsidR="007A3A3B" w:rsidRPr="007A3A3B">
        <w:t xml:space="preserve"> million improvement in its working capital requirement </w:t>
      </w:r>
      <w:r w:rsidR="00512A24">
        <w:t>thanks</w:t>
      </w:r>
      <w:r w:rsidR="007A3A3B" w:rsidRPr="007A3A3B">
        <w:t xml:space="preserve"> to a </w:t>
      </w:r>
      <w:r w:rsidR="007A3A3B">
        <w:t>2</w:t>
      </w:r>
      <w:r w:rsidR="007A3A3B" w:rsidRPr="007A3A3B">
        <w:t xml:space="preserve">-day decrease in </w:t>
      </w:r>
      <w:r w:rsidR="007A3A3B">
        <w:t>DSO</w:t>
      </w:r>
      <w:r w:rsidR="007A3A3B" w:rsidRPr="007A3A3B">
        <w:t xml:space="preserve"> (Days </w:t>
      </w:r>
      <w:r w:rsidR="007A3A3B">
        <w:t>S</w:t>
      </w:r>
      <w:r w:rsidR="007A3A3B" w:rsidRPr="007A3A3B">
        <w:t xml:space="preserve">ales </w:t>
      </w:r>
      <w:r w:rsidR="007A3A3B">
        <w:t>O</w:t>
      </w:r>
      <w:r w:rsidR="007A3A3B" w:rsidRPr="007A3A3B">
        <w:t>utstanding)</w:t>
      </w:r>
      <w:bookmarkStart w:id="16" w:name="_Hlk536525634"/>
      <w:r w:rsidR="007A3A3B">
        <w:t>.</w:t>
      </w:r>
    </w:p>
    <w:p w14:paraId="73560DFB" w14:textId="6D2751C3" w:rsidR="003F6AAF" w:rsidRDefault="004B0CA9" w:rsidP="004B0CA9">
      <w:pPr>
        <w:spacing w:before="120" w:after="120" w:line="288" w:lineRule="auto"/>
        <w:rPr>
          <w:rFonts w:cs="Arial"/>
        </w:rPr>
      </w:pPr>
      <w:r>
        <w:lastRenderedPageBreak/>
        <w:t xml:space="preserve">In 2018, Capgemini spent </w:t>
      </w:r>
      <w:r w:rsidR="003C5D5B">
        <w:t xml:space="preserve">a net amount of </w:t>
      </w:r>
      <w:r>
        <w:t>€461 million on acquisitions and paid €284 million</w:t>
      </w:r>
      <w:r w:rsidR="003C5D5B">
        <w:t xml:space="preserve"> in dividends</w:t>
      </w:r>
      <w:r>
        <w:t xml:space="preserve">. Finally, the Group </w:t>
      </w:r>
      <w:r w:rsidR="00BB6D0C">
        <w:t>allocated</w:t>
      </w:r>
      <w:r>
        <w:t xml:space="preserve"> €464 million to share</w:t>
      </w:r>
      <w:r w:rsidR="003C5D5B">
        <w:t xml:space="preserve"> buybacks,</w:t>
      </w:r>
      <w:r>
        <w:t xml:space="preserve"> under the multi-year program and to neutralize the dilution resulting from the 5</w:t>
      </w:r>
      <w:r>
        <w:rPr>
          <w:vertAlign w:val="superscript"/>
        </w:rPr>
        <w:t>th</w:t>
      </w:r>
      <w:r>
        <w:t xml:space="preserve"> employee share ownership plan (</w:t>
      </w:r>
      <w:r w:rsidR="003C5D5B">
        <w:t xml:space="preserve">which </w:t>
      </w:r>
      <w:r>
        <w:t>led to a</w:t>
      </w:r>
      <w:r w:rsidR="00BB6D0C">
        <w:t xml:space="preserve"> </w:t>
      </w:r>
      <w:r w:rsidR="00C455EB">
        <w:t xml:space="preserve">net </w:t>
      </w:r>
      <w:r>
        <w:t>capital increase</w:t>
      </w:r>
      <w:r w:rsidR="0006575C">
        <w:t xml:space="preserve"> of €230 million</w:t>
      </w:r>
      <w:r>
        <w:t>).</w:t>
      </w:r>
    </w:p>
    <w:bookmarkEnd w:id="15"/>
    <w:bookmarkEnd w:id="16"/>
    <w:p w14:paraId="47633D5C" w14:textId="231588B7" w:rsidR="004B0CA9" w:rsidRPr="005359A0" w:rsidRDefault="004B0CA9" w:rsidP="004B0CA9">
      <w:pPr>
        <w:pStyle w:val="BodyText"/>
      </w:pPr>
      <w:r>
        <w:t xml:space="preserve">The Board of Directors </w:t>
      </w:r>
      <w:r w:rsidR="005D789B">
        <w:t xml:space="preserve">has </w:t>
      </w:r>
      <w:r>
        <w:t xml:space="preserve">decided to recommend </w:t>
      </w:r>
      <w:r w:rsidR="00BE7C0F">
        <w:t xml:space="preserve">at the next Shareholders’ Meeting on May 23, 2019, </w:t>
      </w:r>
      <w:r>
        <w:t xml:space="preserve">the payment of a dividend of </w:t>
      </w:r>
      <w:r w:rsidRPr="00BE7C0F">
        <w:t>€</w:t>
      </w:r>
      <w:r w:rsidR="007A3A3B" w:rsidRPr="00BE7C0F">
        <w:t>1.70</w:t>
      </w:r>
      <w:r>
        <w:t xml:space="preserve"> per share</w:t>
      </w:r>
      <w:r w:rsidR="00BE7C0F">
        <w:t>,</w:t>
      </w:r>
      <w:r w:rsidR="00BE7C0F" w:rsidRPr="00BE7C0F">
        <w:t xml:space="preserve"> the same amount as the previous year</w:t>
      </w:r>
      <w:r>
        <w:t xml:space="preserve">. The corresponding payout ratio is </w:t>
      </w:r>
      <w:r w:rsidR="00BE7C0F">
        <w:t>36%</w:t>
      </w:r>
      <w:r>
        <w:t xml:space="preserve"> of net profit</w:t>
      </w:r>
      <w:r w:rsidR="00A3625B" w:rsidRPr="00A3625B">
        <w:rPr>
          <w:vertAlign w:val="superscript"/>
        </w:rPr>
        <w:fldChar w:fldCharType="begin"/>
      </w:r>
      <w:r w:rsidR="00A3625B" w:rsidRPr="00A3625B">
        <w:rPr>
          <w:vertAlign w:val="superscript"/>
        </w:rPr>
        <w:instrText xml:space="preserve"> NOTEREF _Ref536089531 \h </w:instrText>
      </w:r>
      <w:r w:rsidR="00A3625B">
        <w:rPr>
          <w:vertAlign w:val="superscript"/>
        </w:rPr>
        <w:instrText xml:space="preserve"> \* MERGEFORMAT </w:instrText>
      </w:r>
      <w:r w:rsidR="00A3625B" w:rsidRPr="00A3625B">
        <w:rPr>
          <w:vertAlign w:val="superscript"/>
        </w:rPr>
      </w:r>
      <w:r w:rsidR="00A3625B" w:rsidRPr="00A3625B">
        <w:rPr>
          <w:vertAlign w:val="superscript"/>
        </w:rPr>
        <w:fldChar w:fldCharType="separate"/>
      </w:r>
      <w:r w:rsidR="00E35E4F">
        <w:rPr>
          <w:vertAlign w:val="superscript"/>
        </w:rPr>
        <w:t>2</w:t>
      </w:r>
      <w:r w:rsidR="00A3625B" w:rsidRPr="00A3625B">
        <w:rPr>
          <w:vertAlign w:val="superscript"/>
        </w:rPr>
        <w:fldChar w:fldCharType="end"/>
      </w:r>
      <w:r>
        <w:t xml:space="preserve"> (Group share), in line with the Group’s distribution policy.</w:t>
      </w:r>
    </w:p>
    <w:p w14:paraId="4535D0E8" w14:textId="77777777" w:rsidR="00C91770" w:rsidRPr="005359A0" w:rsidRDefault="00C91770" w:rsidP="00980DC7">
      <w:pPr>
        <w:spacing w:before="120" w:after="120" w:line="288" w:lineRule="auto"/>
        <w:rPr>
          <w:rFonts w:cs="Arial"/>
        </w:rPr>
      </w:pPr>
    </w:p>
    <w:p w14:paraId="3C9C2FFE" w14:textId="5A746839" w:rsidR="00C91770" w:rsidRPr="005359A0" w:rsidRDefault="00C91770" w:rsidP="00980DC7">
      <w:pPr>
        <w:pStyle w:val="Heading1"/>
      </w:pPr>
      <w:r>
        <w:t>OUTLOOK</w:t>
      </w:r>
    </w:p>
    <w:p w14:paraId="4EEA09B3" w14:textId="5D3F06D2" w:rsidR="00FC70B9" w:rsidRPr="00850655" w:rsidRDefault="00A77859" w:rsidP="00FC70B9">
      <w:pPr>
        <w:spacing w:before="120" w:after="120" w:line="288" w:lineRule="auto"/>
        <w:rPr>
          <w:rFonts w:cs="Arial"/>
        </w:rPr>
      </w:pPr>
      <w:bookmarkStart w:id="17" w:name="_Hlk505596663"/>
      <w:bookmarkStart w:id="18" w:name="_Hlk504942398"/>
      <w:r w:rsidRPr="00507A7C">
        <w:t xml:space="preserve">The following outlook </w:t>
      </w:r>
      <w:proofErr w:type="gramStart"/>
      <w:r w:rsidRPr="00507A7C">
        <w:t>takes into account</w:t>
      </w:r>
      <w:proofErr w:type="gramEnd"/>
      <w:r w:rsidRPr="00507A7C">
        <w:t xml:space="preserve"> the impact of </w:t>
      </w:r>
      <w:r w:rsidR="00B453AE" w:rsidRPr="00507A7C">
        <w:t xml:space="preserve">the application of </w:t>
      </w:r>
      <w:r w:rsidRPr="00507A7C">
        <w:t xml:space="preserve">IFRS 16 from January 1, 2019 </w:t>
      </w:r>
      <w:r w:rsidR="00605EA8" w:rsidRPr="00507A7C">
        <w:t xml:space="preserve">on the operating margin (around +5 basis points) </w:t>
      </w:r>
      <w:r w:rsidRPr="00507A7C">
        <w:t xml:space="preserve">and </w:t>
      </w:r>
      <w:r w:rsidR="00507A7C" w:rsidRPr="00507A7C">
        <w:t>on</w:t>
      </w:r>
      <w:r w:rsidR="00605EA8" w:rsidRPr="00507A7C">
        <w:t xml:space="preserve"> </w:t>
      </w:r>
      <w:r w:rsidRPr="00507A7C">
        <w:t>the organic free cash flow definition</w:t>
      </w:r>
      <w:r w:rsidR="00605EA8" w:rsidRPr="00507A7C">
        <w:t xml:space="preserve"> (around -€5</w:t>
      </w:r>
      <w:r w:rsidR="00D974FD">
        <w:t>0</w:t>
      </w:r>
      <w:r w:rsidR="00605EA8" w:rsidRPr="00507A7C">
        <w:t xml:space="preserve"> million)</w:t>
      </w:r>
      <w:r w:rsidRPr="00507A7C">
        <w:t>, as detailed in the appendix to this press</w:t>
      </w:r>
      <w:r w:rsidR="00C455EB">
        <w:t xml:space="preserve"> release</w:t>
      </w:r>
      <w:r w:rsidR="00605EA8" w:rsidRPr="00507A7C">
        <w:t>.</w:t>
      </w:r>
    </w:p>
    <w:p w14:paraId="0382FD7C" w14:textId="4E877636" w:rsidR="00582E9E" w:rsidRPr="00A34DBB" w:rsidRDefault="00D33626" w:rsidP="00980DC7">
      <w:pPr>
        <w:spacing w:before="120" w:after="120" w:line="288" w:lineRule="auto"/>
        <w:rPr>
          <w:rFonts w:cs="Arial"/>
          <w:highlight w:val="cyan"/>
        </w:rPr>
      </w:pPr>
      <w:r>
        <w:t xml:space="preserve">For 2019, the Group </w:t>
      </w:r>
      <w:r w:rsidR="007A3A3B">
        <w:t xml:space="preserve">targets revenue </w:t>
      </w:r>
      <w:r>
        <w:t xml:space="preserve">growth </w:t>
      </w:r>
      <w:r w:rsidR="007A3A3B">
        <w:t xml:space="preserve">at constant exchange rates </w:t>
      </w:r>
      <w:r>
        <w:t xml:space="preserve">of </w:t>
      </w:r>
      <w:r w:rsidR="007A3A3B">
        <w:t>5.5</w:t>
      </w:r>
      <w:r>
        <w:t xml:space="preserve">% to </w:t>
      </w:r>
      <w:r w:rsidR="00345F8D">
        <w:t>8.0</w:t>
      </w:r>
      <w:r>
        <w:t>%, improved profitability with an operating margin of 12.</w:t>
      </w:r>
      <w:r w:rsidR="007A3A3B">
        <w:t>3</w:t>
      </w:r>
      <w:r>
        <w:t>% to 12.</w:t>
      </w:r>
      <w:r w:rsidR="007A3A3B">
        <w:t>6</w:t>
      </w:r>
      <w:r>
        <w:t xml:space="preserve">% and </w:t>
      </w:r>
      <w:r w:rsidR="0003794C">
        <w:t>stronger</w:t>
      </w:r>
      <w:r>
        <w:t xml:space="preserve"> organic free cash flow </w:t>
      </w:r>
      <w:r w:rsidR="007A3A3B">
        <w:t>-</w:t>
      </w:r>
      <w:r w:rsidR="009D081B">
        <w:t xml:space="preserve"> </w:t>
      </w:r>
      <w:r>
        <w:t>on a comparable basis</w:t>
      </w:r>
      <w:r w:rsidR="009D081B">
        <w:t xml:space="preserve"> </w:t>
      </w:r>
      <w:r w:rsidR="007A3A3B">
        <w:t>-</w:t>
      </w:r>
      <w:r>
        <w:t xml:space="preserve"> </w:t>
      </w:r>
      <w:r w:rsidR="007A3A3B">
        <w:t xml:space="preserve">of </w:t>
      </w:r>
      <w:r w:rsidR="0003794C">
        <w:t>over</w:t>
      </w:r>
      <w:r w:rsidR="007A3A3B">
        <w:t xml:space="preserve"> </w:t>
      </w:r>
      <w:r>
        <w:t>€</w:t>
      </w:r>
      <w:r w:rsidR="007A3A3B">
        <w:t>1.1</w:t>
      </w:r>
      <w:r>
        <w:t> billion.</w:t>
      </w:r>
    </w:p>
    <w:bookmarkEnd w:id="17"/>
    <w:bookmarkEnd w:id="18"/>
    <w:p w14:paraId="5379773B" w14:textId="77777777" w:rsidR="00EC116F" w:rsidRPr="005C12F9" w:rsidRDefault="00EC116F" w:rsidP="00980DC7">
      <w:pPr>
        <w:spacing w:before="120" w:after="120" w:line="288" w:lineRule="auto"/>
        <w:rPr>
          <w:rFonts w:cs="Arial"/>
        </w:rPr>
      </w:pPr>
    </w:p>
    <w:p w14:paraId="75DFF45D" w14:textId="77777777" w:rsidR="00A806AA" w:rsidRPr="005359A0" w:rsidRDefault="00F055B3" w:rsidP="00980DC7">
      <w:pPr>
        <w:pStyle w:val="Heading1"/>
      </w:pPr>
      <w:r>
        <w:t>OPERATIONS BY MAJOR REGION</w:t>
      </w:r>
    </w:p>
    <w:p w14:paraId="2BAE7D23" w14:textId="76379461" w:rsidR="00C6424D" w:rsidRPr="005359A0" w:rsidRDefault="00C91770" w:rsidP="00980DC7">
      <w:pPr>
        <w:spacing w:before="120" w:after="120" w:line="288" w:lineRule="auto"/>
        <w:rPr>
          <w:rFonts w:cs="Arial"/>
        </w:rPr>
      </w:pPr>
      <w:bookmarkStart w:id="19" w:name="_Hlk504942918"/>
      <w:bookmarkStart w:id="20" w:name="_Hlk536526099"/>
      <w:r>
        <w:rPr>
          <w:b/>
        </w:rPr>
        <w:t xml:space="preserve">North America </w:t>
      </w:r>
      <w:r>
        <w:t>(32% of Group revenues)</w:t>
      </w:r>
      <w:r w:rsidR="00B453AE" w:rsidRPr="00B453AE">
        <w:t xml:space="preserve"> was the most dynamic region of the Group in 2018 with a 14.4% increase in revenue at constant exchange rates</w:t>
      </w:r>
      <w:r>
        <w:t xml:space="preserve">. </w:t>
      </w:r>
      <w:r w:rsidR="00B453AE">
        <w:t>This g</w:t>
      </w:r>
      <w:r>
        <w:t xml:space="preserve">rowth was spurred by investments and acquisitions </w:t>
      </w:r>
      <w:r w:rsidR="00B453AE">
        <w:t xml:space="preserve">in Digital. It was mainly </w:t>
      </w:r>
      <w:r>
        <w:t xml:space="preserve">driven by the </w:t>
      </w:r>
      <w:r w:rsidR="009C1B4E">
        <w:t>Consumer Goods &amp; R</w:t>
      </w:r>
      <w:r>
        <w:t>etail, Financial Services and Manufacturing sectors</w:t>
      </w:r>
      <w:r w:rsidR="00B453AE">
        <w:t xml:space="preserve"> while only t</w:t>
      </w:r>
      <w:r>
        <w:t>he Energy</w:t>
      </w:r>
      <w:r w:rsidR="009C1B4E">
        <w:t xml:space="preserve"> &amp; Utilities</w:t>
      </w:r>
      <w:r>
        <w:t xml:space="preserve"> sector remained </w:t>
      </w:r>
      <w:r w:rsidR="00B453AE">
        <w:t>lackluster</w:t>
      </w:r>
      <w:r>
        <w:t xml:space="preserve">. </w:t>
      </w:r>
      <w:r>
        <w:rPr>
          <w:rFonts w:ascii="Verdana" w:hAnsi="Verdana"/>
        </w:rPr>
        <w:t xml:space="preserve">The operating margin is </w:t>
      </w:r>
      <w:r w:rsidR="005D789B">
        <w:rPr>
          <w:rFonts w:ascii="Verdana" w:hAnsi="Verdana"/>
        </w:rPr>
        <w:t>largely</w:t>
      </w:r>
      <w:r w:rsidR="00736BE1">
        <w:rPr>
          <w:rFonts w:ascii="Verdana" w:hAnsi="Verdana"/>
        </w:rPr>
        <w:t xml:space="preserve"> </w:t>
      </w:r>
      <w:r>
        <w:rPr>
          <w:rFonts w:ascii="Verdana" w:hAnsi="Verdana"/>
        </w:rPr>
        <w:t>stable year-on-year (-0.05 point), at 13.6%.</w:t>
      </w:r>
    </w:p>
    <w:p w14:paraId="60036A2D" w14:textId="56584A0E" w:rsidR="005C12F9" w:rsidRPr="005359A0" w:rsidRDefault="00D13E4E" w:rsidP="00980DC7">
      <w:pPr>
        <w:spacing w:before="120" w:after="120" w:line="288" w:lineRule="auto"/>
        <w:rPr>
          <w:rFonts w:cs="Arial"/>
        </w:rPr>
      </w:pPr>
      <w:bookmarkStart w:id="21" w:name="_Hlk504944238"/>
      <w:bookmarkEnd w:id="19"/>
      <w:r>
        <w:t xml:space="preserve">Revenues were stable in the </w:t>
      </w:r>
      <w:r>
        <w:rPr>
          <w:b/>
        </w:rPr>
        <w:t>United Kingdom and Ireland</w:t>
      </w:r>
      <w:r>
        <w:t xml:space="preserve"> (12% of Group revenues), increasing +0.1% at constant exchange rates. The Group nonetheless enjoyed a return to growth in the second-half, in line with the plan set at the beginning of the year. Fueled by demand in the Financial Services and Energy &amp; Utilities sectors, the private sector reported </w:t>
      </w:r>
      <w:proofErr w:type="gramStart"/>
      <w:r w:rsidR="00736BE1">
        <w:t xml:space="preserve">positive </w:t>
      </w:r>
      <w:r>
        <w:t>growth</w:t>
      </w:r>
      <w:proofErr w:type="gramEnd"/>
      <w:r w:rsidR="00736BE1">
        <w:t xml:space="preserve"> while the p</w:t>
      </w:r>
      <w:r>
        <w:t xml:space="preserve">ublic sector </w:t>
      </w:r>
      <w:r w:rsidR="00736BE1">
        <w:t>declined</w:t>
      </w:r>
      <w:r>
        <w:t>, despite a</w:t>
      </w:r>
      <w:r w:rsidR="00917676">
        <w:t xml:space="preserve"> </w:t>
      </w:r>
      <w:r w:rsidR="00736BE1">
        <w:t>clear rebound at</w:t>
      </w:r>
      <w:r>
        <w:t xml:space="preserve"> the end of the year. As expected</w:t>
      </w:r>
      <w:r w:rsidR="0003794C">
        <w:t xml:space="preserve"> with the change in business mix and the impact from currencies</w:t>
      </w:r>
      <w:r>
        <w:t>, the operating margin contracted, from 16.1% a year earlier</w:t>
      </w:r>
      <w:r w:rsidR="00736BE1">
        <w:t xml:space="preserve"> to 12.6%</w:t>
      </w:r>
      <w:r>
        <w:t>.</w:t>
      </w:r>
    </w:p>
    <w:p w14:paraId="7E0D1E9B" w14:textId="44C4EEC8" w:rsidR="00C91770" w:rsidRPr="005359A0" w:rsidRDefault="00C91770" w:rsidP="00980DC7">
      <w:pPr>
        <w:spacing w:before="120" w:after="120" w:line="288" w:lineRule="auto"/>
        <w:rPr>
          <w:rFonts w:cs="Arial"/>
        </w:rPr>
      </w:pPr>
      <w:bookmarkStart w:id="22" w:name="_Hlk504978443"/>
      <w:bookmarkEnd w:id="21"/>
      <w:r>
        <w:rPr>
          <w:b/>
        </w:rPr>
        <w:t>France</w:t>
      </w:r>
      <w:r>
        <w:t xml:space="preserve"> (22% of Group revenues) grew 6.4%, with Digital and Cloud driving strong momentum in Application Services. </w:t>
      </w:r>
      <w:r w:rsidR="00736BE1">
        <w:t>A</w:t>
      </w:r>
      <w:r>
        <w:t>ll major sectors</w:t>
      </w:r>
      <w:r w:rsidR="00736BE1">
        <w:t xml:space="preserve"> contributed to this growth</w:t>
      </w:r>
      <w:r>
        <w:t>,</w:t>
      </w:r>
      <w:r w:rsidR="00736BE1">
        <w:t xml:space="preserve"> which</w:t>
      </w:r>
      <w:r>
        <w:t xml:space="preserve"> even reach</w:t>
      </w:r>
      <w:r w:rsidR="00736BE1">
        <w:t>ed</w:t>
      </w:r>
      <w:r>
        <w:t xml:space="preserve"> double-digits in the Consumer Goods </w:t>
      </w:r>
      <w:r w:rsidR="00736BE1">
        <w:t xml:space="preserve">&amp; Retail </w:t>
      </w:r>
      <w:r>
        <w:t>and Energy</w:t>
      </w:r>
      <w:r w:rsidR="009C1B4E">
        <w:t xml:space="preserve"> &amp; Utilities</w:t>
      </w:r>
      <w:r>
        <w:t xml:space="preserve"> sectors. The operating margin improved 110 basis points year-on-year to 11.1% of revenues. </w:t>
      </w:r>
    </w:p>
    <w:p w14:paraId="585C0D7A" w14:textId="5B8C8E80" w:rsidR="00027664" w:rsidRPr="005359A0" w:rsidRDefault="00B500E1" w:rsidP="00980DC7">
      <w:pPr>
        <w:spacing w:before="120" w:after="120" w:line="288" w:lineRule="auto"/>
        <w:rPr>
          <w:rFonts w:cs="Arial"/>
        </w:rPr>
      </w:pPr>
      <w:bookmarkStart w:id="23" w:name="_Hlk504980317"/>
      <w:bookmarkEnd w:id="22"/>
      <w:r>
        <w:t xml:space="preserve">The </w:t>
      </w:r>
      <w:r>
        <w:rPr>
          <w:b/>
        </w:rPr>
        <w:t>Rest of Europe</w:t>
      </w:r>
      <w:r>
        <w:t xml:space="preserve"> region (27% of Group revenues) reported revenue growth across all major countries, increasing 6.9% overall at constant exchange rates. Germany and Scandinavia were the main drivers, with growth rates nearing double-digits. Momentum was strong in all sectors - except Telecoms, which declined </w:t>
      </w:r>
      <w:r w:rsidR="008D72E4">
        <w:t>across</w:t>
      </w:r>
      <w:r>
        <w:t xml:space="preserve"> Europe – growing between 5% and 10%. </w:t>
      </w:r>
      <w:r w:rsidR="006447FE">
        <w:t>O</w:t>
      </w:r>
      <w:r>
        <w:t>perating margin rose 80 basis points to 13.0% for the year.</w:t>
      </w:r>
    </w:p>
    <w:p w14:paraId="5E7DF42F" w14:textId="75C21149" w:rsidR="004E5124" w:rsidRPr="005359A0" w:rsidRDefault="00C91770" w:rsidP="00980DC7">
      <w:pPr>
        <w:spacing w:before="120" w:after="120" w:line="288" w:lineRule="auto"/>
        <w:rPr>
          <w:rFonts w:cs="Arial"/>
        </w:rPr>
      </w:pPr>
      <w:bookmarkStart w:id="24" w:name="_Hlk504980456"/>
      <w:bookmarkEnd w:id="23"/>
      <w:r>
        <w:t xml:space="preserve">The </w:t>
      </w:r>
      <w:r>
        <w:rPr>
          <w:b/>
        </w:rPr>
        <w:t>Asia-Pacific and Latin American</w:t>
      </w:r>
      <w:r>
        <w:t xml:space="preserve"> region (7% of Group revenues) reported growth of 6.0% at constant exchange rates. Asia-Pacific benefited </w:t>
      </w:r>
      <w:r w:rsidR="008D72E4">
        <w:t xml:space="preserve">this year </w:t>
      </w:r>
      <w:r>
        <w:t>from</w:t>
      </w:r>
      <w:r w:rsidR="008D72E4">
        <w:t xml:space="preserve"> an acceleration </w:t>
      </w:r>
      <w:r>
        <w:t xml:space="preserve">in the Manufacturing sector, while </w:t>
      </w:r>
      <w:r w:rsidR="008D72E4">
        <w:t xml:space="preserve">Latin America </w:t>
      </w:r>
      <w:r w:rsidR="005D789B">
        <w:t>delivered both</w:t>
      </w:r>
      <w:r w:rsidR="008D72E4">
        <w:t xml:space="preserve"> </w:t>
      </w:r>
      <w:r>
        <w:t xml:space="preserve">a return to growth </w:t>
      </w:r>
      <w:r w:rsidR="008D72E4">
        <w:t xml:space="preserve">and profitability </w:t>
      </w:r>
      <w:r>
        <w:t xml:space="preserve">in 2018. </w:t>
      </w:r>
      <w:r w:rsidR="00ED0888">
        <w:t xml:space="preserve">Overall, the region’s </w:t>
      </w:r>
      <w:r>
        <w:t xml:space="preserve">operating margin therefore improved </w:t>
      </w:r>
      <w:r w:rsidR="005D789B">
        <w:t>significantly</w:t>
      </w:r>
      <w:r>
        <w:t>, from 10.1% in 2017 to 12.8% this year.</w:t>
      </w:r>
    </w:p>
    <w:bookmarkEnd w:id="20"/>
    <w:bookmarkEnd w:id="24"/>
    <w:p w14:paraId="210D9A60" w14:textId="77777777" w:rsidR="00371F4C" w:rsidRPr="005359A0" w:rsidRDefault="00371F4C" w:rsidP="00980DC7">
      <w:pPr>
        <w:spacing w:before="120" w:after="120" w:line="288" w:lineRule="auto"/>
        <w:rPr>
          <w:rFonts w:cs="Arial"/>
        </w:rPr>
      </w:pPr>
    </w:p>
    <w:p w14:paraId="21E80C8D" w14:textId="77777777" w:rsidR="000D24BB" w:rsidRPr="005359A0" w:rsidRDefault="000D24BB" w:rsidP="00980DC7">
      <w:pPr>
        <w:pStyle w:val="Heading1"/>
      </w:pPr>
      <w:r>
        <w:t>OPERATIONS BY BUSINESS</w:t>
      </w:r>
    </w:p>
    <w:p w14:paraId="5E362F20" w14:textId="21923F27" w:rsidR="00980DC7" w:rsidRPr="005359A0" w:rsidRDefault="00D46A04" w:rsidP="00980DC7">
      <w:pPr>
        <w:spacing w:before="120" w:after="120" w:line="288" w:lineRule="auto"/>
        <w:rPr>
          <w:rFonts w:cs="Arial"/>
        </w:rPr>
      </w:pPr>
      <w:bookmarkStart w:id="25" w:name="_Hlk519835551"/>
      <w:bookmarkStart w:id="26" w:name="_Hlk504985479"/>
      <w:r>
        <w:rPr>
          <w:rFonts w:ascii="Verdana" w:hAnsi="Verdana"/>
          <w:b/>
        </w:rPr>
        <w:t>Consulting Services</w:t>
      </w:r>
      <w:r>
        <w:rPr>
          <w:rFonts w:ascii="Verdana" w:hAnsi="Verdana"/>
        </w:rPr>
        <w:t xml:space="preserve"> (6% of Group revenues) reported growth of 37.4% at constant exchange rates. This reflects not only the key contribution of acquisitions in the reference period</w:t>
      </w:r>
      <w:r w:rsidR="005D789B">
        <w:rPr>
          <w:rFonts w:ascii="Verdana" w:hAnsi="Verdana"/>
        </w:rPr>
        <w:t>,</w:t>
      </w:r>
      <w:r>
        <w:rPr>
          <w:rFonts w:ascii="Verdana" w:hAnsi="Verdana"/>
        </w:rPr>
        <w:t xml:space="preserve"> but also strong activity in the main regions. Digital transformation demand was particularly buoyant in the Financial Services, Manufacturing and Retail sectors. </w:t>
      </w:r>
      <w:r w:rsidR="00D922AC" w:rsidRPr="00D922AC">
        <w:rPr>
          <w:rFonts w:ascii="Verdana" w:hAnsi="Verdana"/>
        </w:rPr>
        <w:t xml:space="preserve">The Group </w:t>
      </w:r>
      <w:r w:rsidR="002F4975">
        <w:rPr>
          <w:rFonts w:ascii="Verdana" w:hAnsi="Verdana"/>
        </w:rPr>
        <w:t>now benefit</w:t>
      </w:r>
      <w:r w:rsidR="0039364E">
        <w:rPr>
          <w:rFonts w:ascii="Verdana" w:hAnsi="Verdana"/>
        </w:rPr>
        <w:t>s</w:t>
      </w:r>
      <w:r w:rsidR="002F4975">
        <w:rPr>
          <w:rFonts w:ascii="Verdana" w:hAnsi="Verdana"/>
        </w:rPr>
        <w:t xml:space="preserve"> </w:t>
      </w:r>
      <w:r w:rsidR="0039364E">
        <w:rPr>
          <w:rFonts w:ascii="Verdana" w:hAnsi="Verdana"/>
        </w:rPr>
        <w:t>from</w:t>
      </w:r>
      <w:r w:rsidR="002F4975">
        <w:rPr>
          <w:rFonts w:ascii="Verdana" w:hAnsi="Verdana"/>
        </w:rPr>
        <w:t xml:space="preserve"> the launch of</w:t>
      </w:r>
      <w:r w:rsidR="00D922AC" w:rsidRPr="00D922AC">
        <w:rPr>
          <w:rFonts w:ascii="Verdana" w:hAnsi="Verdana"/>
        </w:rPr>
        <w:t xml:space="preserve"> “Capgemini Invent”, which combines </w:t>
      </w:r>
      <w:r w:rsidR="0003794C">
        <w:rPr>
          <w:rFonts w:ascii="Verdana" w:hAnsi="Verdana"/>
        </w:rPr>
        <w:t xml:space="preserve">its recognized </w:t>
      </w:r>
      <w:r w:rsidR="00D922AC" w:rsidRPr="00D922AC">
        <w:rPr>
          <w:rFonts w:ascii="Verdana" w:hAnsi="Verdana"/>
        </w:rPr>
        <w:t xml:space="preserve">expertise </w:t>
      </w:r>
      <w:r w:rsidR="0003794C" w:rsidRPr="0003794C">
        <w:rPr>
          <w:rFonts w:ascii="Verdana" w:hAnsi="Verdana"/>
        </w:rPr>
        <w:t>in the fields of strategy, technolog</w:t>
      </w:r>
      <w:r w:rsidR="009D081B">
        <w:rPr>
          <w:rFonts w:ascii="Verdana" w:hAnsi="Verdana"/>
        </w:rPr>
        <w:t>y</w:t>
      </w:r>
      <w:r w:rsidR="0003794C" w:rsidRPr="0003794C">
        <w:rPr>
          <w:rFonts w:ascii="Verdana" w:hAnsi="Verdana"/>
        </w:rPr>
        <w:t>, data science and creative design</w:t>
      </w:r>
      <w:r w:rsidR="0003794C">
        <w:rPr>
          <w:rFonts w:ascii="Verdana" w:hAnsi="Verdana"/>
        </w:rPr>
        <w:t xml:space="preserve"> </w:t>
      </w:r>
      <w:r w:rsidR="00D922AC" w:rsidRPr="00D922AC">
        <w:rPr>
          <w:rFonts w:ascii="Verdana" w:hAnsi="Verdana"/>
        </w:rPr>
        <w:t>to support decision-makers in their transformation and digital innovation projects.</w:t>
      </w:r>
      <w:r w:rsidR="00D922AC">
        <w:rPr>
          <w:rFonts w:ascii="Verdana" w:hAnsi="Verdana"/>
        </w:rPr>
        <w:t xml:space="preserve"> </w:t>
      </w:r>
      <w:r>
        <w:rPr>
          <w:rFonts w:ascii="Verdana" w:hAnsi="Verdana"/>
        </w:rPr>
        <w:t xml:space="preserve">The operating margin stands at 12.9% of revenues, up 160 basis points year-on-year. </w:t>
      </w:r>
    </w:p>
    <w:p w14:paraId="5FBAB76A" w14:textId="4178471E" w:rsidR="00D46A04" w:rsidRPr="005359A0" w:rsidRDefault="00D46A04" w:rsidP="00980DC7">
      <w:pPr>
        <w:spacing w:before="120" w:after="120" w:line="288" w:lineRule="auto"/>
        <w:rPr>
          <w:rFonts w:ascii="Verdana" w:hAnsi="Verdana" w:cs="Arial"/>
        </w:rPr>
      </w:pPr>
      <w:r>
        <w:rPr>
          <w:rFonts w:ascii="Verdana" w:hAnsi="Verdana"/>
          <w:b/>
        </w:rPr>
        <w:lastRenderedPageBreak/>
        <w:t>Technology &amp; Engineering Services</w:t>
      </w:r>
      <w:r>
        <w:rPr>
          <w:rFonts w:ascii="Verdana" w:hAnsi="Verdana"/>
        </w:rPr>
        <w:t xml:space="preserve"> (15% of Group revenues) </w:t>
      </w:r>
      <w:r w:rsidR="005D789B">
        <w:rPr>
          <w:rFonts w:ascii="Verdana" w:hAnsi="Verdana"/>
        </w:rPr>
        <w:t>grew</w:t>
      </w:r>
      <w:r>
        <w:rPr>
          <w:rFonts w:ascii="Verdana" w:hAnsi="Verdana"/>
        </w:rPr>
        <w:t xml:space="preserve"> 5.0% at constant exchange rates. Momentum was strong across all Group regions and particularly North America and the United Kingdom. The operating margin is 13.2%, </w:t>
      </w:r>
      <w:r w:rsidR="0003794C">
        <w:rPr>
          <w:rFonts w:ascii="Verdana" w:hAnsi="Verdana"/>
        </w:rPr>
        <w:t xml:space="preserve">slightly down from </w:t>
      </w:r>
      <w:r>
        <w:rPr>
          <w:rFonts w:ascii="Verdana" w:hAnsi="Verdana"/>
        </w:rPr>
        <w:t xml:space="preserve">13.8% </w:t>
      </w:r>
      <w:r w:rsidR="00EA7384">
        <w:rPr>
          <w:rFonts w:ascii="Verdana" w:hAnsi="Verdana"/>
        </w:rPr>
        <w:t>in 2017</w:t>
      </w:r>
      <w:r>
        <w:rPr>
          <w:rFonts w:ascii="Verdana" w:hAnsi="Verdana"/>
        </w:rPr>
        <w:t>.</w:t>
      </w:r>
    </w:p>
    <w:p w14:paraId="191B40B7" w14:textId="0451E853" w:rsidR="00D46A04" w:rsidRPr="005359A0" w:rsidRDefault="00D46A04" w:rsidP="00980DC7">
      <w:pPr>
        <w:spacing w:before="120" w:after="120" w:line="288" w:lineRule="auto"/>
        <w:rPr>
          <w:rFonts w:ascii="Verdana" w:hAnsi="Verdana" w:cs="Arial"/>
        </w:rPr>
      </w:pPr>
      <w:r>
        <w:rPr>
          <w:rFonts w:ascii="Verdana" w:hAnsi="Verdana"/>
          <w:b/>
        </w:rPr>
        <w:t xml:space="preserve">Application Services </w:t>
      </w:r>
      <w:r>
        <w:rPr>
          <w:rFonts w:ascii="Verdana" w:hAnsi="Verdana"/>
        </w:rPr>
        <w:t>(64% of Group revenues)</w:t>
      </w:r>
      <w:r w:rsidR="009D081B">
        <w:rPr>
          <w:rFonts w:ascii="Verdana" w:hAnsi="Verdana"/>
        </w:rPr>
        <w:t xml:space="preserve"> posted revenue growth of 10.1% at constant exchange rates</w:t>
      </w:r>
      <w:r>
        <w:rPr>
          <w:rFonts w:ascii="Verdana" w:hAnsi="Verdana"/>
        </w:rPr>
        <w:t xml:space="preserve">, fueled by customer demand </w:t>
      </w:r>
      <w:r w:rsidR="00C455EB">
        <w:rPr>
          <w:rFonts w:ascii="Verdana" w:hAnsi="Verdana"/>
        </w:rPr>
        <w:t>for</w:t>
      </w:r>
      <w:r>
        <w:rPr>
          <w:rFonts w:ascii="Verdana" w:hAnsi="Verdana"/>
        </w:rPr>
        <w:t xml:space="preserve"> Digital and Cloud. This reflects the strong </w:t>
      </w:r>
      <w:r w:rsidR="005D789B">
        <w:rPr>
          <w:rFonts w:ascii="Verdana" w:hAnsi="Verdana"/>
        </w:rPr>
        <w:t xml:space="preserve">alignment </w:t>
      </w:r>
      <w:r>
        <w:rPr>
          <w:rFonts w:ascii="Verdana" w:hAnsi="Verdana"/>
        </w:rPr>
        <w:t xml:space="preserve">between the </w:t>
      </w:r>
      <w:r w:rsidR="005D789B">
        <w:rPr>
          <w:rFonts w:ascii="Verdana" w:hAnsi="Verdana"/>
        </w:rPr>
        <w:t xml:space="preserve">Group’s </w:t>
      </w:r>
      <w:r w:rsidR="0039364E">
        <w:rPr>
          <w:rFonts w:ascii="Verdana" w:hAnsi="Verdana"/>
        </w:rPr>
        <w:t>offering</w:t>
      </w:r>
      <w:r w:rsidR="005D789B">
        <w:rPr>
          <w:rFonts w:ascii="Verdana" w:hAnsi="Verdana"/>
        </w:rPr>
        <w:t>s</w:t>
      </w:r>
      <w:r w:rsidR="0039364E">
        <w:rPr>
          <w:rFonts w:ascii="Verdana" w:hAnsi="Verdana"/>
        </w:rPr>
        <w:t xml:space="preserve"> </w:t>
      </w:r>
      <w:r>
        <w:rPr>
          <w:rFonts w:ascii="Verdana" w:hAnsi="Verdana"/>
        </w:rPr>
        <w:t>and the new needs of clients. France, North America and the Rest of Europe reported the strongest momentum in 2018. The operating margin rate is 13.6%, up 50 basis points.</w:t>
      </w:r>
    </w:p>
    <w:p w14:paraId="458E72D7" w14:textId="003F6B67" w:rsidR="00D46A04" w:rsidRPr="005359A0" w:rsidRDefault="00D46A04" w:rsidP="00980DC7">
      <w:pPr>
        <w:spacing w:before="120" w:after="120" w:line="288" w:lineRule="auto"/>
        <w:rPr>
          <w:rFonts w:ascii="Verdana" w:hAnsi="Verdana" w:cs="Arial"/>
        </w:rPr>
      </w:pPr>
      <w:r>
        <w:rPr>
          <w:rFonts w:ascii="Verdana" w:hAnsi="Verdana"/>
          <w:b/>
        </w:rPr>
        <w:t>Other Managed Services</w:t>
      </w:r>
      <w:r>
        <w:rPr>
          <w:rFonts w:ascii="Verdana" w:hAnsi="Verdana"/>
        </w:rPr>
        <w:t xml:space="preserve"> (15% of Group revenues) declined 4.2% at constant exchange rates, </w:t>
      </w:r>
      <w:r w:rsidR="00917676">
        <w:rPr>
          <w:rFonts w:ascii="Verdana" w:hAnsi="Verdana"/>
        </w:rPr>
        <w:t>mainly</w:t>
      </w:r>
      <w:r>
        <w:rPr>
          <w:rFonts w:ascii="Verdana" w:hAnsi="Verdana"/>
        </w:rPr>
        <w:t xml:space="preserve"> impacted by a slowdown in Business Process Outsourcing. In Infrastructure Services, the first-half of the year was marked by a contraction in the UK public sector. </w:t>
      </w:r>
      <w:r w:rsidR="00EA7384">
        <w:rPr>
          <w:rFonts w:ascii="Verdana" w:hAnsi="Verdana"/>
        </w:rPr>
        <w:t xml:space="preserve">In the second half of the year, </w:t>
      </w:r>
      <w:r>
        <w:rPr>
          <w:rFonts w:ascii="Verdana" w:hAnsi="Verdana"/>
        </w:rPr>
        <w:t xml:space="preserve">strong growth in cloud integration and orchestration services </w:t>
      </w:r>
      <w:r w:rsidR="00EA7384">
        <w:rPr>
          <w:rFonts w:ascii="Verdana" w:hAnsi="Verdana"/>
        </w:rPr>
        <w:t xml:space="preserve">contained to </w:t>
      </w:r>
      <w:r w:rsidR="009D081B">
        <w:rPr>
          <w:rFonts w:ascii="Verdana" w:hAnsi="Verdana"/>
        </w:rPr>
        <w:t xml:space="preserve">a </w:t>
      </w:r>
      <w:r w:rsidR="00EA7384">
        <w:rPr>
          <w:rFonts w:ascii="Verdana" w:hAnsi="Verdana"/>
        </w:rPr>
        <w:t>large extent the decline in Infrastructure service</w:t>
      </w:r>
      <w:r w:rsidR="0024170A">
        <w:rPr>
          <w:rFonts w:ascii="Verdana" w:hAnsi="Verdana"/>
        </w:rPr>
        <w:t>s</w:t>
      </w:r>
      <w:r>
        <w:rPr>
          <w:rFonts w:ascii="Verdana" w:hAnsi="Verdana"/>
        </w:rPr>
        <w:t xml:space="preserve">. </w:t>
      </w:r>
      <w:r w:rsidR="005D789B">
        <w:rPr>
          <w:rFonts w:ascii="Verdana" w:hAnsi="Verdana"/>
        </w:rPr>
        <w:t xml:space="preserve">Operating margin for </w:t>
      </w:r>
      <w:r w:rsidR="002F4975">
        <w:rPr>
          <w:rFonts w:ascii="Verdana" w:hAnsi="Verdana"/>
        </w:rPr>
        <w:t>O</w:t>
      </w:r>
      <w:r>
        <w:rPr>
          <w:rFonts w:ascii="Verdana" w:hAnsi="Verdana"/>
        </w:rPr>
        <w:t xml:space="preserve">ther </w:t>
      </w:r>
      <w:r w:rsidR="002F4975">
        <w:rPr>
          <w:rFonts w:ascii="Verdana" w:hAnsi="Verdana"/>
        </w:rPr>
        <w:t xml:space="preserve">Managed </w:t>
      </w:r>
      <w:r>
        <w:rPr>
          <w:rFonts w:ascii="Verdana" w:hAnsi="Verdana"/>
        </w:rPr>
        <w:t xml:space="preserve">Services is 8.7% compared with 9.7% in 2017. </w:t>
      </w:r>
      <w:bookmarkEnd w:id="25"/>
    </w:p>
    <w:bookmarkEnd w:id="26"/>
    <w:p w14:paraId="04D86B17" w14:textId="77777777" w:rsidR="000D24BB" w:rsidRPr="005359A0" w:rsidRDefault="000D24BB" w:rsidP="00980DC7">
      <w:pPr>
        <w:spacing w:before="120" w:after="120" w:line="288" w:lineRule="auto"/>
        <w:rPr>
          <w:rFonts w:cs="Arial"/>
          <w:b/>
        </w:rPr>
      </w:pPr>
    </w:p>
    <w:p w14:paraId="7D9101AE" w14:textId="77777777" w:rsidR="00371F4C" w:rsidRPr="005359A0" w:rsidRDefault="008959F4" w:rsidP="00980DC7">
      <w:pPr>
        <w:keepNext/>
        <w:spacing w:before="120" w:after="120" w:line="288" w:lineRule="auto"/>
        <w:rPr>
          <w:rFonts w:cs="Arial"/>
          <w:b/>
        </w:rPr>
      </w:pPr>
      <w:r>
        <w:rPr>
          <w:b/>
        </w:rPr>
        <w:t>Q4 TRENDS</w:t>
      </w:r>
    </w:p>
    <w:p w14:paraId="3EFA767C" w14:textId="77777777" w:rsidR="00371F4C" w:rsidRPr="005359A0" w:rsidRDefault="00F71EF1" w:rsidP="00980DC7">
      <w:pPr>
        <w:pStyle w:val="BodyText"/>
      </w:pPr>
      <w:r>
        <w:t>Group momentum remained strong in Q4. Revenues grew 7.8% year-on-year at constant exchanges rates and 5.7% at constant scope and exchange rates, to €3,502 million for the period.</w:t>
      </w:r>
    </w:p>
    <w:p w14:paraId="29A039B5" w14:textId="11E69519" w:rsidR="00A5754D" w:rsidRPr="005359A0" w:rsidRDefault="00F71EF1" w:rsidP="00980DC7">
      <w:pPr>
        <w:pStyle w:val="BodyText"/>
      </w:pPr>
      <w:r>
        <w:t xml:space="preserve">All Group regions contributed to this growth, which neared or exceeded </w:t>
      </w:r>
      <w:r w:rsidR="002F4975">
        <w:t>10%</w:t>
      </w:r>
      <w:r>
        <w:t xml:space="preserve"> in North America (+11.2% at constant exchange rates), Asia-Pacific and Latin America (+9.6%) and the United Kingdom &amp; Ireland (+9.0%). The Rest of Europe region slowed slightly (+4.2%) due to </w:t>
      </w:r>
      <w:r w:rsidR="002F4975">
        <w:t>a more demanding comparison basis</w:t>
      </w:r>
      <w:r>
        <w:t xml:space="preserve">, while France maintained a steady pace, reporting revenue growth of 6.5%. </w:t>
      </w:r>
    </w:p>
    <w:p w14:paraId="02D29340" w14:textId="436B7681" w:rsidR="0018097C" w:rsidRPr="005359A0" w:rsidRDefault="001F35CD" w:rsidP="00980DC7">
      <w:pPr>
        <w:pStyle w:val="BodyText"/>
      </w:pPr>
      <w:r>
        <w:t>The businesses’ Q3 momentum generally continued in the final quarter, with Application Services growing 9.3% at constant exchange rates and Consulting Services growing 35.2%. Finally, Other Managed Services continued to contract (-2</w:t>
      </w:r>
      <w:r w:rsidR="005D789B">
        <w:t>.</w:t>
      </w:r>
      <w:r>
        <w:t xml:space="preserve">1%), while Technology &amp; Engineering Services </w:t>
      </w:r>
      <w:r w:rsidR="00C455EB">
        <w:t>were</w:t>
      </w:r>
      <w:r w:rsidR="002D2E5B">
        <w:t xml:space="preserve"> up </w:t>
      </w:r>
      <w:r>
        <w:t xml:space="preserve">3.8%. </w:t>
      </w:r>
    </w:p>
    <w:p w14:paraId="63679E18" w14:textId="74DF8DBF" w:rsidR="000F610E" w:rsidRPr="005359A0" w:rsidRDefault="000F610E" w:rsidP="00980DC7">
      <w:pPr>
        <w:spacing w:before="120" w:after="120" w:line="288" w:lineRule="auto"/>
        <w:rPr>
          <w:rFonts w:cs="Arial"/>
          <w:bCs/>
        </w:rPr>
      </w:pPr>
      <w:r>
        <w:t xml:space="preserve">Q4 bookings totaled €3,929 million, </w:t>
      </w:r>
      <w:r w:rsidR="002D2E5B">
        <w:t xml:space="preserve">bringing the </w:t>
      </w:r>
      <w:r>
        <w:t>book-to-bill</w:t>
      </w:r>
      <w:r w:rsidR="0039364E">
        <w:t xml:space="preserve"> ratio</w:t>
      </w:r>
      <w:r>
        <w:t xml:space="preserve"> </w:t>
      </w:r>
      <w:r w:rsidR="002D2E5B">
        <w:t>to</w:t>
      </w:r>
      <w:r>
        <w:t xml:space="preserve"> 112% for the quarter.</w:t>
      </w:r>
    </w:p>
    <w:p w14:paraId="1928E021" w14:textId="77777777" w:rsidR="00371F4C" w:rsidRPr="005359A0" w:rsidRDefault="00371F4C" w:rsidP="00980DC7">
      <w:pPr>
        <w:pStyle w:val="BodyText"/>
      </w:pPr>
    </w:p>
    <w:p w14:paraId="502B2190" w14:textId="77777777" w:rsidR="00A806AA" w:rsidRPr="005359A0" w:rsidRDefault="00F055B3" w:rsidP="00980DC7">
      <w:pPr>
        <w:pStyle w:val="Heading1"/>
      </w:pPr>
      <w:r>
        <w:t>HEADCOUNT</w:t>
      </w:r>
    </w:p>
    <w:p w14:paraId="21B36768" w14:textId="5AFECFFC" w:rsidR="002927A1" w:rsidRPr="005359A0" w:rsidRDefault="00F86BDB" w:rsidP="00980DC7">
      <w:pPr>
        <w:pStyle w:val="BodyText"/>
      </w:pPr>
      <w:r>
        <w:t xml:space="preserve">At December 31, 2018, the Group’s total headcount stood at 211,300, up 5.8% year-on-year, with 122,000 employees in offshore centers (58% of the total headcount). </w:t>
      </w:r>
      <w:r w:rsidR="00B45F64">
        <w:t xml:space="preserve">Attrition </w:t>
      </w:r>
      <w:r w:rsidR="00EF3336">
        <w:t>was</w:t>
      </w:r>
      <w:r w:rsidR="00B45F64">
        <w:t xml:space="preserve"> up to 22%</w:t>
      </w:r>
      <w:r w:rsidR="00EF3336">
        <w:t xml:space="preserve"> in 2018</w:t>
      </w:r>
      <w:r w:rsidR="00B45F64">
        <w:t>.</w:t>
      </w:r>
    </w:p>
    <w:p w14:paraId="7A92CF4E" w14:textId="77777777" w:rsidR="0009608C" w:rsidRPr="005359A0" w:rsidRDefault="0009608C" w:rsidP="00980DC7">
      <w:pPr>
        <w:pStyle w:val="BodyText"/>
      </w:pPr>
    </w:p>
    <w:p w14:paraId="6D27CAF6" w14:textId="77777777" w:rsidR="00F5193D" w:rsidRPr="005359A0" w:rsidRDefault="00F5193D" w:rsidP="00F5193D">
      <w:pPr>
        <w:pStyle w:val="Heading1"/>
      </w:pPr>
      <w:bookmarkStart w:id="27" w:name="_Ref505249374"/>
      <w:bookmarkStart w:id="28" w:name="_Hlk505858088"/>
      <w:r>
        <w:t xml:space="preserve">BALANCE SHEET </w:t>
      </w:r>
      <w:bookmarkEnd w:id="27"/>
    </w:p>
    <w:p w14:paraId="2AA2214D" w14:textId="7ECB2C26" w:rsidR="00F5193D" w:rsidRPr="005359A0" w:rsidRDefault="00F5193D" w:rsidP="00F5193D">
      <w:pPr>
        <w:pStyle w:val="BodyText"/>
      </w:pPr>
      <w:bookmarkStart w:id="29" w:name="_Hlk505942213"/>
      <w:r>
        <w:t xml:space="preserve">Overall, the balance sheet structure </w:t>
      </w:r>
      <w:r w:rsidR="002D2E5B">
        <w:t xml:space="preserve">remained broadly unchanged </w:t>
      </w:r>
      <w:r>
        <w:t>in 2018. At December 31, 2018, the Group had €2,004 million in cash and cash equivalents, compared with €1,988 million a year earlier. After accounting for borrowings of €3,357 million, cash management assets and derivative instruments, Group net debt</w:t>
      </w:r>
      <w:r w:rsidR="00605361" w:rsidRPr="005359A0">
        <w:rPr>
          <w:b/>
          <w:bCs/>
          <w:szCs w:val="18"/>
          <w:vertAlign w:val="superscript"/>
        </w:rPr>
        <w:fldChar w:fldCharType="begin"/>
      </w:r>
      <w:r w:rsidR="00605361" w:rsidRPr="005359A0">
        <w:rPr>
          <w:b/>
          <w:bCs/>
          <w:szCs w:val="18"/>
          <w:vertAlign w:val="superscript"/>
        </w:rPr>
        <w:instrText xml:space="preserve"> NOTEREF _Ref536089963 \h  \* MERGEFORMAT </w:instrText>
      </w:r>
      <w:r w:rsidR="00605361" w:rsidRPr="005359A0">
        <w:rPr>
          <w:b/>
          <w:bCs/>
          <w:szCs w:val="18"/>
          <w:vertAlign w:val="superscript"/>
        </w:rPr>
      </w:r>
      <w:r w:rsidR="00605361" w:rsidRPr="005359A0">
        <w:rPr>
          <w:b/>
          <w:bCs/>
          <w:szCs w:val="18"/>
          <w:vertAlign w:val="superscript"/>
        </w:rPr>
        <w:fldChar w:fldCharType="separate"/>
      </w:r>
      <w:r w:rsidR="00E35E4F" w:rsidRPr="00E35E4F">
        <w:rPr>
          <w:vertAlign w:val="superscript"/>
        </w:rPr>
        <w:t>*</w:t>
      </w:r>
      <w:r w:rsidR="00605361" w:rsidRPr="005359A0">
        <w:rPr>
          <w:b/>
          <w:bCs/>
          <w:szCs w:val="18"/>
          <w:vertAlign w:val="superscript"/>
        </w:rPr>
        <w:fldChar w:fldCharType="end"/>
      </w:r>
      <w:r>
        <w:t xml:space="preserve"> is €1,184 million at the end of 2018, comparable to the previous year end</w:t>
      </w:r>
      <w:r w:rsidR="00C40675">
        <w:t xml:space="preserve"> (€1,209 million)</w:t>
      </w:r>
      <w:r>
        <w:t xml:space="preserve">. </w:t>
      </w:r>
    </w:p>
    <w:p w14:paraId="28E44A09" w14:textId="2AB00BB3" w:rsidR="00F5193D" w:rsidRPr="00020AA2" w:rsidRDefault="009E3EF4" w:rsidP="00F5193D">
      <w:pPr>
        <w:pStyle w:val="BodyText"/>
      </w:pPr>
      <w:r>
        <w:rPr>
          <w:rFonts w:ascii="Verdana" w:hAnsi="Verdana"/>
        </w:rPr>
        <w:t>Moreover</w:t>
      </w:r>
      <w:r w:rsidR="00F5193D">
        <w:rPr>
          <w:rFonts w:ascii="Verdana" w:hAnsi="Verdana"/>
        </w:rPr>
        <w:t>, in April 2018, the Group performed a partial repurchase of the bond issue maturing in 2020 and issued new bonds maturing in 2024 and 2028, extending the average maturity of its bond debt with no significant impact on its future cash coupon</w:t>
      </w:r>
      <w:r w:rsidR="00F5193D">
        <w:t>.</w:t>
      </w:r>
      <w:r w:rsidR="00F5193D">
        <w:rPr>
          <w:rFonts w:ascii="Verdana" w:hAnsi="Verdana"/>
        </w:rPr>
        <w:t xml:space="preserve"> In July, the Group also repaid at maturity a €500 million bond issued in 2015. </w:t>
      </w:r>
    </w:p>
    <w:bookmarkEnd w:id="28"/>
    <w:bookmarkEnd w:id="29"/>
    <w:p w14:paraId="58F9048C" w14:textId="77777777" w:rsidR="0024070E" w:rsidRPr="001A6FC8" w:rsidRDefault="0024070E" w:rsidP="00980DC7">
      <w:pPr>
        <w:pStyle w:val="BodyText"/>
      </w:pPr>
    </w:p>
    <w:p w14:paraId="6430616C" w14:textId="77777777" w:rsidR="009E79D7" w:rsidRPr="001A6FC8" w:rsidRDefault="009B4DE9" w:rsidP="00980DC7">
      <w:pPr>
        <w:pStyle w:val="Heading1"/>
      </w:pPr>
      <w:r>
        <w:t>CONFERENCE CALL</w:t>
      </w:r>
    </w:p>
    <w:p w14:paraId="2F166206" w14:textId="2880FE8D" w:rsidR="009B4DE9" w:rsidRPr="0080774D" w:rsidRDefault="009B4DE9" w:rsidP="00980DC7">
      <w:pPr>
        <w:spacing w:before="120" w:after="120" w:line="288" w:lineRule="auto"/>
        <w:rPr>
          <w:rFonts w:cs="Arial"/>
        </w:rPr>
      </w:pPr>
      <w:r>
        <w:t xml:space="preserve">Paul Hermelin, Chairman and Chief Executive Officer, and Thierry Delaporte and Aiman Ezzat, Chief Operating Officers, </w:t>
      </w:r>
      <w:r w:rsidR="002D2E5B">
        <w:t xml:space="preserve">Carole Ferrand, Chief Financial Officer, and Rosemary Stark, </w:t>
      </w:r>
      <w:r w:rsidR="005D789B">
        <w:t>Chief</w:t>
      </w:r>
      <w:r w:rsidR="002D2E5B">
        <w:t xml:space="preserve"> Sales Officer, </w:t>
      </w:r>
      <w:r>
        <w:t xml:space="preserve">will present this press release during a conference call in English to be held </w:t>
      </w:r>
      <w:r>
        <w:rPr>
          <w:b/>
        </w:rPr>
        <w:t>today at 8.00 a.m. Paris time (CET)</w:t>
      </w:r>
      <w:r>
        <w:t xml:space="preserve">. You can follow this conference call live via webcast at the following </w:t>
      </w:r>
      <w:hyperlink r:id="rId11" w:history="1">
        <w:r>
          <w:rPr>
            <w:rStyle w:val="Hyperlink"/>
          </w:rPr>
          <w:t>link</w:t>
        </w:r>
      </w:hyperlink>
      <w:r>
        <w:t xml:space="preserve">. A replay will also be available for a period of one year. </w:t>
      </w:r>
    </w:p>
    <w:p w14:paraId="08BB4857" w14:textId="677061AE" w:rsidR="009B4DE9" w:rsidRPr="006355C8" w:rsidRDefault="009B4DE9" w:rsidP="00980DC7">
      <w:pPr>
        <w:spacing w:before="120" w:after="120" w:line="288" w:lineRule="auto"/>
        <w:rPr>
          <w:rFonts w:cs="Arial"/>
        </w:rPr>
      </w:pPr>
      <w:r>
        <w:t xml:space="preserve">All documents relating to this publication will be placed online on the Capgemini investor website at </w:t>
      </w:r>
      <w:hyperlink r:id="rId12" w:history="1">
        <w:r w:rsidR="00767DF1" w:rsidRPr="0017081E">
          <w:rPr>
            <w:rStyle w:val="Hyperlink"/>
          </w:rPr>
          <w:t>https://investors.capgemini.com/results</w:t>
        </w:r>
      </w:hyperlink>
      <w:r>
        <w:t>.</w:t>
      </w:r>
    </w:p>
    <w:p w14:paraId="13D2E203" w14:textId="77777777" w:rsidR="009B4DE9" w:rsidRPr="001A6047" w:rsidRDefault="009B4DE9" w:rsidP="00980DC7">
      <w:pPr>
        <w:spacing w:before="120" w:after="120" w:line="288" w:lineRule="auto"/>
        <w:rPr>
          <w:rFonts w:cs="Arial"/>
          <w:highlight w:val="cyan"/>
        </w:rPr>
      </w:pPr>
    </w:p>
    <w:p w14:paraId="1C354D9B" w14:textId="77777777" w:rsidR="00CD0E6A" w:rsidRPr="0038457F" w:rsidRDefault="00CD0E6A" w:rsidP="00980DC7">
      <w:pPr>
        <w:pStyle w:val="Heading1"/>
      </w:pPr>
      <w:r>
        <w:lastRenderedPageBreak/>
        <w:t>CALENDAR</w:t>
      </w:r>
    </w:p>
    <w:p w14:paraId="43EEF5D8" w14:textId="77777777" w:rsidR="009B4DE9" w:rsidRPr="007534FD" w:rsidRDefault="009B4DE9" w:rsidP="00980DC7">
      <w:pPr>
        <w:keepNext/>
        <w:tabs>
          <w:tab w:val="left" w:pos="1701"/>
        </w:tabs>
        <w:spacing w:line="288" w:lineRule="auto"/>
        <w:rPr>
          <w:rFonts w:cs="Arial"/>
        </w:rPr>
      </w:pPr>
      <w:bookmarkStart w:id="30" w:name="_Hlk505005616"/>
      <w:r>
        <w:t>April 25, 2019</w:t>
      </w:r>
      <w:r>
        <w:tab/>
        <w:t xml:space="preserve">Publication of Q1 2019 revenues </w:t>
      </w:r>
    </w:p>
    <w:p w14:paraId="415A44B2" w14:textId="4A7E57B6" w:rsidR="009B4DE9" w:rsidRPr="007534FD" w:rsidRDefault="006A37BE" w:rsidP="00980DC7">
      <w:pPr>
        <w:keepNext/>
        <w:tabs>
          <w:tab w:val="left" w:pos="1701"/>
        </w:tabs>
        <w:spacing w:line="288" w:lineRule="auto"/>
        <w:rPr>
          <w:rFonts w:cs="Arial"/>
        </w:rPr>
      </w:pPr>
      <w:r>
        <w:t>May 23, 2019</w:t>
      </w:r>
      <w:r>
        <w:tab/>
        <w:t xml:space="preserve">Shareholders’ Meeting </w:t>
      </w:r>
    </w:p>
    <w:p w14:paraId="3F0A49B7" w14:textId="77777777" w:rsidR="00D075B3" w:rsidRPr="007534FD" w:rsidRDefault="007534FD" w:rsidP="00980DC7">
      <w:pPr>
        <w:keepNext/>
        <w:tabs>
          <w:tab w:val="left" w:pos="1701"/>
        </w:tabs>
        <w:spacing w:line="288" w:lineRule="auto"/>
        <w:rPr>
          <w:rFonts w:cs="Arial"/>
        </w:rPr>
      </w:pPr>
      <w:r>
        <w:t>July 30, 2019</w:t>
      </w:r>
      <w:r>
        <w:tab/>
        <w:t xml:space="preserve">Publication of H1 2019 results </w:t>
      </w:r>
    </w:p>
    <w:bookmarkEnd w:id="30"/>
    <w:p w14:paraId="08BABE49" w14:textId="77777777" w:rsidR="009B4DE9" w:rsidRPr="007534FD" w:rsidRDefault="007265BF" w:rsidP="00980DC7">
      <w:pPr>
        <w:keepNext/>
        <w:spacing w:before="120" w:line="288" w:lineRule="auto"/>
        <w:rPr>
          <w:rFonts w:cs="Arial"/>
        </w:rPr>
      </w:pPr>
      <w:r>
        <w:t>The following dividend payment schedule will be presented to the Shareholders’ Meeting for approval:</w:t>
      </w:r>
    </w:p>
    <w:p w14:paraId="7F22B0F6" w14:textId="0ECA73B8" w:rsidR="009B4DE9" w:rsidRPr="001979AC" w:rsidRDefault="00AE4AB4" w:rsidP="00980DC7">
      <w:pPr>
        <w:keepNext/>
        <w:tabs>
          <w:tab w:val="left" w:pos="1701"/>
        </w:tabs>
        <w:spacing w:line="288" w:lineRule="auto"/>
        <w:rPr>
          <w:rFonts w:cs="Arial"/>
        </w:rPr>
      </w:pPr>
      <w:r w:rsidRPr="00FA784E">
        <w:t xml:space="preserve">June </w:t>
      </w:r>
      <w:r w:rsidR="00736BE1" w:rsidRPr="00FA784E">
        <w:t>5</w:t>
      </w:r>
      <w:r w:rsidRPr="00FA784E">
        <w:t xml:space="preserve">, </w:t>
      </w:r>
      <w:r w:rsidRPr="001979AC">
        <w:t>2019</w:t>
      </w:r>
      <w:r w:rsidRPr="001979AC">
        <w:tab/>
        <w:t>Ex-dividend date on Euronext Paris</w:t>
      </w:r>
    </w:p>
    <w:p w14:paraId="70EBC147" w14:textId="07C61C62" w:rsidR="009B4DE9" w:rsidRPr="005359A0" w:rsidRDefault="00AE4AB4" w:rsidP="00980DC7">
      <w:pPr>
        <w:tabs>
          <w:tab w:val="left" w:pos="1701"/>
        </w:tabs>
        <w:spacing w:line="288" w:lineRule="auto"/>
        <w:rPr>
          <w:rFonts w:cs="Arial"/>
        </w:rPr>
      </w:pPr>
      <w:r w:rsidRPr="00FA784E">
        <w:t xml:space="preserve">June </w:t>
      </w:r>
      <w:r w:rsidR="00736BE1" w:rsidRPr="00FA784E">
        <w:t>7</w:t>
      </w:r>
      <w:r w:rsidRPr="00FA784E">
        <w:t xml:space="preserve">, </w:t>
      </w:r>
      <w:r w:rsidRPr="001979AC">
        <w:t>2019</w:t>
      </w:r>
      <w:r>
        <w:tab/>
        <w:t>Payment of the dividend</w:t>
      </w:r>
    </w:p>
    <w:p w14:paraId="1F62C0FF" w14:textId="77777777" w:rsidR="009B4DE9" w:rsidRPr="005359A0" w:rsidRDefault="009B4DE9" w:rsidP="008D44B5">
      <w:pPr>
        <w:tabs>
          <w:tab w:val="left" w:pos="1701"/>
        </w:tabs>
        <w:spacing w:line="288" w:lineRule="auto"/>
        <w:rPr>
          <w:rFonts w:cs="Arial"/>
        </w:rPr>
      </w:pPr>
    </w:p>
    <w:p w14:paraId="2A92C863" w14:textId="77777777" w:rsidR="00717BB4" w:rsidRPr="005359A0" w:rsidRDefault="00717BB4" w:rsidP="00873F03">
      <w:pPr>
        <w:pStyle w:val="Heading1"/>
      </w:pPr>
      <w:r>
        <w:t>DISCLAIMER</w:t>
      </w:r>
    </w:p>
    <w:p w14:paraId="5C1E37F5" w14:textId="77777777" w:rsidR="00717BB4" w:rsidRPr="005359A0" w:rsidRDefault="00717BB4" w:rsidP="002D7EC7">
      <w:pPr>
        <w:spacing w:before="120" w:after="120"/>
        <w:rPr>
          <w:rFonts w:cs="Arial"/>
        </w:rPr>
      </w:pPr>
      <w:r>
        <w:t>This press release may contain forward-looking statements. Such statements may include projections, estimates, assumptions, statements regarding plans, objectives, intentions and/or expectations with respect to future financial results, events, operations and services and product development, as well as statements, regarding future performance or events. Forward-looking statements are generally identified by the words “expects”, “anticipates”, “believes”, “intends”, “estimates”, “plans”, “projects”, “may”, “would” “should” or the negatives of these terms and similar expressions. Although Capgemini’s management currently believes that the expectations reflected in such forward-looking statements are reasonable, investors are cautioned that forward-looking statements are subject to various risks and uncertainties (including, without limitation, risks identified in Capgemini’s Registration Document available on Capgemini’s website), because they relate to future events and depend on future circumstances that may or may not occur and may be different from those anticipated, many of which are difficult to predict and generally beyond the control of Capgemini. Actual results and developments may differ materially from those expressed in, implied by or projected by forward-looking statements. Forward-looking statements are not intended to and do not give any assurances or comfort as to future events or results. Other than as required by applicable law, Capgemini does not undertake any obligation to update or revise any forward-looking statement.</w:t>
      </w:r>
    </w:p>
    <w:p w14:paraId="0E55A27A" w14:textId="77777777" w:rsidR="00717BB4" w:rsidRPr="005359A0" w:rsidRDefault="00717BB4" w:rsidP="002D7EC7">
      <w:pPr>
        <w:rPr>
          <w:rFonts w:cs="Arial"/>
          <w:b/>
          <w:bCs/>
          <w:color w:val="000000"/>
        </w:rPr>
      </w:pPr>
      <w:r>
        <w:t>This press release does not contain or constitute an offer of securities for sale or an invitation or inducement to invest in securities in France, the United States or any other jurisdiction.</w:t>
      </w:r>
      <w:r>
        <w:rPr>
          <w:b/>
          <w:bCs/>
          <w:color w:val="000000"/>
        </w:rPr>
        <w:t xml:space="preserve"> </w:t>
      </w:r>
    </w:p>
    <w:p w14:paraId="0646C817" w14:textId="77777777" w:rsidR="00717BB4" w:rsidRPr="005359A0" w:rsidRDefault="002D7EC7" w:rsidP="009B4DE9">
      <w:pPr>
        <w:pStyle w:val="Heading1"/>
      </w:pPr>
      <w:r>
        <w:br/>
        <w:t>About Capgemini</w:t>
      </w:r>
    </w:p>
    <w:p w14:paraId="6476BC72" w14:textId="4E940F4E" w:rsidR="00E6675F" w:rsidRPr="005359A0" w:rsidRDefault="00E6675F" w:rsidP="00E6675F">
      <w:pPr>
        <w:rPr>
          <w:rFonts w:cs="Arial"/>
        </w:rPr>
      </w:pPr>
      <w:r>
        <w:t xml:space="preserve">A global leader in consulting, technology services and digital transformation, Capgemini is at the forefront of innovation to address the entire breadth of clients’ opportunities in the evolving world of cloud, digital and platforms. Building on its strong 50-year heritage and deep industry-specific expertise, Capgemini enables organizations to realize their business ambitions through an array of services from strategy to operations. Capgemini is driven by the conviction that the business value of technology comes from and through people. It is a multicultural company of </w:t>
      </w:r>
      <w:r w:rsidR="00CE070B">
        <w:t xml:space="preserve">over </w:t>
      </w:r>
      <w:r>
        <w:t xml:space="preserve">200,000 team members in </w:t>
      </w:r>
      <w:r w:rsidR="004F1383">
        <w:t>more than</w:t>
      </w:r>
      <w:r>
        <w:t xml:space="preserve"> 40 countries. The Group reported 2018 global revenues of EUR 13.2 billion.</w:t>
      </w:r>
    </w:p>
    <w:p w14:paraId="3A28540E" w14:textId="0A4C9AD0" w:rsidR="00E6675F" w:rsidRPr="005359A0" w:rsidRDefault="00E6675F" w:rsidP="00E6675F">
      <w:pPr>
        <w:rPr>
          <w:rFonts w:cs="Arial"/>
        </w:rPr>
      </w:pPr>
      <w:r>
        <w:t>Visit us at</w:t>
      </w:r>
      <w:hyperlink r:id="rId13" w:history="1">
        <w:r>
          <w:rPr>
            <w:rStyle w:val="Hyperlink"/>
          </w:rPr>
          <w:t xml:space="preserve"> </w:t>
        </w:r>
      </w:hyperlink>
      <w:hyperlink r:id="rId14" w:history="1">
        <w:r w:rsidR="00767DF1" w:rsidRPr="0017081E">
          <w:rPr>
            <w:rStyle w:val="Hyperlink"/>
          </w:rPr>
          <w:t>www.capgemini.com</w:t>
        </w:r>
      </w:hyperlink>
      <w:r>
        <w:t>.</w:t>
      </w:r>
      <w:r w:rsidR="00767DF1">
        <w:t xml:space="preserve"> </w:t>
      </w:r>
      <w:r>
        <w:t>People matter, results count.</w:t>
      </w:r>
    </w:p>
    <w:p w14:paraId="382D737B" w14:textId="77777777" w:rsidR="004C6FA0" w:rsidRPr="005359A0" w:rsidRDefault="004C6FA0" w:rsidP="004C6FA0">
      <w:pPr>
        <w:rPr>
          <w:rFonts w:cs="Arial"/>
          <w:b/>
        </w:rPr>
      </w:pPr>
    </w:p>
    <w:p w14:paraId="42B3F9B8" w14:textId="77777777" w:rsidR="001A6FC8" w:rsidRPr="005359A0" w:rsidRDefault="001A6FC8" w:rsidP="004C6FA0">
      <w:pPr>
        <w:rPr>
          <w:rFonts w:cs="Arial"/>
          <w:b/>
        </w:rPr>
      </w:pPr>
    </w:p>
    <w:p w14:paraId="0D7FDEFD" w14:textId="77777777" w:rsidR="00EA4094" w:rsidRPr="005359A0" w:rsidRDefault="00EA4094" w:rsidP="004C6FA0">
      <w:pPr>
        <w:rPr>
          <w:rFonts w:cs="Arial"/>
          <w:b/>
        </w:rPr>
      </w:pPr>
    </w:p>
    <w:p w14:paraId="7D9A4CE6" w14:textId="77777777" w:rsidR="00EA4094" w:rsidRPr="005359A0" w:rsidRDefault="00EA4094" w:rsidP="004C6FA0">
      <w:pPr>
        <w:rPr>
          <w:rFonts w:cs="Arial"/>
          <w:b/>
        </w:rPr>
      </w:pPr>
    </w:p>
    <w:p w14:paraId="23850E37" w14:textId="77777777" w:rsidR="00304D4A" w:rsidRPr="005359A0" w:rsidRDefault="00304D4A" w:rsidP="004C6FA0">
      <w:pPr>
        <w:rPr>
          <w:rFonts w:cs="Arial"/>
          <w:b/>
        </w:rPr>
      </w:pPr>
    </w:p>
    <w:p w14:paraId="427F14CB" w14:textId="77777777" w:rsidR="004C6FA0" w:rsidRPr="005359A0" w:rsidRDefault="004C6FA0" w:rsidP="004C6FA0">
      <w:pPr>
        <w:jc w:val="center"/>
        <w:rPr>
          <w:rFonts w:cs="Arial"/>
          <w:b/>
        </w:rPr>
      </w:pPr>
      <w:r>
        <w:rPr>
          <w:b/>
        </w:rPr>
        <w:t>*          *</w:t>
      </w:r>
    </w:p>
    <w:p w14:paraId="204D8E28" w14:textId="77777777" w:rsidR="004C6FA0" w:rsidRPr="005359A0" w:rsidRDefault="004C6FA0" w:rsidP="004C6FA0">
      <w:pPr>
        <w:jc w:val="center"/>
        <w:rPr>
          <w:rFonts w:cs="Arial"/>
          <w:b/>
        </w:rPr>
      </w:pPr>
    </w:p>
    <w:p w14:paraId="5A536946" w14:textId="77777777" w:rsidR="004C6FA0" w:rsidRPr="005359A0" w:rsidRDefault="004C6FA0" w:rsidP="004C6FA0">
      <w:pPr>
        <w:jc w:val="center"/>
        <w:rPr>
          <w:rFonts w:cs="Arial"/>
          <w:b/>
        </w:rPr>
      </w:pPr>
      <w:r>
        <w:rPr>
          <w:b/>
        </w:rPr>
        <w:t>*</w:t>
      </w:r>
    </w:p>
    <w:p w14:paraId="4CFA8CFA" w14:textId="77777777" w:rsidR="004C6FA0" w:rsidRPr="005359A0" w:rsidRDefault="004C6FA0" w:rsidP="004C6FA0">
      <w:pPr>
        <w:jc w:val="center"/>
        <w:rPr>
          <w:rFonts w:cs="Arial"/>
          <w:b/>
        </w:rPr>
      </w:pPr>
    </w:p>
    <w:p w14:paraId="42FF37E6" w14:textId="77777777" w:rsidR="00EA4094" w:rsidRPr="005359A0" w:rsidRDefault="00EA4094" w:rsidP="004C6FA0">
      <w:pPr>
        <w:jc w:val="center"/>
        <w:rPr>
          <w:rFonts w:cs="Arial"/>
          <w:b/>
        </w:rPr>
      </w:pPr>
    </w:p>
    <w:p w14:paraId="54104DAB" w14:textId="77777777" w:rsidR="00917676" w:rsidRDefault="00917676">
      <w:pPr>
        <w:jc w:val="left"/>
        <w:rPr>
          <w:rFonts w:cs="Arial"/>
          <w:b/>
        </w:rPr>
      </w:pPr>
      <w:r>
        <w:rPr>
          <w:rFonts w:cs="Arial"/>
          <w:b/>
        </w:rPr>
        <w:br w:type="page"/>
      </w:r>
    </w:p>
    <w:p w14:paraId="10806E2B" w14:textId="77777777" w:rsidR="00EA4094" w:rsidRPr="005359A0" w:rsidRDefault="00EA4094" w:rsidP="004C6FA0">
      <w:pPr>
        <w:jc w:val="center"/>
        <w:rPr>
          <w:rFonts w:cs="Arial"/>
          <w:b/>
        </w:rPr>
      </w:pPr>
    </w:p>
    <w:p w14:paraId="2A0F2151" w14:textId="77777777" w:rsidR="00164A65" w:rsidRPr="005359A0" w:rsidRDefault="00164A65" w:rsidP="004C6FA0">
      <w:pPr>
        <w:jc w:val="center"/>
        <w:rPr>
          <w:rFonts w:cs="Arial"/>
          <w:b/>
        </w:rPr>
      </w:pPr>
    </w:p>
    <w:p w14:paraId="217DF506" w14:textId="77777777" w:rsidR="001A6FC8" w:rsidRPr="005359A0" w:rsidRDefault="004C6FA0" w:rsidP="00EA4094">
      <w:pPr>
        <w:jc w:val="center"/>
        <w:rPr>
          <w:rFonts w:cs="Arial"/>
        </w:rPr>
      </w:pPr>
      <w:bookmarkStart w:id="31" w:name="_Hlk535519694"/>
      <w:r>
        <w:t>APPENDIX</w:t>
      </w:r>
      <w:r w:rsidR="001A6FC8" w:rsidRPr="00F254FB">
        <w:rPr>
          <w:rStyle w:val="FootnoteReference"/>
          <w:rFonts w:cs="Arial"/>
        </w:rPr>
        <w:footnoteReference w:id="6"/>
      </w:r>
    </w:p>
    <w:p w14:paraId="782D9D6D" w14:textId="77777777" w:rsidR="004C6FA0" w:rsidRPr="005359A0" w:rsidRDefault="004C6FA0" w:rsidP="004C6FA0">
      <w:pPr>
        <w:jc w:val="center"/>
        <w:rPr>
          <w:rFonts w:cs="Arial"/>
          <w:b/>
        </w:rPr>
      </w:pPr>
    </w:p>
    <w:p w14:paraId="08FD4BEC" w14:textId="77777777" w:rsidR="002454A6" w:rsidRPr="005359A0" w:rsidRDefault="002454A6" w:rsidP="003C6ED1">
      <w:pPr>
        <w:rPr>
          <w:rFonts w:cs="Arial"/>
        </w:rPr>
      </w:pPr>
    </w:p>
    <w:p w14:paraId="785650CE" w14:textId="77777777" w:rsidR="00B77760" w:rsidRPr="005359A0" w:rsidRDefault="00B77760" w:rsidP="009B4DE9">
      <w:pPr>
        <w:pStyle w:val="Heading1"/>
      </w:pPr>
      <w:r>
        <w:t xml:space="preserve">DEFINITIONS </w:t>
      </w:r>
    </w:p>
    <w:p w14:paraId="2266F842" w14:textId="5369A491" w:rsidR="00B77760" w:rsidRPr="005359A0" w:rsidRDefault="00B77760" w:rsidP="009B4DE9">
      <w:pPr>
        <w:spacing w:before="120" w:after="120"/>
        <w:rPr>
          <w:rFonts w:cs="Arial"/>
        </w:rPr>
      </w:pPr>
      <w:r>
        <w:rPr>
          <w:b/>
        </w:rPr>
        <w:t>Organic growth</w:t>
      </w:r>
      <w:r>
        <w:t xml:space="preserve">, or like-for-like growth, in revenues is the growth rate calculated at </w:t>
      </w:r>
      <w:r>
        <w:rPr>
          <w:b/>
        </w:rPr>
        <w:t>constant Group scope and exchange rates</w:t>
      </w:r>
      <w:r>
        <w:t xml:space="preserve">. The Group scope and exchange rates used are those for the reported period. </w:t>
      </w:r>
      <w:r w:rsidR="000E5D82">
        <w:t>Exchange rate</w:t>
      </w:r>
      <w:r>
        <w:t xml:space="preserve">s for the reported period are also used to calculate </w:t>
      </w:r>
      <w:r>
        <w:rPr>
          <w:b/>
        </w:rPr>
        <w:t>growth at constant exchange rates</w:t>
      </w:r>
      <w:r>
        <w:t xml:space="preserve">. </w:t>
      </w:r>
    </w:p>
    <w:tbl>
      <w:tblPr>
        <w:tblW w:w="6520" w:type="dxa"/>
        <w:jc w:val="center"/>
        <w:tblBorders>
          <w:top w:val="single" w:sz="8" w:space="0" w:color="0070AD"/>
          <w:bottom w:val="single" w:sz="8" w:space="0" w:color="0070AD"/>
          <w:insideH w:val="single" w:sz="8" w:space="0" w:color="0070AD"/>
        </w:tblBorders>
        <w:tblLayout w:type="fixed"/>
        <w:tblCellMar>
          <w:left w:w="0" w:type="dxa"/>
          <w:right w:w="0" w:type="dxa"/>
        </w:tblCellMar>
        <w:tblLook w:val="01E0" w:firstRow="1" w:lastRow="1" w:firstColumn="1" w:lastColumn="1" w:noHBand="0" w:noVBand="0"/>
      </w:tblPr>
      <w:tblGrid>
        <w:gridCol w:w="3798"/>
        <w:gridCol w:w="1361"/>
        <w:gridCol w:w="1361"/>
      </w:tblGrid>
      <w:tr w:rsidR="00A82A83" w:rsidRPr="005359A0" w14:paraId="060F5909" w14:textId="77777777" w:rsidTr="008E11D2">
        <w:trPr>
          <w:trHeight w:val="338"/>
          <w:jc w:val="center"/>
        </w:trPr>
        <w:tc>
          <w:tcPr>
            <w:tcW w:w="3798" w:type="dxa"/>
            <w:vAlign w:val="center"/>
          </w:tcPr>
          <w:p w14:paraId="634EB48C" w14:textId="77777777" w:rsidR="00A82A83" w:rsidRPr="005359A0" w:rsidRDefault="00A82A83" w:rsidP="00450347">
            <w:pPr>
              <w:pStyle w:val="TableParagraph"/>
              <w:keepNext/>
              <w:spacing w:before="29"/>
              <w:ind w:left="63"/>
              <w:jc w:val="center"/>
              <w:rPr>
                <w:rFonts w:cs="Arial"/>
                <w:b/>
                <w:color w:val="30849B"/>
                <w:sz w:val="14"/>
                <w:szCs w:val="14"/>
              </w:rPr>
            </w:pPr>
            <w:r>
              <w:rPr>
                <w:b/>
                <w:sz w:val="14"/>
                <w:szCs w:val="14"/>
              </w:rPr>
              <w:t>Reconciliation of growth rates</w:t>
            </w:r>
          </w:p>
        </w:tc>
        <w:tc>
          <w:tcPr>
            <w:tcW w:w="1361" w:type="dxa"/>
            <w:shd w:val="clear" w:color="auto" w:fill="BBE7FF" w:themeFill="accent1" w:themeFillTint="33"/>
            <w:vAlign w:val="center"/>
          </w:tcPr>
          <w:p w14:paraId="5D713E04" w14:textId="16DB24C5" w:rsidR="00A82A83" w:rsidRPr="005359A0" w:rsidRDefault="009B4DE9" w:rsidP="00450347">
            <w:pPr>
              <w:pStyle w:val="TableParagraph"/>
              <w:keepNext/>
              <w:spacing w:before="29"/>
              <w:ind w:left="63"/>
              <w:jc w:val="center"/>
              <w:rPr>
                <w:rFonts w:cs="Arial"/>
                <w:b/>
                <w:color w:val="0070AD"/>
                <w:sz w:val="14"/>
                <w:szCs w:val="14"/>
              </w:rPr>
            </w:pPr>
            <w:r>
              <w:rPr>
                <w:b/>
                <w:color w:val="0070AD"/>
                <w:sz w:val="14"/>
                <w:szCs w:val="14"/>
              </w:rPr>
              <w:t>Q4</w:t>
            </w:r>
          </w:p>
          <w:p w14:paraId="5C651384" w14:textId="77777777" w:rsidR="00A82A83" w:rsidRPr="005359A0" w:rsidRDefault="00EB7381" w:rsidP="00450347">
            <w:pPr>
              <w:pStyle w:val="TableParagraph"/>
              <w:keepNext/>
              <w:spacing w:before="29"/>
              <w:ind w:left="63"/>
              <w:jc w:val="center"/>
              <w:rPr>
                <w:rFonts w:cs="Arial"/>
                <w:b/>
                <w:color w:val="0070AD"/>
                <w:sz w:val="14"/>
                <w:szCs w:val="14"/>
              </w:rPr>
            </w:pPr>
            <w:r>
              <w:rPr>
                <w:b/>
                <w:color w:val="0070AD"/>
                <w:sz w:val="14"/>
                <w:szCs w:val="14"/>
              </w:rPr>
              <w:t>2018</w:t>
            </w:r>
          </w:p>
        </w:tc>
        <w:tc>
          <w:tcPr>
            <w:tcW w:w="1361" w:type="dxa"/>
            <w:shd w:val="clear" w:color="auto" w:fill="BBE7FF" w:themeFill="accent1" w:themeFillTint="33"/>
            <w:vAlign w:val="center"/>
          </w:tcPr>
          <w:p w14:paraId="2CAA96A8" w14:textId="77777777" w:rsidR="00A82A83" w:rsidRPr="005359A0" w:rsidRDefault="009B4DE9" w:rsidP="00450347">
            <w:pPr>
              <w:pStyle w:val="TableParagraph"/>
              <w:keepNext/>
              <w:spacing w:before="29"/>
              <w:ind w:left="63"/>
              <w:jc w:val="center"/>
              <w:rPr>
                <w:rFonts w:cs="Arial"/>
                <w:b/>
                <w:color w:val="0070AD"/>
                <w:sz w:val="14"/>
                <w:szCs w:val="14"/>
              </w:rPr>
            </w:pPr>
            <w:r>
              <w:rPr>
                <w:b/>
                <w:color w:val="0070AD"/>
                <w:sz w:val="14"/>
                <w:szCs w:val="14"/>
              </w:rPr>
              <w:t>Year</w:t>
            </w:r>
          </w:p>
          <w:p w14:paraId="27626D7F" w14:textId="77777777" w:rsidR="00A82A83" w:rsidRPr="005359A0" w:rsidRDefault="00EB7381" w:rsidP="00450347">
            <w:pPr>
              <w:pStyle w:val="TableParagraph"/>
              <w:keepNext/>
              <w:spacing w:before="29"/>
              <w:ind w:left="63"/>
              <w:jc w:val="center"/>
              <w:rPr>
                <w:rFonts w:cs="Arial"/>
                <w:b/>
                <w:color w:val="0070AD"/>
                <w:sz w:val="14"/>
                <w:szCs w:val="14"/>
              </w:rPr>
            </w:pPr>
            <w:r>
              <w:rPr>
                <w:b/>
                <w:color w:val="0070AD"/>
                <w:sz w:val="14"/>
                <w:szCs w:val="14"/>
              </w:rPr>
              <w:t>2018</w:t>
            </w:r>
          </w:p>
        </w:tc>
      </w:tr>
      <w:tr w:rsidR="006354B0" w:rsidRPr="005359A0" w14:paraId="5F1530A5" w14:textId="77777777" w:rsidTr="008E11D2">
        <w:trPr>
          <w:trHeight w:val="227"/>
          <w:jc w:val="center"/>
        </w:trPr>
        <w:tc>
          <w:tcPr>
            <w:tcW w:w="3798" w:type="dxa"/>
            <w:vAlign w:val="center"/>
          </w:tcPr>
          <w:p w14:paraId="15D77514" w14:textId="77777777" w:rsidR="006354B0" w:rsidRPr="005359A0" w:rsidRDefault="006354B0" w:rsidP="006354B0">
            <w:pPr>
              <w:pStyle w:val="TableParagraph"/>
              <w:keepNext/>
              <w:spacing w:before="29"/>
              <w:ind w:left="63"/>
              <w:rPr>
                <w:rFonts w:cs="Arial"/>
                <w:b/>
                <w:color w:val="0070AD" w:themeColor="accent1"/>
                <w:sz w:val="14"/>
                <w:szCs w:val="14"/>
              </w:rPr>
            </w:pPr>
            <w:r>
              <w:rPr>
                <w:b/>
                <w:color w:val="0070AD" w:themeColor="accent1"/>
                <w:sz w:val="14"/>
                <w:szCs w:val="14"/>
              </w:rPr>
              <w:t xml:space="preserve">Organic growth </w:t>
            </w:r>
          </w:p>
        </w:tc>
        <w:tc>
          <w:tcPr>
            <w:tcW w:w="1361" w:type="dxa"/>
            <w:tcBorders>
              <w:top w:val="nil"/>
              <w:left w:val="nil"/>
              <w:bottom w:val="single" w:sz="8" w:space="0" w:color="0070AD"/>
              <w:right w:val="nil"/>
            </w:tcBorders>
            <w:shd w:val="clear" w:color="000000" w:fill="BBE7FF"/>
            <w:vAlign w:val="center"/>
          </w:tcPr>
          <w:p w14:paraId="05B34CB2" w14:textId="77777777" w:rsidR="006354B0" w:rsidRPr="005359A0" w:rsidRDefault="006354B0" w:rsidP="006354B0">
            <w:pPr>
              <w:ind w:firstLineChars="200" w:firstLine="281"/>
              <w:jc w:val="center"/>
              <w:rPr>
                <w:rFonts w:ascii="Verdana" w:hAnsi="Verdana"/>
                <w:b/>
                <w:bCs/>
                <w:color w:val="0070AD"/>
                <w:sz w:val="14"/>
                <w:szCs w:val="14"/>
              </w:rPr>
            </w:pPr>
            <w:r>
              <w:rPr>
                <w:rFonts w:ascii="Verdana" w:hAnsi="Verdana"/>
                <w:b/>
                <w:bCs/>
                <w:color w:val="0070AD"/>
                <w:sz w:val="14"/>
                <w:szCs w:val="14"/>
              </w:rPr>
              <w:t>+5.7%</w:t>
            </w:r>
          </w:p>
        </w:tc>
        <w:tc>
          <w:tcPr>
            <w:tcW w:w="1361" w:type="dxa"/>
            <w:tcBorders>
              <w:top w:val="nil"/>
              <w:left w:val="nil"/>
              <w:bottom w:val="single" w:sz="8" w:space="0" w:color="0070AD"/>
              <w:right w:val="nil"/>
            </w:tcBorders>
            <w:shd w:val="clear" w:color="000000" w:fill="BBE7FF"/>
            <w:vAlign w:val="center"/>
          </w:tcPr>
          <w:p w14:paraId="4A9206A1" w14:textId="77777777" w:rsidR="006354B0" w:rsidRPr="005359A0" w:rsidRDefault="006354B0" w:rsidP="006354B0">
            <w:pPr>
              <w:ind w:firstLineChars="200" w:firstLine="281"/>
              <w:jc w:val="center"/>
              <w:rPr>
                <w:rFonts w:ascii="Verdana" w:hAnsi="Verdana"/>
                <w:b/>
                <w:bCs/>
                <w:color w:val="0070AD"/>
                <w:sz w:val="14"/>
                <w:szCs w:val="14"/>
              </w:rPr>
            </w:pPr>
            <w:r>
              <w:rPr>
                <w:rFonts w:ascii="Verdana" w:hAnsi="Verdana"/>
                <w:b/>
                <w:bCs/>
                <w:color w:val="0070AD"/>
                <w:sz w:val="14"/>
                <w:szCs w:val="14"/>
              </w:rPr>
              <w:t>+6.2%</w:t>
            </w:r>
          </w:p>
        </w:tc>
      </w:tr>
      <w:tr w:rsidR="006354B0" w:rsidRPr="005359A0" w14:paraId="3811693C" w14:textId="77777777" w:rsidTr="008E11D2">
        <w:trPr>
          <w:trHeight w:val="227"/>
          <w:jc w:val="center"/>
        </w:trPr>
        <w:tc>
          <w:tcPr>
            <w:tcW w:w="3798" w:type="dxa"/>
            <w:vAlign w:val="center"/>
          </w:tcPr>
          <w:p w14:paraId="4AF801D5" w14:textId="77777777" w:rsidR="006354B0" w:rsidRPr="005359A0" w:rsidRDefault="006354B0" w:rsidP="006354B0">
            <w:pPr>
              <w:pStyle w:val="TableParagraph"/>
              <w:keepNext/>
              <w:ind w:left="142"/>
              <w:rPr>
                <w:rFonts w:cs="Arial"/>
                <w:sz w:val="14"/>
                <w:szCs w:val="14"/>
              </w:rPr>
            </w:pPr>
            <w:r>
              <w:rPr>
                <w:sz w:val="14"/>
                <w:szCs w:val="14"/>
              </w:rPr>
              <w:t>Changes in Group scope</w:t>
            </w:r>
          </w:p>
        </w:tc>
        <w:tc>
          <w:tcPr>
            <w:tcW w:w="1361" w:type="dxa"/>
            <w:tcBorders>
              <w:top w:val="nil"/>
              <w:left w:val="nil"/>
              <w:bottom w:val="single" w:sz="8" w:space="0" w:color="0070AD"/>
              <w:right w:val="nil"/>
            </w:tcBorders>
            <w:shd w:val="clear" w:color="000000" w:fill="BBE7FF"/>
            <w:vAlign w:val="center"/>
          </w:tcPr>
          <w:p w14:paraId="276B24B1" w14:textId="77777777" w:rsidR="006354B0" w:rsidRPr="005359A0" w:rsidRDefault="006354B0" w:rsidP="006354B0">
            <w:pPr>
              <w:ind w:firstLineChars="200" w:firstLine="280"/>
              <w:jc w:val="center"/>
              <w:rPr>
                <w:rFonts w:ascii="Verdana" w:hAnsi="Verdana"/>
                <w:color w:val="000000"/>
                <w:sz w:val="14"/>
                <w:szCs w:val="14"/>
              </w:rPr>
            </w:pPr>
            <w:r>
              <w:rPr>
                <w:rFonts w:ascii="Verdana" w:hAnsi="Verdana"/>
                <w:color w:val="000000"/>
                <w:sz w:val="14"/>
                <w:szCs w:val="14"/>
              </w:rPr>
              <w:t>+2.1pt</w:t>
            </w:r>
          </w:p>
        </w:tc>
        <w:tc>
          <w:tcPr>
            <w:tcW w:w="1361" w:type="dxa"/>
            <w:tcBorders>
              <w:top w:val="nil"/>
              <w:left w:val="nil"/>
              <w:bottom w:val="single" w:sz="8" w:space="0" w:color="0070AD"/>
              <w:right w:val="nil"/>
            </w:tcBorders>
            <w:shd w:val="clear" w:color="000000" w:fill="BBE7FF"/>
            <w:vAlign w:val="center"/>
          </w:tcPr>
          <w:p w14:paraId="546B6BBF" w14:textId="77777777" w:rsidR="006354B0" w:rsidRPr="005359A0" w:rsidRDefault="006354B0" w:rsidP="006354B0">
            <w:pPr>
              <w:ind w:firstLineChars="200" w:firstLine="280"/>
              <w:jc w:val="center"/>
              <w:rPr>
                <w:rFonts w:ascii="Verdana" w:hAnsi="Verdana"/>
                <w:color w:val="000000"/>
                <w:sz w:val="14"/>
                <w:szCs w:val="14"/>
              </w:rPr>
            </w:pPr>
            <w:r>
              <w:rPr>
                <w:rFonts w:ascii="Verdana" w:hAnsi="Verdana"/>
                <w:color w:val="000000"/>
                <w:sz w:val="14"/>
                <w:szCs w:val="14"/>
              </w:rPr>
              <w:t>+1.9pt</w:t>
            </w:r>
          </w:p>
        </w:tc>
      </w:tr>
      <w:tr w:rsidR="006354B0" w:rsidRPr="005359A0" w14:paraId="55DBA4CF" w14:textId="77777777" w:rsidTr="008E11D2">
        <w:trPr>
          <w:trHeight w:val="227"/>
          <w:jc w:val="center"/>
        </w:trPr>
        <w:tc>
          <w:tcPr>
            <w:tcW w:w="3798" w:type="dxa"/>
            <w:vAlign w:val="center"/>
          </w:tcPr>
          <w:p w14:paraId="0EFEFD63" w14:textId="77777777" w:rsidR="006354B0" w:rsidRPr="005359A0" w:rsidRDefault="006354B0" w:rsidP="006354B0">
            <w:pPr>
              <w:pStyle w:val="TableParagraph"/>
              <w:keepNext/>
              <w:spacing w:before="29"/>
              <w:ind w:left="63"/>
              <w:rPr>
                <w:rFonts w:cs="Arial"/>
                <w:b/>
                <w:color w:val="0070AD"/>
                <w:sz w:val="14"/>
                <w:szCs w:val="14"/>
              </w:rPr>
            </w:pPr>
            <w:r>
              <w:rPr>
                <w:b/>
                <w:color w:val="0070AD"/>
                <w:sz w:val="14"/>
                <w:szCs w:val="14"/>
              </w:rPr>
              <w:t>Growth at constant exchange rates</w:t>
            </w:r>
          </w:p>
        </w:tc>
        <w:tc>
          <w:tcPr>
            <w:tcW w:w="1361" w:type="dxa"/>
            <w:tcBorders>
              <w:top w:val="nil"/>
              <w:left w:val="nil"/>
              <w:bottom w:val="single" w:sz="8" w:space="0" w:color="0070AD"/>
              <w:right w:val="nil"/>
            </w:tcBorders>
            <w:shd w:val="clear" w:color="000000" w:fill="BBE7FF"/>
            <w:vAlign w:val="center"/>
          </w:tcPr>
          <w:p w14:paraId="674B8997" w14:textId="77777777" w:rsidR="006354B0" w:rsidRPr="005359A0" w:rsidRDefault="006354B0" w:rsidP="006354B0">
            <w:pPr>
              <w:ind w:firstLineChars="200" w:firstLine="281"/>
              <w:jc w:val="center"/>
              <w:rPr>
                <w:rFonts w:ascii="Verdana" w:hAnsi="Verdana"/>
                <w:b/>
                <w:bCs/>
                <w:color w:val="0070AD"/>
                <w:sz w:val="14"/>
                <w:szCs w:val="14"/>
              </w:rPr>
            </w:pPr>
            <w:r>
              <w:rPr>
                <w:rFonts w:ascii="Verdana" w:hAnsi="Verdana"/>
                <w:b/>
                <w:bCs/>
                <w:color w:val="0070AD"/>
                <w:sz w:val="14"/>
                <w:szCs w:val="14"/>
              </w:rPr>
              <w:t>+7.8%</w:t>
            </w:r>
          </w:p>
        </w:tc>
        <w:tc>
          <w:tcPr>
            <w:tcW w:w="1361" w:type="dxa"/>
            <w:tcBorders>
              <w:top w:val="nil"/>
              <w:left w:val="nil"/>
              <w:bottom w:val="single" w:sz="8" w:space="0" w:color="0070AD"/>
              <w:right w:val="nil"/>
            </w:tcBorders>
            <w:shd w:val="clear" w:color="000000" w:fill="BBE7FF"/>
            <w:vAlign w:val="center"/>
          </w:tcPr>
          <w:p w14:paraId="57EA62C3" w14:textId="77777777" w:rsidR="006354B0" w:rsidRPr="005359A0" w:rsidRDefault="006354B0" w:rsidP="006354B0">
            <w:pPr>
              <w:ind w:firstLineChars="200" w:firstLine="281"/>
              <w:jc w:val="center"/>
              <w:rPr>
                <w:rFonts w:ascii="Verdana" w:hAnsi="Verdana"/>
                <w:b/>
                <w:bCs/>
                <w:color w:val="0070AD"/>
                <w:sz w:val="14"/>
                <w:szCs w:val="14"/>
              </w:rPr>
            </w:pPr>
            <w:r>
              <w:rPr>
                <w:rFonts w:ascii="Verdana" w:hAnsi="Verdana"/>
                <w:b/>
                <w:bCs/>
                <w:color w:val="0070AD"/>
                <w:sz w:val="14"/>
                <w:szCs w:val="14"/>
              </w:rPr>
              <w:t>+8.1%</w:t>
            </w:r>
          </w:p>
        </w:tc>
      </w:tr>
      <w:tr w:rsidR="006354B0" w:rsidRPr="005359A0" w14:paraId="1FEDF516" w14:textId="77777777" w:rsidTr="008E11D2">
        <w:trPr>
          <w:trHeight w:val="227"/>
          <w:jc w:val="center"/>
        </w:trPr>
        <w:tc>
          <w:tcPr>
            <w:tcW w:w="3798" w:type="dxa"/>
            <w:vAlign w:val="center"/>
          </w:tcPr>
          <w:p w14:paraId="664E8E76" w14:textId="77777777" w:rsidR="006354B0" w:rsidRPr="005359A0" w:rsidRDefault="006354B0" w:rsidP="006354B0">
            <w:pPr>
              <w:pStyle w:val="TableParagraph"/>
              <w:keepNext/>
              <w:ind w:left="142"/>
              <w:rPr>
                <w:rFonts w:cs="Arial"/>
                <w:sz w:val="14"/>
                <w:szCs w:val="14"/>
              </w:rPr>
            </w:pPr>
            <w:r>
              <w:rPr>
                <w:sz w:val="14"/>
                <w:szCs w:val="14"/>
              </w:rPr>
              <w:t>Exchange rate fluctuations</w:t>
            </w:r>
          </w:p>
        </w:tc>
        <w:tc>
          <w:tcPr>
            <w:tcW w:w="1361" w:type="dxa"/>
            <w:tcBorders>
              <w:top w:val="nil"/>
              <w:left w:val="nil"/>
              <w:bottom w:val="single" w:sz="8" w:space="0" w:color="0070AD"/>
              <w:right w:val="nil"/>
            </w:tcBorders>
            <w:shd w:val="clear" w:color="000000" w:fill="BBE7FF"/>
            <w:vAlign w:val="center"/>
          </w:tcPr>
          <w:p w14:paraId="6EBC28F8" w14:textId="26A881D4" w:rsidR="006354B0" w:rsidRPr="005359A0" w:rsidRDefault="00753D22" w:rsidP="006354B0">
            <w:pPr>
              <w:ind w:firstLineChars="200" w:firstLine="280"/>
              <w:jc w:val="center"/>
              <w:rPr>
                <w:rFonts w:ascii="Verdana" w:hAnsi="Verdana"/>
                <w:color w:val="000000"/>
                <w:sz w:val="14"/>
                <w:szCs w:val="14"/>
              </w:rPr>
            </w:pPr>
            <w:r>
              <w:rPr>
                <w:rFonts w:ascii="Verdana" w:hAnsi="Verdana"/>
                <w:color w:val="000000"/>
                <w:sz w:val="14"/>
                <w:szCs w:val="14"/>
              </w:rPr>
              <w:t>-</w:t>
            </w:r>
            <w:r w:rsidR="006D233D">
              <w:rPr>
                <w:rFonts w:ascii="Verdana" w:hAnsi="Verdana"/>
                <w:color w:val="000000"/>
                <w:sz w:val="14"/>
                <w:szCs w:val="14"/>
              </w:rPr>
              <w:t>0.0pt</w:t>
            </w:r>
          </w:p>
        </w:tc>
        <w:tc>
          <w:tcPr>
            <w:tcW w:w="1361" w:type="dxa"/>
            <w:tcBorders>
              <w:top w:val="nil"/>
              <w:left w:val="nil"/>
              <w:bottom w:val="single" w:sz="8" w:space="0" w:color="0070AD"/>
              <w:right w:val="nil"/>
            </w:tcBorders>
            <w:shd w:val="clear" w:color="000000" w:fill="BBE7FF"/>
            <w:vAlign w:val="center"/>
          </w:tcPr>
          <w:p w14:paraId="437CA5B5" w14:textId="77777777" w:rsidR="006354B0" w:rsidRPr="005359A0" w:rsidRDefault="006354B0" w:rsidP="006354B0">
            <w:pPr>
              <w:ind w:firstLineChars="200" w:firstLine="280"/>
              <w:jc w:val="center"/>
              <w:rPr>
                <w:rFonts w:ascii="Verdana" w:hAnsi="Verdana"/>
                <w:color w:val="000000"/>
                <w:sz w:val="14"/>
                <w:szCs w:val="14"/>
              </w:rPr>
            </w:pPr>
            <w:r>
              <w:rPr>
                <w:rFonts w:ascii="Verdana" w:hAnsi="Verdana"/>
                <w:color w:val="000000"/>
                <w:sz w:val="14"/>
                <w:szCs w:val="14"/>
              </w:rPr>
              <w:t>-2.7pt</w:t>
            </w:r>
          </w:p>
        </w:tc>
      </w:tr>
      <w:tr w:rsidR="006354B0" w:rsidRPr="005359A0" w14:paraId="69E9C473" w14:textId="77777777" w:rsidTr="008E11D2">
        <w:trPr>
          <w:trHeight w:val="227"/>
          <w:jc w:val="center"/>
        </w:trPr>
        <w:tc>
          <w:tcPr>
            <w:tcW w:w="3798" w:type="dxa"/>
            <w:vAlign w:val="center"/>
          </w:tcPr>
          <w:p w14:paraId="06E008CA" w14:textId="77777777" w:rsidR="006354B0" w:rsidRPr="005359A0" w:rsidRDefault="006354B0" w:rsidP="006354B0">
            <w:pPr>
              <w:pStyle w:val="TableParagraph"/>
              <w:keepNext/>
              <w:spacing w:before="29"/>
              <w:ind w:left="63"/>
              <w:rPr>
                <w:rFonts w:cs="Arial"/>
                <w:b/>
                <w:color w:val="0070AD"/>
                <w:sz w:val="14"/>
                <w:szCs w:val="14"/>
              </w:rPr>
            </w:pPr>
            <w:r>
              <w:rPr>
                <w:b/>
                <w:color w:val="0070AD"/>
                <w:sz w:val="14"/>
                <w:szCs w:val="14"/>
              </w:rPr>
              <w:t>Reported growth</w:t>
            </w:r>
          </w:p>
        </w:tc>
        <w:tc>
          <w:tcPr>
            <w:tcW w:w="1361" w:type="dxa"/>
            <w:tcBorders>
              <w:top w:val="nil"/>
              <w:left w:val="nil"/>
              <w:bottom w:val="single" w:sz="8" w:space="0" w:color="0070AD"/>
              <w:right w:val="nil"/>
            </w:tcBorders>
            <w:shd w:val="clear" w:color="000000" w:fill="BBE7FF"/>
            <w:vAlign w:val="center"/>
          </w:tcPr>
          <w:p w14:paraId="5BBDDEE9" w14:textId="77777777" w:rsidR="006354B0" w:rsidRPr="005359A0" w:rsidRDefault="006354B0" w:rsidP="006354B0">
            <w:pPr>
              <w:ind w:firstLineChars="200" w:firstLine="281"/>
              <w:jc w:val="center"/>
              <w:rPr>
                <w:rFonts w:ascii="Verdana" w:hAnsi="Verdana"/>
                <w:b/>
                <w:bCs/>
                <w:color w:val="0070AD"/>
                <w:sz w:val="14"/>
                <w:szCs w:val="14"/>
              </w:rPr>
            </w:pPr>
            <w:r>
              <w:rPr>
                <w:rFonts w:ascii="Verdana" w:hAnsi="Verdana"/>
                <w:b/>
                <w:bCs/>
                <w:color w:val="0070AD"/>
                <w:sz w:val="14"/>
                <w:szCs w:val="14"/>
              </w:rPr>
              <w:t>+7.8%</w:t>
            </w:r>
          </w:p>
        </w:tc>
        <w:tc>
          <w:tcPr>
            <w:tcW w:w="1361" w:type="dxa"/>
            <w:tcBorders>
              <w:top w:val="nil"/>
              <w:left w:val="nil"/>
              <w:bottom w:val="single" w:sz="8" w:space="0" w:color="0070AD"/>
              <w:right w:val="nil"/>
            </w:tcBorders>
            <w:shd w:val="clear" w:color="000000" w:fill="BBE7FF"/>
            <w:vAlign w:val="center"/>
          </w:tcPr>
          <w:p w14:paraId="1E1D6CF5" w14:textId="77777777" w:rsidR="006354B0" w:rsidRPr="005359A0" w:rsidRDefault="006354B0" w:rsidP="006354B0">
            <w:pPr>
              <w:ind w:firstLineChars="200" w:firstLine="281"/>
              <w:jc w:val="center"/>
              <w:rPr>
                <w:rFonts w:ascii="Verdana" w:hAnsi="Verdana"/>
                <w:b/>
                <w:bCs/>
                <w:color w:val="0070AD"/>
                <w:sz w:val="14"/>
                <w:szCs w:val="14"/>
              </w:rPr>
            </w:pPr>
            <w:r>
              <w:rPr>
                <w:rFonts w:ascii="Verdana" w:hAnsi="Verdana"/>
                <w:b/>
                <w:bCs/>
                <w:color w:val="0070AD"/>
                <w:sz w:val="14"/>
                <w:szCs w:val="14"/>
              </w:rPr>
              <w:t>+5.4%</w:t>
            </w:r>
          </w:p>
        </w:tc>
      </w:tr>
    </w:tbl>
    <w:p w14:paraId="48225AA0" w14:textId="701E6817" w:rsidR="00A82A83" w:rsidRPr="005359A0" w:rsidRDefault="00B77760" w:rsidP="009B4DE9">
      <w:pPr>
        <w:spacing w:before="120" w:after="120"/>
        <w:rPr>
          <w:rFonts w:cs="Arial"/>
        </w:rPr>
      </w:pPr>
      <w:r>
        <w:t>Currency impacts on FY revenue are linked to the appreciation of the euro against most other Group invoicing currencies and primarily the U.S. dollar. This impact is nonetheless negligible at the year end, due to the reversal of U.S. dollar trends in Q4 (5% appreciation against the euro)</w:t>
      </w:r>
      <w:r w:rsidR="000E5D82">
        <w:t>.</w:t>
      </w:r>
    </w:p>
    <w:p w14:paraId="68FB86B6" w14:textId="39F2E54C" w:rsidR="00266C45" w:rsidRPr="005359A0" w:rsidRDefault="00266C45" w:rsidP="00266C45">
      <w:pPr>
        <w:pStyle w:val="BodyText"/>
        <w:spacing w:line="240" w:lineRule="auto"/>
      </w:pPr>
      <w:bookmarkStart w:id="32" w:name="_Hlk535393166"/>
      <w:r>
        <w:rPr>
          <w:b/>
        </w:rPr>
        <w:t>Operating margin</w:t>
      </w:r>
      <w:r>
        <w:t xml:space="preserve"> is one of the Group’s key performance </w:t>
      </w:r>
      <w:r w:rsidR="000B3357">
        <w:t>measures</w:t>
      </w:r>
      <w:r>
        <w:t>. It is defined as the difference between revenues and operating costs. It is calculated before “Other operating income and expenses” which include amortization of intangible assets recognized in business combinations, the charge resulting from the deferred recognition of the fair value of shares granted to employees (including social security contributions and employer contributions), and non-recurring revenues and expenses, notably impairment of goodwill, negative goodwill, capital gains or losses on disposals of consolidated companies or businesses, restructuring costs incurred under a detailed formal plan approved by the Group’s management, the cost of acquiring and integrating companies acquired by the Group, including earn-outs comprising conditions of presence, and the effects of curtailments, settlements and transfers of defined benefit pension plans.</w:t>
      </w:r>
    </w:p>
    <w:bookmarkEnd w:id="32"/>
    <w:p w14:paraId="146BE51D" w14:textId="77777777" w:rsidR="00266C45" w:rsidRPr="005359A0" w:rsidRDefault="00266C45" w:rsidP="00266C45">
      <w:pPr>
        <w:pStyle w:val="BodyText"/>
        <w:spacing w:line="240" w:lineRule="auto"/>
      </w:pPr>
      <w:r>
        <w:t xml:space="preserve">Normalized net profit is equal to profit for the year (Group share) adjusted for the impact of items recognized in “Other operating income and expense”, net of tax calculated using the effective tax rate. </w:t>
      </w:r>
      <w:r>
        <w:rPr>
          <w:b/>
        </w:rPr>
        <w:t>Normalized earnings per share</w:t>
      </w:r>
      <w:r>
        <w:t xml:space="preserve"> is computed like basic earnings per share, i.e. excluding dilution.</w:t>
      </w:r>
    </w:p>
    <w:p w14:paraId="0A4139B8" w14:textId="77777777" w:rsidR="00266C45" w:rsidRPr="005359A0" w:rsidRDefault="00266C45" w:rsidP="00266C45">
      <w:pPr>
        <w:pStyle w:val="BodyText"/>
        <w:spacing w:line="240" w:lineRule="auto"/>
      </w:pPr>
      <w:r>
        <w:rPr>
          <w:b/>
        </w:rPr>
        <w:t>Organic free cash flow</w:t>
      </w:r>
      <w:r>
        <w:t xml:space="preserve"> is equal to cash flow from operations less acquisitions of property, plant, equipment and intangible assets (net of disposals) and adjusted for cash out relating to the net interest cost.</w:t>
      </w:r>
    </w:p>
    <w:p w14:paraId="034FF375" w14:textId="77777777" w:rsidR="00EA4094" w:rsidRPr="005359A0" w:rsidRDefault="00EA4094" w:rsidP="00266C45">
      <w:pPr>
        <w:pStyle w:val="BodyText"/>
        <w:spacing w:line="240" w:lineRule="auto"/>
      </w:pPr>
    </w:p>
    <w:p w14:paraId="2D3B780B" w14:textId="55D2AB23" w:rsidR="00EA4094" w:rsidRPr="005359A0" w:rsidRDefault="00EA4094" w:rsidP="00EA4094">
      <w:pPr>
        <w:pStyle w:val="Heading1"/>
      </w:pPr>
      <w:bookmarkStart w:id="33" w:name="_Hlk504633452"/>
      <w:bookmarkStart w:id="34" w:name="_Hlk535418361"/>
      <w:bookmarkStart w:id="35" w:name="_Hlk535861257"/>
      <w:bookmarkEnd w:id="31"/>
      <w:r>
        <w:t xml:space="preserve">APPLICATION OF IFRS 16 AND ADAPTATION OF PERFORMANCE </w:t>
      </w:r>
      <w:r w:rsidR="000B3357">
        <w:t>MEASURES</w:t>
      </w:r>
    </w:p>
    <w:p w14:paraId="5D78FBBD" w14:textId="77777777" w:rsidR="00EA4094" w:rsidRPr="005359A0" w:rsidRDefault="00EA4094" w:rsidP="00EA4094">
      <w:pPr>
        <w:spacing w:before="120" w:after="120"/>
        <w:rPr>
          <w:szCs w:val="18"/>
        </w:rPr>
      </w:pPr>
      <w:bookmarkStart w:id="36" w:name="_Hlk505326527"/>
      <w:bookmarkStart w:id="37" w:name="_Hlk536430159"/>
      <w:bookmarkEnd w:id="33"/>
      <w:r>
        <w:t>With the entry into effect of the new lease standard, IFRS 16, on</w:t>
      </w:r>
      <w:r>
        <w:rPr>
          <w:b/>
          <w:szCs w:val="18"/>
        </w:rPr>
        <w:t xml:space="preserve"> January 1, 2019</w:t>
      </w:r>
      <w:r>
        <w:t xml:space="preserve">, the Group must apply a </w:t>
      </w:r>
      <w:r>
        <w:rPr>
          <w:b/>
        </w:rPr>
        <w:t>new accounting treatment</w:t>
      </w:r>
      <w:r>
        <w:t xml:space="preserve"> to all its leases (primarily real estate leases), similar in substance to that currently applied to finance leases. Essentially, the Group will have to:</w:t>
      </w:r>
    </w:p>
    <w:p w14:paraId="055E65EB" w14:textId="5D8AF23C" w:rsidR="00EA4094" w:rsidRPr="005359A0" w:rsidRDefault="00EA4094" w:rsidP="00637BE1">
      <w:pPr>
        <w:pStyle w:val="ListParagraph"/>
        <w:numPr>
          <w:ilvl w:val="0"/>
          <w:numId w:val="1"/>
        </w:numPr>
        <w:ind w:left="425" w:hanging="357"/>
        <w:rPr>
          <w:szCs w:val="18"/>
        </w:rPr>
      </w:pPr>
      <w:r>
        <w:t xml:space="preserve">in its </w:t>
      </w:r>
      <w:r>
        <w:rPr>
          <w:b/>
        </w:rPr>
        <w:t xml:space="preserve">balance </w:t>
      </w:r>
      <w:proofErr w:type="gramStart"/>
      <w:r>
        <w:rPr>
          <w:b/>
        </w:rPr>
        <w:t>sheet</w:t>
      </w:r>
      <w:r>
        <w:t>:</w:t>
      </w:r>
      <w:proofErr w:type="gramEnd"/>
      <w:r>
        <w:t xml:space="preserve"> recognize, at January 1, 2019, all lease obligations as a debt in liabilities and the corresponding right-of-use in assets. This will represent between €</w:t>
      </w:r>
      <w:r w:rsidR="00B45F64">
        <w:t>750</w:t>
      </w:r>
      <w:r>
        <w:t xml:space="preserve"> and €8</w:t>
      </w:r>
      <w:r w:rsidR="00B45F64">
        <w:t>5</w:t>
      </w:r>
      <w:r>
        <w:t>0 million</w:t>
      </w:r>
      <w:r w:rsidR="009C1B4E">
        <w:t xml:space="preserve"> (including </w:t>
      </w:r>
      <w:r>
        <w:t>the €80 million already recognized in respect of finance leases</w:t>
      </w:r>
      <w:r w:rsidR="009C1B4E">
        <w:t>)</w:t>
      </w:r>
      <w:r>
        <w:t>;</w:t>
      </w:r>
    </w:p>
    <w:p w14:paraId="11789D33" w14:textId="563B9A77" w:rsidR="00EA4094" w:rsidRPr="005359A0" w:rsidRDefault="00EA4094" w:rsidP="00637BE1">
      <w:pPr>
        <w:pStyle w:val="ListParagraph"/>
        <w:numPr>
          <w:ilvl w:val="0"/>
          <w:numId w:val="1"/>
        </w:numPr>
        <w:ind w:left="425" w:hanging="357"/>
        <w:rPr>
          <w:szCs w:val="18"/>
        </w:rPr>
      </w:pPr>
      <w:r>
        <w:t xml:space="preserve">in its </w:t>
      </w:r>
      <w:r>
        <w:rPr>
          <w:b/>
        </w:rPr>
        <w:t xml:space="preserve">income </w:t>
      </w:r>
      <w:proofErr w:type="gramStart"/>
      <w:r>
        <w:rPr>
          <w:b/>
        </w:rPr>
        <w:t>statement</w:t>
      </w:r>
      <w:r>
        <w:t>:</w:t>
      </w:r>
      <w:proofErr w:type="gramEnd"/>
      <w:r>
        <w:t xml:space="preserve"> recognize, instead of a lease expense, </w:t>
      </w:r>
      <w:r w:rsidR="005A4B80">
        <w:t xml:space="preserve">the </w:t>
      </w:r>
      <w:r>
        <w:t>depreciation of the right-of-use asset over the lease term in operating expenses and the corresponding interest in finance costs;</w:t>
      </w:r>
    </w:p>
    <w:p w14:paraId="5B33632D" w14:textId="3DAD9771" w:rsidR="00EA4094" w:rsidRPr="005359A0" w:rsidRDefault="00EA4094" w:rsidP="00637BE1">
      <w:pPr>
        <w:pStyle w:val="ListParagraph"/>
        <w:numPr>
          <w:ilvl w:val="0"/>
          <w:numId w:val="1"/>
        </w:numPr>
        <w:ind w:left="425" w:hanging="357"/>
        <w:rPr>
          <w:szCs w:val="18"/>
        </w:rPr>
      </w:pPr>
      <w:r>
        <w:t xml:space="preserve">in </w:t>
      </w:r>
      <w:r>
        <w:rPr>
          <w:b/>
        </w:rPr>
        <w:t xml:space="preserve">cash </w:t>
      </w:r>
      <w:proofErr w:type="gramStart"/>
      <w:r>
        <w:rPr>
          <w:b/>
        </w:rPr>
        <w:t>flows</w:t>
      </w:r>
      <w:r>
        <w:t>:</w:t>
      </w:r>
      <w:proofErr w:type="gramEnd"/>
      <w:r>
        <w:t xml:space="preserve"> recognize the cash outflows as repayments of the lease debt rather than a </w:t>
      </w:r>
      <w:r w:rsidR="00300F7F">
        <w:t>rental payment</w:t>
      </w:r>
      <w:r>
        <w:t xml:space="preserve">. </w:t>
      </w:r>
    </w:p>
    <w:p w14:paraId="5D709148" w14:textId="20F486F6" w:rsidR="00EA4094" w:rsidRPr="005359A0" w:rsidRDefault="00EA4094" w:rsidP="00EA4094">
      <w:pPr>
        <w:spacing w:before="120" w:after="120"/>
        <w:rPr>
          <w:szCs w:val="18"/>
        </w:rPr>
      </w:pPr>
      <w:r>
        <w:t xml:space="preserve">The Group does not believe this new accounting treatment modifies the operating nature of </w:t>
      </w:r>
      <w:proofErr w:type="gramStart"/>
      <w:r>
        <w:t>the majority of</w:t>
      </w:r>
      <w:proofErr w:type="gramEnd"/>
      <w:r>
        <w:t xml:space="preserve"> its leases. Accordingly, to ensure the Group's performance </w:t>
      </w:r>
      <w:r w:rsidR="000B3357">
        <w:t>measures</w:t>
      </w:r>
      <w:r>
        <w:t xml:space="preserve"> continue to best reflect its operating performance, </w:t>
      </w:r>
      <w:r w:rsidR="005A4B80">
        <w:t xml:space="preserve">as </w:t>
      </w:r>
      <w:r>
        <w:t xml:space="preserve">the distinction between different lease types </w:t>
      </w:r>
      <w:r w:rsidR="005A4B80">
        <w:t xml:space="preserve">disappears </w:t>
      </w:r>
      <w:r>
        <w:t xml:space="preserve">with the introduction of IFRS 16, the Group will consider all repayments of lease debt as operating items </w:t>
      </w:r>
      <w:r>
        <w:rPr>
          <w:b/>
          <w:szCs w:val="18"/>
        </w:rPr>
        <w:t>going forward</w:t>
      </w:r>
      <w:r>
        <w:t>. Accordingly:</w:t>
      </w:r>
    </w:p>
    <w:p w14:paraId="4282727D" w14:textId="093FF03C" w:rsidR="00EA4094" w:rsidRPr="005359A0" w:rsidRDefault="00EA4094" w:rsidP="00637BE1">
      <w:pPr>
        <w:pStyle w:val="ListParagraph"/>
        <w:numPr>
          <w:ilvl w:val="0"/>
          <w:numId w:val="1"/>
        </w:numPr>
        <w:ind w:left="425" w:hanging="357"/>
        <w:rPr>
          <w:szCs w:val="18"/>
        </w:rPr>
      </w:pPr>
      <w:r>
        <w:rPr>
          <w:b/>
        </w:rPr>
        <w:t>organic free cash flow</w:t>
      </w:r>
      <w:r>
        <w:t xml:space="preserve"> will include repayments of the lease debt (including for finance leases, previously excluded as recognized in repayments of borrowings, of approximately €5</w:t>
      </w:r>
      <w:r w:rsidR="00D974FD">
        <w:t>0</w:t>
      </w:r>
      <w:r>
        <w:t xml:space="preserve"> million in 2018);</w:t>
      </w:r>
    </w:p>
    <w:p w14:paraId="216EFE81" w14:textId="77777777" w:rsidR="00EA4094" w:rsidRPr="00FE29BC" w:rsidRDefault="00EA4094" w:rsidP="00637BE1">
      <w:pPr>
        <w:pStyle w:val="ListParagraph"/>
        <w:numPr>
          <w:ilvl w:val="0"/>
          <w:numId w:val="1"/>
        </w:numPr>
        <w:ind w:left="425" w:hanging="357"/>
        <w:rPr>
          <w:szCs w:val="18"/>
        </w:rPr>
      </w:pPr>
      <w:r>
        <w:t xml:space="preserve">Group </w:t>
      </w:r>
      <w:r>
        <w:rPr>
          <w:b/>
        </w:rPr>
        <w:t xml:space="preserve">net debt </w:t>
      </w:r>
      <w:r>
        <w:t xml:space="preserve">will exclude all lease </w:t>
      </w:r>
      <w:r w:rsidRPr="00FE29BC">
        <w:t>debt (including that relating to finance leases of approximately €80 million at the end of 2018).</w:t>
      </w:r>
    </w:p>
    <w:p w14:paraId="3A264D37" w14:textId="6A09A95F" w:rsidR="00EA4094" w:rsidRPr="00FE29BC" w:rsidRDefault="00EA4094" w:rsidP="00EA4094">
      <w:pPr>
        <w:spacing w:before="120" w:after="120"/>
        <w:rPr>
          <w:szCs w:val="18"/>
        </w:rPr>
      </w:pPr>
      <w:r w:rsidRPr="00FE29BC">
        <w:t xml:space="preserve">Elsewhere, the impact of application of IFRS 16 on the 2019 income statement should be generally neutral for the main performance </w:t>
      </w:r>
      <w:r w:rsidR="000B3357" w:rsidRPr="00FE29BC">
        <w:t>measures</w:t>
      </w:r>
      <w:r w:rsidR="00B45F64" w:rsidRPr="00FE29BC">
        <w:t xml:space="preserve">, </w:t>
      </w:r>
      <w:r w:rsidRPr="00FE29BC">
        <w:t>whose definitions remain unchanged</w:t>
      </w:r>
      <w:r w:rsidR="00B45F64" w:rsidRPr="00FE29BC">
        <w:t xml:space="preserve"> (estimates based on the 2018 accounts</w:t>
      </w:r>
      <w:r w:rsidRPr="00FE29BC">
        <w:t>):</w:t>
      </w:r>
    </w:p>
    <w:p w14:paraId="6A6D1337" w14:textId="76794E38" w:rsidR="00EA4094" w:rsidRPr="00FE29BC" w:rsidRDefault="00EA4094" w:rsidP="00637BE1">
      <w:pPr>
        <w:pStyle w:val="ListParagraph"/>
        <w:numPr>
          <w:ilvl w:val="0"/>
          <w:numId w:val="1"/>
        </w:numPr>
        <w:ind w:left="425" w:hanging="357"/>
        <w:rPr>
          <w:szCs w:val="18"/>
        </w:rPr>
      </w:pPr>
      <w:r w:rsidRPr="00FE29BC">
        <w:rPr>
          <w:b/>
          <w:szCs w:val="18"/>
        </w:rPr>
        <w:t>operating margin:</w:t>
      </w:r>
      <w:r w:rsidRPr="00FE29BC">
        <w:t xml:space="preserve"> </w:t>
      </w:r>
      <w:r w:rsidR="009C1B4E" w:rsidRPr="00FE29BC">
        <w:t xml:space="preserve">slightly </w:t>
      </w:r>
      <w:r w:rsidRPr="00FE29BC">
        <w:t>positive impact</w:t>
      </w:r>
      <w:r w:rsidR="009C1B4E" w:rsidRPr="00FE29BC">
        <w:t xml:space="preserve">, in the range of </w:t>
      </w:r>
      <w:r w:rsidRPr="00FE29BC">
        <w:rPr>
          <w:szCs w:val="18"/>
        </w:rPr>
        <w:t>5</w:t>
      </w:r>
      <w:r w:rsidRPr="00FE29BC">
        <w:t xml:space="preserve"> basis points; </w:t>
      </w:r>
    </w:p>
    <w:p w14:paraId="758715D2" w14:textId="176BEA0A" w:rsidR="00EA4094" w:rsidRPr="00FE29BC" w:rsidRDefault="00EA4094" w:rsidP="00637BE1">
      <w:pPr>
        <w:pStyle w:val="ListParagraph"/>
        <w:numPr>
          <w:ilvl w:val="0"/>
          <w:numId w:val="1"/>
        </w:numPr>
        <w:ind w:left="425" w:hanging="357"/>
        <w:rPr>
          <w:szCs w:val="18"/>
        </w:rPr>
      </w:pPr>
      <w:r w:rsidRPr="00FE29BC">
        <w:rPr>
          <w:b/>
        </w:rPr>
        <w:t>net profit</w:t>
      </w:r>
      <w:r w:rsidRPr="00FE29BC">
        <w:t xml:space="preserve"> (Group share): </w:t>
      </w:r>
      <w:r w:rsidR="009C1B4E" w:rsidRPr="00FE29BC">
        <w:t xml:space="preserve">slightly </w:t>
      </w:r>
      <w:r w:rsidRPr="00FE29BC">
        <w:t>negative impact</w:t>
      </w:r>
      <w:r w:rsidR="009C1B4E" w:rsidRPr="00FE29BC">
        <w:t xml:space="preserve">, in the range of </w:t>
      </w:r>
      <w:r w:rsidRPr="00FE29BC">
        <w:t>€</w:t>
      </w:r>
      <w:r w:rsidR="00FE29BC" w:rsidRPr="00FE29BC">
        <w:rPr>
          <w:szCs w:val="18"/>
        </w:rPr>
        <w:t>5</w:t>
      </w:r>
      <w:r w:rsidRPr="00FE29BC">
        <w:t xml:space="preserve"> million; and  </w:t>
      </w:r>
    </w:p>
    <w:p w14:paraId="5A5D0842" w14:textId="7C49A7DC" w:rsidR="00EA4094" w:rsidRPr="00FE29BC" w:rsidRDefault="00EA4094" w:rsidP="00637BE1">
      <w:pPr>
        <w:pStyle w:val="ListParagraph"/>
        <w:numPr>
          <w:ilvl w:val="0"/>
          <w:numId w:val="1"/>
        </w:numPr>
        <w:ind w:left="425" w:hanging="357"/>
        <w:rPr>
          <w:szCs w:val="18"/>
        </w:rPr>
      </w:pPr>
      <w:r w:rsidRPr="00FE29BC">
        <w:rPr>
          <w:b/>
        </w:rPr>
        <w:t>normalized earnings per share</w:t>
      </w:r>
      <w:r w:rsidRPr="00FE29BC">
        <w:t xml:space="preserve">: </w:t>
      </w:r>
      <w:r w:rsidR="009C1B4E" w:rsidRPr="00FE29BC">
        <w:t xml:space="preserve">slightly </w:t>
      </w:r>
      <w:r w:rsidRPr="00FE29BC">
        <w:t>negative impact</w:t>
      </w:r>
      <w:r w:rsidR="009C1B4E" w:rsidRPr="00FE29BC">
        <w:t xml:space="preserve">, in the range of </w:t>
      </w:r>
      <w:r w:rsidRPr="00FE29BC">
        <w:t>€</w:t>
      </w:r>
      <w:r w:rsidRPr="00FE29BC">
        <w:rPr>
          <w:szCs w:val="18"/>
        </w:rPr>
        <w:t>0.03</w:t>
      </w:r>
      <w:r w:rsidRPr="00FE29BC">
        <w:t xml:space="preserve"> per share.</w:t>
      </w:r>
    </w:p>
    <w:bookmarkEnd w:id="34"/>
    <w:bookmarkEnd w:id="36"/>
    <w:bookmarkEnd w:id="37"/>
    <w:p w14:paraId="6C8153D2" w14:textId="77777777" w:rsidR="004B0CA9" w:rsidRPr="005359A0" w:rsidRDefault="004B0CA9" w:rsidP="009B4DE9">
      <w:pPr>
        <w:pStyle w:val="BodyText"/>
        <w:spacing w:line="240" w:lineRule="auto"/>
      </w:pPr>
    </w:p>
    <w:bookmarkEnd w:id="35"/>
    <w:p w14:paraId="38798651" w14:textId="77777777" w:rsidR="0068285A" w:rsidRPr="005359A0" w:rsidRDefault="0068285A" w:rsidP="0068285A">
      <w:pPr>
        <w:pStyle w:val="Heading1"/>
      </w:pPr>
      <w:r>
        <w:t xml:space="preserve">APPLICATION OF IFRS 15 </w:t>
      </w:r>
    </w:p>
    <w:p w14:paraId="2922A1FA" w14:textId="6FE13A60" w:rsidR="0068285A" w:rsidRPr="005359A0" w:rsidRDefault="0068285A" w:rsidP="0068285A">
      <w:pPr>
        <w:pStyle w:val="BodyText"/>
        <w:spacing w:line="240" w:lineRule="auto"/>
      </w:pPr>
      <w:r>
        <w:t xml:space="preserve">In this press release, the 2017 accounts have been restated for the impact of IFRS 15, applicable from </w:t>
      </w:r>
      <w:r w:rsidRPr="00CE070B">
        <w:rPr>
          <w:b/>
        </w:rPr>
        <w:t>January</w:t>
      </w:r>
      <w:r w:rsidR="00647C46">
        <w:rPr>
          <w:b/>
        </w:rPr>
        <w:t> </w:t>
      </w:r>
      <w:r w:rsidRPr="00CE070B">
        <w:rPr>
          <w:b/>
        </w:rPr>
        <w:t>1, 2018</w:t>
      </w:r>
      <w:r>
        <w:t>, to ensure comparability.</w:t>
      </w:r>
    </w:p>
    <w:p w14:paraId="30ACB16A" w14:textId="08BF8DC2" w:rsidR="0068285A" w:rsidRPr="005359A0" w:rsidRDefault="007A68C6" w:rsidP="0068285A">
      <w:pPr>
        <w:pStyle w:val="BodyText"/>
        <w:spacing w:line="240" w:lineRule="auto"/>
      </w:pPr>
      <w:r>
        <w:t>T</w:t>
      </w:r>
      <w:r w:rsidR="0068285A">
        <w:t>he retrospective application of IFRS 15 in 2017 results in a decrease in revenues recognized of €267 million (2.1% of revenues), with no change in euros to the operating margin, net profit, earnings per share or organic free cash flow.</w:t>
      </w:r>
    </w:p>
    <w:p w14:paraId="6C1EEED2" w14:textId="77777777" w:rsidR="0068285A" w:rsidRPr="005359A0" w:rsidRDefault="0068285A" w:rsidP="0068285A">
      <w:pPr>
        <w:pStyle w:val="BodyText"/>
        <w:spacing w:line="240" w:lineRule="auto"/>
      </w:pPr>
    </w:p>
    <w:p w14:paraId="7096A80A" w14:textId="77777777" w:rsidR="00BE7C0F" w:rsidRPr="005359A0" w:rsidRDefault="00BE7C0F" w:rsidP="00BE7C0F">
      <w:pPr>
        <w:pStyle w:val="Heading1"/>
      </w:pPr>
      <w:bookmarkStart w:id="38" w:name="_Hlk536711703"/>
      <w:r>
        <w:t>TAXATION</w:t>
      </w:r>
    </w:p>
    <w:p w14:paraId="5EB972B4" w14:textId="6B84237D" w:rsidR="00BE7C0F" w:rsidRDefault="00BE7C0F" w:rsidP="00BE7C0F">
      <w:pPr>
        <w:pStyle w:val="BodyText"/>
        <w:spacing w:line="240" w:lineRule="auto"/>
      </w:pPr>
      <w:r>
        <w:t xml:space="preserve">As announced on the publication of the 2017 annual accounts (on February 15, 2018), the Group expected a substantial increase in its effective tax rate from 2018, with no significant cash impact. Until the end of 2017, the Group was led to recognize non-cash tax income corresponding to the recognition of deferred tax assets in the United States. Tax loss carry-forwards in the United States were, however, fully recognized in the Group consolidated financial statements at December 31, 2017. As a result, the Group now no longer recognizes such tax income as a deduction from its income tax expenses, generating an increase in the Group's reported effective tax rate. </w:t>
      </w:r>
    </w:p>
    <w:p w14:paraId="4752608E" w14:textId="77777777" w:rsidR="00BE7C0F" w:rsidRDefault="00BE7C0F" w:rsidP="00BE7C0F">
      <w:pPr>
        <w:pStyle w:val="BodyText"/>
        <w:spacing w:line="240" w:lineRule="auto"/>
      </w:pPr>
    </w:p>
    <w:bookmarkEnd w:id="38"/>
    <w:p w14:paraId="0550DD6B" w14:textId="77777777" w:rsidR="003C6ED1" w:rsidRPr="005359A0" w:rsidRDefault="00C90010" w:rsidP="009B4DE9">
      <w:pPr>
        <w:pStyle w:val="Heading1"/>
      </w:pPr>
      <w:r>
        <w:t>RESULTS BY REGION</w:t>
      </w:r>
    </w:p>
    <w:tbl>
      <w:tblPr>
        <w:tblW w:w="10091" w:type="dxa"/>
        <w:jc w:val="center"/>
        <w:tblLayout w:type="fixed"/>
        <w:tblCellMar>
          <w:left w:w="0" w:type="dxa"/>
          <w:right w:w="0" w:type="dxa"/>
        </w:tblCellMar>
        <w:tblLook w:val="01E0" w:firstRow="1" w:lastRow="1" w:firstColumn="1" w:lastColumn="1" w:noHBand="0" w:noVBand="0"/>
      </w:tblPr>
      <w:tblGrid>
        <w:gridCol w:w="2948"/>
        <w:gridCol w:w="1361"/>
        <w:gridCol w:w="57"/>
        <w:gridCol w:w="1417"/>
        <w:gridCol w:w="1417"/>
        <w:gridCol w:w="57"/>
        <w:gridCol w:w="1417"/>
        <w:gridCol w:w="1417"/>
      </w:tblGrid>
      <w:tr w:rsidR="00BE44F1" w:rsidRPr="005359A0" w14:paraId="1DE450FB" w14:textId="77777777" w:rsidTr="008E11D2">
        <w:trPr>
          <w:trHeight w:hRule="exact" w:val="283"/>
          <w:jc w:val="center"/>
        </w:trPr>
        <w:tc>
          <w:tcPr>
            <w:tcW w:w="2948" w:type="dxa"/>
          </w:tcPr>
          <w:p w14:paraId="0A4AF278" w14:textId="77777777" w:rsidR="00BE44F1" w:rsidRPr="005359A0" w:rsidRDefault="00BE44F1" w:rsidP="00354252">
            <w:pPr>
              <w:keepNext/>
              <w:rPr>
                <w:sz w:val="14"/>
                <w:szCs w:val="14"/>
              </w:rPr>
            </w:pPr>
          </w:p>
        </w:tc>
        <w:tc>
          <w:tcPr>
            <w:tcW w:w="1361" w:type="dxa"/>
            <w:tcBorders>
              <w:bottom w:val="single" w:sz="8" w:space="0" w:color="0070AD" w:themeColor="accent1"/>
            </w:tcBorders>
            <w:shd w:val="clear" w:color="auto" w:fill="auto"/>
            <w:vAlign w:val="center"/>
          </w:tcPr>
          <w:p w14:paraId="78449997" w14:textId="77777777" w:rsidR="00BE44F1" w:rsidRPr="005359A0" w:rsidRDefault="00BE44F1" w:rsidP="00354252">
            <w:pPr>
              <w:pStyle w:val="TableParagraph"/>
              <w:keepNext/>
              <w:ind w:left="1"/>
              <w:jc w:val="center"/>
              <w:rPr>
                <w:rFonts w:eastAsia="Arial" w:cs="Arial"/>
                <w:b/>
                <w:sz w:val="14"/>
                <w:szCs w:val="14"/>
              </w:rPr>
            </w:pPr>
            <w:r>
              <w:rPr>
                <w:b/>
                <w:sz w:val="14"/>
                <w:szCs w:val="14"/>
              </w:rPr>
              <w:t>Revenues</w:t>
            </w:r>
          </w:p>
        </w:tc>
        <w:tc>
          <w:tcPr>
            <w:tcW w:w="57" w:type="dxa"/>
          </w:tcPr>
          <w:p w14:paraId="7AC5384D" w14:textId="77777777" w:rsidR="00BE44F1" w:rsidRPr="005359A0" w:rsidRDefault="00BE44F1" w:rsidP="00354252">
            <w:pPr>
              <w:pStyle w:val="TableParagraph"/>
              <w:keepNext/>
              <w:ind w:right="105"/>
              <w:jc w:val="center"/>
              <w:rPr>
                <w:b/>
                <w:sz w:val="14"/>
                <w:szCs w:val="14"/>
                <w:lang w:val="fr-FR"/>
              </w:rPr>
            </w:pPr>
          </w:p>
        </w:tc>
        <w:tc>
          <w:tcPr>
            <w:tcW w:w="2834" w:type="dxa"/>
            <w:gridSpan w:val="2"/>
            <w:tcBorders>
              <w:bottom w:val="single" w:sz="8" w:space="0" w:color="0070AD" w:themeColor="accent1"/>
            </w:tcBorders>
            <w:vAlign w:val="center"/>
          </w:tcPr>
          <w:p w14:paraId="7B0DEB50" w14:textId="77777777" w:rsidR="00BE44F1" w:rsidRPr="005359A0" w:rsidRDefault="00BE44F1" w:rsidP="00354252">
            <w:pPr>
              <w:pStyle w:val="TableParagraph"/>
              <w:keepNext/>
              <w:ind w:right="-1"/>
              <w:jc w:val="center"/>
              <w:rPr>
                <w:rFonts w:eastAsia="Arial" w:cs="Arial"/>
                <w:b/>
                <w:sz w:val="14"/>
                <w:szCs w:val="14"/>
              </w:rPr>
            </w:pPr>
            <w:r>
              <w:rPr>
                <w:b/>
                <w:sz w:val="14"/>
                <w:szCs w:val="14"/>
              </w:rPr>
              <w:t>Year-on-year growth</w:t>
            </w:r>
          </w:p>
        </w:tc>
        <w:tc>
          <w:tcPr>
            <w:tcW w:w="57" w:type="dxa"/>
          </w:tcPr>
          <w:p w14:paraId="60095A51" w14:textId="77777777" w:rsidR="00BE44F1" w:rsidRPr="005359A0" w:rsidRDefault="00BE44F1" w:rsidP="00354252">
            <w:pPr>
              <w:pStyle w:val="TableParagraph"/>
              <w:keepNext/>
              <w:ind w:left="-11" w:right="380" w:firstLine="11"/>
              <w:jc w:val="center"/>
              <w:rPr>
                <w:b/>
                <w:sz w:val="14"/>
                <w:szCs w:val="14"/>
                <w:lang w:val="fr-FR"/>
              </w:rPr>
            </w:pPr>
          </w:p>
        </w:tc>
        <w:tc>
          <w:tcPr>
            <w:tcW w:w="2834" w:type="dxa"/>
            <w:gridSpan w:val="2"/>
            <w:tcBorders>
              <w:bottom w:val="single" w:sz="8" w:space="0" w:color="0070AD" w:themeColor="accent1"/>
            </w:tcBorders>
            <w:shd w:val="clear" w:color="auto" w:fill="auto"/>
            <w:vAlign w:val="center"/>
          </w:tcPr>
          <w:p w14:paraId="61DAB1D0" w14:textId="77777777" w:rsidR="00BE44F1" w:rsidRPr="005359A0" w:rsidRDefault="00BE44F1" w:rsidP="00354252">
            <w:pPr>
              <w:pStyle w:val="TableParagraph"/>
              <w:keepNext/>
              <w:ind w:left="-11" w:firstLine="11"/>
              <w:jc w:val="center"/>
              <w:rPr>
                <w:rFonts w:eastAsia="Arial" w:cs="Arial"/>
                <w:b/>
                <w:sz w:val="14"/>
                <w:szCs w:val="14"/>
              </w:rPr>
            </w:pPr>
            <w:r>
              <w:rPr>
                <w:b/>
                <w:sz w:val="14"/>
                <w:szCs w:val="14"/>
              </w:rPr>
              <w:t>Operating margin rate</w:t>
            </w:r>
          </w:p>
        </w:tc>
      </w:tr>
      <w:tr w:rsidR="00BE44F1" w:rsidRPr="005359A0" w14:paraId="7CDFD6F2" w14:textId="77777777" w:rsidTr="008E11D2">
        <w:trPr>
          <w:trHeight w:hRule="exact" w:val="567"/>
          <w:jc w:val="center"/>
        </w:trPr>
        <w:tc>
          <w:tcPr>
            <w:tcW w:w="2948" w:type="dxa"/>
            <w:tcBorders>
              <w:bottom w:val="single" w:sz="8" w:space="0" w:color="0070AD" w:themeColor="accent1"/>
            </w:tcBorders>
          </w:tcPr>
          <w:p w14:paraId="5B036D8C" w14:textId="77777777" w:rsidR="00BE44F1" w:rsidRPr="005359A0" w:rsidRDefault="00BE44F1" w:rsidP="00354252">
            <w:pPr>
              <w:keepNext/>
              <w:rPr>
                <w:sz w:val="14"/>
                <w:szCs w:val="14"/>
              </w:rPr>
            </w:pPr>
          </w:p>
        </w:tc>
        <w:tc>
          <w:tcPr>
            <w:tcW w:w="1361" w:type="dxa"/>
            <w:tcBorders>
              <w:top w:val="single" w:sz="8" w:space="0" w:color="0070AD" w:themeColor="accent1"/>
              <w:bottom w:val="single" w:sz="8" w:space="0" w:color="0070AD" w:themeColor="accent1"/>
            </w:tcBorders>
            <w:shd w:val="clear" w:color="auto" w:fill="BBE7FF" w:themeFill="accent1" w:themeFillTint="33"/>
            <w:vAlign w:val="center"/>
          </w:tcPr>
          <w:p w14:paraId="2D8E6ED3" w14:textId="77777777" w:rsidR="00BE44F1" w:rsidRPr="005359A0" w:rsidRDefault="00EB7381" w:rsidP="00354252">
            <w:pPr>
              <w:pStyle w:val="TableParagraph"/>
              <w:keepNext/>
              <w:ind w:left="1"/>
              <w:jc w:val="center"/>
              <w:rPr>
                <w:b/>
                <w:sz w:val="14"/>
                <w:szCs w:val="14"/>
              </w:rPr>
            </w:pPr>
            <w:r>
              <w:rPr>
                <w:b/>
                <w:sz w:val="14"/>
                <w:szCs w:val="14"/>
              </w:rPr>
              <w:t>2018</w:t>
            </w:r>
          </w:p>
          <w:p w14:paraId="4C3E5BC2" w14:textId="77777777" w:rsidR="00BE44F1" w:rsidRPr="005359A0" w:rsidRDefault="00BE44F1" w:rsidP="00354252">
            <w:pPr>
              <w:keepNext/>
              <w:ind w:left="1"/>
              <w:jc w:val="center"/>
              <w:rPr>
                <w:b/>
                <w:sz w:val="14"/>
                <w:szCs w:val="14"/>
              </w:rPr>
            </w:pPr>
            <w:r>
              <w:rPr>
                <w:i/>
                <w:sz w:val="14"/>
                <w:szCs w:val="14"/>
              </w:rPr>
              <w:t>(In millions of euros)</w:t>
            </w:r>
          </w:p>
        </w:tc>
        <w:tc>
          <w:tcPr>
            <w:tcW w:w="57" w:type="dxa"/>
            <w:tcBorders>
              <w:bottom w:val="single" w:sz="8" w:space="0" w:color="0070AD" w:themeColor="accent1"/>
            </w:tcBorders>
          </w:tcPr>
          <w:p w14:paraId="0F5309C8" w14:textId="77777777" w:rsidR="00BE44F1" w:rsidRPr="005359A0" w:rsidRDefault="00BE44F1" w:rsidP="00354252">
            <w:pPr>
              <w:pStyle w:val="TableParagraph"/>
              <w:keepNext/>
              <w:spacing w:before="27"/>
              <w:ind w:right="162" w:firstLine="26"/>
              <w:jc w:val="center"/>
              <w:rPr>
                <w:b/>
                <w:sz w:val="14"/>
                <w:szCs w:val="14"/>
                <w:lang w:val="fr-FR"/>
              </w:rPr>
            </w:pPr>
          </w:p>
        </w:tc>
        <w:tc>
          <w:tcPr>
            <w:tcW w:w="1417" w:type="dxa"/>
            <w:tcBorders>
              <w:top w:val="single" w:sz="8" w:space="0" w:color="0070AD" w:themeColor="accent1"/>
              <w:bottom w:val="single" w:sz="8" w:space="0" w:color="0070AD" w:themeColor="accent1"/>
            </w:tcBorders>
            <w:vAlign w:val="center"/>
          </w:tcPr>
          <w:p w14:paraId="7FAAEB22" w14:textId="77777777" w:rsidR="00BE44F1" w:rsidRPr="005359A0" w:rsidRDefault="00BE44F1" w:rsidP="00354252">
            <w:pPr>
              <w:pStyle w:val="TableParagraph"/>
              <w:keepNext/>
              <w:spacing w:before="27"/>
              <w:jc w:val="center"/>
              <w:rPr>
                <w:b/>
                <w:sz w:val="14"/>
                <w:szCs w:val="14"/>
              </w:rPr>
            </w:pPr>
          </w:p>
          <w:p w14:paraId="5B0B815E" w14:textId="77777777" w:rsidR="00BE44F1" w:rsidRPr="005359A0" w:rsidRDefault="00BE44F1" w:rsidP="00354252">
            <w:pPr>
              <w:pStyle w:val="TableParagraph"/>
              <w:keepNext/>
              <w:spacing w:before="27"/>
              <w:jc w:val="center"/>
              <w:rPr>
                <w:rFonts w:eastAsia="Arial" w:cs="Arial"/>
                <w:b/>
                <w:sz w:val="14"/>
                <w:szCs w:val="14"/>
              </w:rPr>
            </w:pPr>
            <w:r>
              <w:rPr>
                <w:b/>
                <w:sz w:val="14"/>
                <w:szCs w:val="14"/>
              </w:rPr>
              <w:t>Reported</w:t>
            </w:r>
          </w:p>
        </w:tc>
        <w:tc>
          <w:tcPr>
            <w:tcW w:w="1417" w:type="dxa"/>
            <w:tcBorders>
              <w:top w:val="single" w:sz="8" w:space="0" w:color="0070AD" w:themeColor="accent1"/>
              <w:bottom w:val="single" w:sz="8" w:space="0" w:color="0070AD" w:themeColor="accent1"/>
            </w:tcBorders>
            <w:vAlign w:val="center"/>
          </w:tcPr>
          <w:p w14:paraId="636EE377" w14:textId="77777777" w:rsidR="00BE44F1" w:rsidRPr="005359A0" w:rsidRDefault="00BE44F1" w:rsidP="00354252">
            <w:pPr>
              <w:pStyle w:val="TableParagraph"/>
              <w:keepNext/>
              <w:spacing w:before="27"/>
              <w:ind w:right="-1"/>
              <w:jc w:val="center"/>
              <w:rPr>
                <w:b/>
                <w:sz w:val="14"/>
                <w:szCs w:val="14"/>
              </w:rPr>
            </w:pPr>
            <w:r>
              <w:rPr>
                <w:b/>
                <w:sz w:val="14"/>
                <w:szCs w:val="14"/>
              </w:rPr>
              <w:t>At constant exchange rates</w:t>
            </w:r>
          </w:p>
        </w:tc>
        <w:tc>
          <w:tcPr>
            <w:tcW w:w="57" w:type="dxa"/>
            <w:tcBorders>
              <w:bottom w:val="single" w:sz="8" w:space="0" w:color="0070AD" w:themeColor="accent1"/>
            </w:tcBorders>
            <w:vAlign w:val="center"/>
          </w:tcPr>
          <w:p w14:paraId="301930C9" w14:textId="77777777" w:rsidR="00BE44F1" w:rsidRPr="005359A0" w:rsidRDefault="00BE44F1" w:rsidP="00354252">
            <w:pPr>
              <w:pStyle w:val="TableParagraph"/>
              <w:keepNext/>
              <w:jc w:val="center"/>
              <w:rPr>
                <w:b/>
                <w:sz w:val="14"/>
                <w:szCs w:val="14"/>
                <w:lang w:val="fr-FR"/>
              </w:rPr>
            </w:pPr>
          </w:p>
        </w:tc>
        <w:tc>
          <w:tcPr>
            <w:tcW w:w="1417" w:type="dxa"/>
            <w:tcBorders>
              <w:top w:val="single" w:sz="8" w:space="0" w:color="0070AD" w:themeColor="accent1"/>
              <w:bottom w:val="single" w:sz="8" w:space="0" w:color="0070AD" w:themeColor="accent1"/>
            </w:tcBorders>
            <w:vAlign w:val="center"/>
          </w:tcPr>
          <w:p w14:paraId="51715FB7" w14:textId="77777777" w:rsidR="00BE44F1" w:rsidRPr="005359A0" w:rsidRDefault="00EB7381" w:rsidP="00354252">
            <w:pPr>
              <w:pStyle w:val="TableParagraph"/>
              <w:keepNext/>
              <w:ind w:left="17"/>
              <w:jc w:val="center"/>
              <w:rPr>
                <w:rFonts w:eastAsia="Arial" w:cs="Arial"/>
                <w:b/>
                <w:sz w:val="14"/>
                <w:szCs w:val="14"/>
              </w:rPr>
            </w:pPr>
            <w:r>
              <w:rPr>
                <w:b/>
                <w:sz w:val="14"/>
                <w:szCs w:val="14"/>
              </w:rPr>
              <w:t>2017</w:t>
            </w:r>
          </w:p>
        </w:tc>
        <w:tc>
          <w:tcPr>
            <w:tcW w:w="1417" w:type="dxa"/>
            <w:tcBorders>
              <w:top w:val="single" w:sz="8" w:space="0" w:color="0070AD" w:themeColor="accent1"/>
              <w:bottom w:val="single" w:sz="8" w:space="0" w:color="0070AD" w:themeColor="accent1"/>
            </w:tcBorders>
            <w:shd w:val="clear" w:color="auto" w:fill="BBE7FF" w:themeFill="accent1" w:themeFillTint="33"/>
            <w:vAlign w:val="center"/>
          </w:tcPr>
          <w:p w14:paraId="0571E160" w14:textId="77777777" w:rsidR="00BE44F1" w:rsidRPr="005359A0" w:rsidRDefault="00EB7381" w:rsidP="00354252">
            <w:pPr>
              <w:pStyle w:val="TableParagraph"/>
              <w:keepNext/>
              <w:ind w:left="17"/>
              <w:jc w:val="center"/>
              <w:rPr>
                <w:rFonts w:eastAsia="Arial" w:cs="Arial"/>
                <w:b/>
                <w:sz w:val="14"/>
                <w:szCs w:val="14"/>
              </w:rPr>
            </w:pPr>
            <w:r>
              <w:rPr>
                <w:b/>
                <w:sz w:val="14"/>
                <w:szCs w:val="14"/>
              </w:rPr>
              <w:t>2018</w:t>
            </w:r>
          </w:p>
        </w:tc>
      </w:tr>
      <w:tr w:rsidR="00AC2F62" w:rsidRPr="005359A0" w14:paraId="6CE0122D" w14:textId="77777777" w:rsidTr="008E11D2">
        <w:trPr>
          <w:trHeight w:val="227"/>
          <w:jc w:val="center"/>
        </w:trPr>
        <w:tc>
          <w:tcPr>
            <w:tcW w:w="2948" w:type="dxa"/>
            <w:tcBorders>
              <w:top w:val="single" w:sz="8" w:space="0" w:color="0070AD" w:themeColor="accent1"/>
            </w:tcBorders>
            <w:vAlign w:val="center"/>
          </w:tcPr>
          <w:p w14:paraId="3245EF29" w14:textId="77777777" w:rsidR="00AC2F62" w:rsidRPr="005359A0" w:rsidRDefault="00AC2F62" w:rsidP="00AC2F62">
            <w:pPr>
              <w:pStyle w:val="TableParagraph"/>
              <w:keepNext/>
              <w:spacing w:before="29"/>
              <w:ind w:left="142"/>
              <w:rPr>
                <w:sz w:val="14"/>
                <w:szCs w:val="14"/>
              </w:rPr>
            </w:pPr>
            <w:r>
              <w:rPr>
                <w:sz w:val="14"/>
                <w:szCs w:val="14"/>
              </w:rPr>
              <w:t>North America</w:t>
            </w:r>
          </w:p>
        </w:tc>
        <w:tc>
          <w:tcPr>
            <w:tcW w:w="1361" w:type="dxa"/>
            <w:tcBorders>
              <w:top w:val="single" w:sz="8" w:space="0" w:color="0070AD"/>
              <w:left w:val="nil"/>
              <w:bottom w:val="nil"/>
              <w:right w:val="nil"/>
            </w:tcBorders>
            <w:shd w:val="clear" w:color="000000" w:fill="BBE7FF"/>
            <w:vAlign w:val="center"/>
          </w:tcPr>
          <w:p w14:paraId="3FF4CB71" w14:textId="77777777" w:rsidR="00AC2F62" w:rsidRPr="005359A0" w:rsidRDefault="001A6FC8" w:rsidP="00AC2F62">
            <w:pPr>
              <w:pStyle w:val="TableParagraph"/>
              <w:keepNext/>
              <w:spacing w:before="60"/>
              <w:ind w:left="1" w:right="537"/>
              <w:jc w:val="right"/>
              <w:rPr>
                <w:sz w:val="14"/>
                <w:szCs w:val="14"/>
              </w:rPr>
            </w:pPr>
            <w:r>
              <w:rPr>
                <w:sz w:val="14"/>
                <w:szCs w:val="14"/>
              </w:rPr>
              <w:t>4,230</w:t>
            </w:r>
          </w:p>
        </w:tc>
        <w:tc>
          <w:tcPr>
            <w:tcW w:w="57" w:type="dxa"/>
            <w:tcBorders>
              <w:top w:val="single" w:sz="8" w:space="0" w:color="0070AD"/>
              <w:left w:val="nil"/>
              <w:bottom w:val="nil"/>
              <w:right w:val="nil"/>
            </w:tcBorders>
            <w:shd w:val="clear" w:color="auto" w:fill="auto"/>
            <w:vAlign w:val="center"/>
          </w:tcPr>
          <w:p w14:paraId="2D2D75D5" w14:textId="77777777" w:rsidR="00AC2F62" w:rsidRPr="005359A0" w:rsidRDefault="00AC2F62" w:rsidP="00AC2F62">
            <w:pPr>
              <w:pStyle w:val="TableParagraph"/>
              <w:keepNext/>
              <w:spacing w:before="60"/>
              <w:ind w:left="1" w:right="537"/>
              <w:jc w:val="right"/>
              <w:rPr>
                <w:sz w:val="14"/>
                <w:szCs w:val="14"/>
              </w:rPr>
            </w:pPr>
            <w:r>
              <w:rPr>
                <w:sz w:val="14"/>
                <w:szCs w:val="14"/>
              </w:rPr>
              <w:t> </w:t>
            </w:r>
          </w:p>
        </w:tc>
        <w:tc>
          <w:tcPr>
            <w:tcW w:w="1417" w:type="dxa"/>
            <w:tcBorders>
              <w:top w:val="single" w:sz="8" w:space="0" w:color="0070AD"/>
              <w:left w:val="nil"/>
              <w:bottom w:val="nil"/>
              <w:right w:val="nil"/>
            </w:tcBorders>
            <w:shd w:val="clear" w:color="auto" w:fill="auto"/>
            <w:vAlign w:val="center"/>
          </w:tcPr>
          <w:p w14:paraId="440E46AB" w14:textId="77777777" w:rsidR="00AC2F62" w:rsidRPr="005359A0" w:rsidRDefault="00AC2F62" w:rsidP="00AC2F62">
            <w:pPr>
              <w:pStyle w:val="TableParagraph"/>
              <w:keepNext/>
              <w:spacing w:before="60"/>
              <w:ind w:left="1" w:right="537"/>
              <w:jc w:val="right"/>
              <w:rPr>
                <w:sz w:val="14"/>
                <w:szCs w:val="14"/>
              </w:rPr>
            </w:pPr>
            <w:r>
              <w:rPr>
                <w:sz w:val="14"/>
                <w:szCs w:val="14"/>
              </w:rPr>
              <w:t>+9.2%</w:t>
            </w:r>
          </w:p>
        </w:tc>
        <w:tc>
          <w:tcPr>
            <w:tcW w:w="1417" w:type="dxa"/>
            <w:tcBorders>
              <w:top w:val="single" w:sz="8" w:space="0" w:color="0070AD"/>
              <w:left w:val="nil"/>
              <w:bottom w:val="nil"/>
              <w:right w:val="nil"/>
            </w:tcBorders>
            <w:shd w:val="clear" w:color="auto" w:fill="auto"/>
            <w:vAlign w:val="center"/>
          </w:tcPr>
          <w:p w14:paraId="72B9E33D" w14:textId="77777777" w:rsidR="00AC2F62" w:rsidRPr="005359A0" w:rsidRDefault="00AC2F62" w:rsidP="00AC2F62">
            <w:pPr>
              <w:pStyle w:val="TableParagraph"/>
              <w:keepNext/>
              <w:spacing w:before="60"/>
              <w:ind w:left="1" w:right="537"/>
              <w:jc w:val="right"/>
              <w:rPr>
                <w:sz w:val="14"/>
                <w:szCs w:val="14"/>
              </w:rPr>
            </w:pPr>
            <w:r>
              <w:rPr>
                <w:sz w:val="14"/>
                <w:szCs w:val="14"/>
              </w:rPr>
              <w:t>+14.4%</w:t>
            </w:r>
          </w:p>
        </w:tc>
        <w:tc>
          <w:tcPr>
            <w:tcW w:w="57" w:type="dxa"/>
            <w:tcBorders>
              <w:top w:val="single" w:sz="8" w:space="0" w:color="0070AD"/>
              <w:left w:val="nil"/>
              <w:bottom w:val="nil"/>
              <w:right w:val="nil"/>
            </w:tcBorders>
            <w:shd w:val="clear" w:color="auto" w:fill="auto"/>
            <w:vAlign w:val="center"/>
          </w:tcPr>
          <w:p w14:paraId="604F822F" w14:textId="77777777" w:rsidR="00AC2F62" w:rsidRPr="005359A0" w:rsidRDefault="00AC2F62" w:rsidP="00AC2F62">
            <w:pPr>
              <w:pStyle w:val="TableParagraph"/>
              <w:keepNext/>
              <w:spacing w:before="60"/>
              <w:ind w:left="1" w:right="537"/>
              <w:jc w:val="right"/>
              <w:rPr>
                <w:sz w:val="14"/>
                <w:szCs w:val="14"/>
              </w:rPr>
            </w:pPr>
            <w:r>
              <w:rPr>
                <w:sz w:val="14"/>
                <w:szCs w:val="14"/>
              </w:rPr>
              <w:t> </w:t>
            </w:r>
          </w:p>
        </w:tc>
        <w:tc>
          <w:tcPr>
            <w:tcW w:w="1417" w:type="dxa"/>
            <w:tcBorders>
              <w:top w:val="single" w:sz="8" w:space="0" w:color="0070AD"/>
              <w:left w:val="nil"/>
              <w:bottom w:val="nil"/>
              <w:right w:val="nil"/>
            </w:tcBorders>
            <w:shd w:val="clear" w:color="auto" w:fill="auto"/>
            <w:vAlign w:val="center"/>
          </w:tcPr>
          <w:p w14:paraId="65423BFC" w14:textId="77777777" w:rsidR="00AC2F62" w:rsidRPr="005359A0" w:rsidRDefault="00AC2F62" w:rsidP="00AC2F62">
            <w:pPr>
              <w:pStyle w:val="TableParagraph"/>
              <w:keepNext/>
              <w:spacing w:before="60"/>
              <w:ind w:left="1" w:right="537"/>
              <w:jc w:val="right"/>
              <w:rPr>
                <w:sz w:val="14"/>
                <w:szCs w:val="14"/>
              </w:rPr>
            </w:pPr>
            <w:r>
              <w:rPr>
                <w:sz w:val="14"/>
                <w:szCs w:val="14"/>
              </w:rPr>
              <w:t>13.7%</w:t>
            </w:r>
          </w:p>
        </w:tc>
        <w:tc>
          <w:tcPr>
            <w:tcW w:w="1417" w:type="dxa"/>
            <w:tcBorders>
              <w:top w:val="single" w:sz="8" w:space="0" w:color="0070AD"/>
              <w:left w:val="nil"/>
              <w:bottom w:val="nil"/>
              <w:right w:val="nil"/>
            </w:tcBorders>
            <w:shd w:val="clear" w:color="000000" w:fill="BBE7FF"/>
            <w:vAlign w:val="center"/>
          </w:tcPr>
          <w:p w14:paraId="39041681" w14:textId="77777777" w:rsidR="00AC2F62" w:rsidRPr="005359A0" w:rsidRDefault="00AC2F62" w:rsidP="00AC2F62">
            <w:pPr>
              <w:pStyle w:val="TableParagraph"/>
              <w:keepNext/>
              <w:spacing w:before="60"/>
              <w:ind w:left="1" w:right="537"/>
              <w:jc w:val="right"/>
              <w:rPr>
                <w:sz w:val="14"/>
                <w:szCs w:val="14"/>
              </w:rPr>
            </w:pPr>
            <w:r>
              <w:rPr>
                <w:sz w:val="14"/>
                <w:szCs w:val="14"/>
              </w:rPr>
              <w:t>13.6%</w:t>
            </w:r>
          </w:p>
        </w:tc>
      </w:tr>
      <w:tr w:rsidR="00AC2F62" w:rsidRPr="005359A0" w14:paraId="5E01E84B" w14:textId="77777777" w:rsidTr="008E11D2">
        <w:trPr>
          <w:trHeight w:val="227"/>
          <w:jc w:val="center"/>
        </w:trPr>
        <w:tc>
          <w:tcPr>
            <w:tcW w:w="2948" w:type="dxa"/>
            <w:vAlign w:val="center"/>
          </w:tcPr>
          <w:p w14:paraId="6B2634D7" w14:textId="77777777" w:rsidR="00AC2F62" w:rsidRPr="005359A0" w:rsidRDefault="00AC2F62" w:rsidP="00AC2F62">
            <w:pPr>
              <w:pStyle w:val="TableParagraph"/>
              <w:keepNext/>
              <w:spacing w:before="27"/>
              <w:ind w:left="142"/>
              <w:rPr>
                <w:sz w:val="14"/>
                <w:szCs w:val="14"/>
              </w:rPr>
            </w:pPr>
            <w:r>
              <w:rPr>
                <w:sz w:val="14"/>
                <w:szCs w:val="14"/>
              </w:rPr>
              <w:t>United Kingdom and Ireland</w:t>
            </w:r>
          </w:p>
        </w:tc>
        <w:tc>
          <w:tcPr>
            <w:tcW w:w="1361" w:type="dxa"/>
            <w:tcBorders>
              <w:top w:val="nil"/>
              <w:left w:val="nil"/>
              <w:bottom w:val="nil"/>
              <w:right w:val="nil"/>
            </w:tcBorders>
            <w:shd w:val="clear" w:color="000000" w:fill="BBE7FF"/>
            <w:vAlign w:val="center"/>
          </w:tcPr>
          <w:p w14:paraId="33C61CE9" w14:textId="77777777" w:rsidR="00AC2F62" w:rsidRPr="005359A0" w:rsidRDefault="00AC2F62" w:rsidP="00AC2F62">
            <w:pPr>
              <w:pStyle w:val="TableParagraph"/>
              <w:keepNext/>
              <w:spacing w:before="60"/>
              <w:ind w:left="1" w:right="537"/>
              <w:jc w:val="right"/>
              <w:rPr>
                <w:sz w:val="14"/>
                <w:szCs w:val="14"/>
              </w:rPr>
            </w:pPr>
            <w:r>
              <w:rPr>
                <w:sz w:val="14"/>
                <w:szCs w:val="14"/>
              </w:rPr>
              <w:t>1,565</w:t>
            </w:r>
          </w:p>
        </w:tc>
        <w:tc>
          <w:tcPr>
            <w:tcW w:w="57" w:type="dxa"/>
            <w:tcBorders>
              <w:top w:val="nil"/>
              <w:left w:val="nil"/>
              <w:bottom w:val="nil"/>
              <w:right w:val="nil"/>
            </w:tcBorders>
            <w:shd w:val="clear" w:color="auto" w:fill="auto"/>
            <w:vAlign w:val="center"/>
          </w:tcPr>
          <w:p w14:paraId="524FD369" w14:textId="77777777" w:rsidR="00AC2F62" w:rsidRPr="005359A0" w:rsidRDefault="00AC2F62" w:rsidP="00AC2F62">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5B6E48E5" w14:textId="77777777" w:rsidR="00AC2F62" w:rsidRPr="005359A0" w:rsidRDefault="00AC2F62" w:rsidP="00AC2F62">
            <w:pPr>
              <w:pStyle w:val="TableParagraph"/>
              <w:keepNext/>
              <w:spacing w:before="60"/>
              <w:ind w:left="1" w:right="537"/>
              <w:jc w:val="right"/>
              <w:rPr>
                <w:sz w:val="14"/>
                <w:szCs w:val="14"/>
              </w:rPr>
            </w:pPr>
            <w:r>
              <w:rPr>
                <w:sz w:val="14"/>
                <w:szCs w:val="14"/>
              </w:rPr>
              <w:t>-0.9%</w:t>
            </w:r>
          </w:p>
        </w:tc>
        <w:tc>
          <w:tcPr>
            <w:tcW w:w="1417" w:type="dxa"/>
            <w:tcBorders>
              <w:top w:val="nil"/>
              <w:left w:val="nil"/>
              <w:bottom w:val="nil"/>
              <w:right w:val="nil"/>
            </w:tcBorders>
            <w:shd w:val="clear" w:color="auto" w:fill="auto"/>
            <w:vAlign w:val="center"/>
          </w:tcPr>
          <w:p w14:paraId="30EF6CA8" w14:textId="77777777" w:rsidR="00AC2F62" w:rsidRPr="005359A0" w:rsidRDefault="001A6FC8" w:rsidP="00AC2F62">
            <w:pPr>
              <w:pStyle w:val="TableParagraph"/>
              <w:keepNext/>
              <w:spacing w:before="60"/>
              <w:ind w:left="1" w:right="537"/>
              <w:jc w:val="right"/>
              <w:rPr>
                <w:sz w:val="14"/>
                <w:szCs w:val="14"/>
              </w:rPr>
            </w:pPr>
            <w:r>
              <w:rPr>
                <w:sz w:val="14"/>
                <w:szCs w:val="14"/>
              </w:rPr>
              <w:t>+0.1%</w:t>
            </w:r>
          </w:p>
        </w:tc>
        <w:tc>
          <w:tcPr>
            <w:tcW w:w="57" w:type="dxa"/>
            <w:tcBorders>
              <w:top w:val="nil"/>
              <w:left w:val="nil"/>
              <w:bottom w:val="nil"/>
              <w:right w:val="nil"/>
            </w:tcBorders>
            <w:shd w:val="clear" w:color="auto" w:fill="auto"/>
            <w:vAlign w:val="center"/>
          </w:tcPr>
          <w:p w14:paraId="6C283F59" w14:textId="77777777" w:rsidR="00AC2F62" w:rsidRPr="005359A0" w:rsidRDefault="00AC2F62" w:rsidP="00AC2F62">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5F131CC3" w14:textId="77777777" w:rsidR="00AC2F62" w:rsidRPr="005359A0" w:rsidRDefault="00AC2F62" w:rsidP="00AC2F62">
            <w:pPr>
              <w:pStyle w:val="TableParagraph"/>
              <w:keepNext/>
              <w:spacing w:before="60"/>
              <w:ind w:left="1" w:right="537"/>
              <w:jc w:val="right"/>
              <w:rPr>
                <w:sz w:val="14"/>
                <w:szCs w:val="14"/>
              </w:rPr>
            </w:pPr>
            <w:r>
              <w:rPr>
                <w:sz w:val="14"/>
                <w:szCs w:val="14"/>
              </w:rPr>
              <w:t>16.1%</w:t>
            </w:r>
          </w:p>
        </w:tc>
        <w:tc>
          <w:tcPr>
            <w:tcW w:w="1417" w:type="dxa"/>
            <w:tcBorders>
              <w:top w:val="nil"/>
              <w:left w:val="nil"/>
              <w:bottom w:val="nil"/>
              <w:right w:val="nil"/>
            </w:tcBorders>
            <w:shd w:val="clear" w:color="000000" w:fill="BBE7FF"/>
            <w:vAlign w:val="center"/>
          </w:tcPr>
          <w:p w14:paraId="7B43402D" w14:textId="77777777" w:rsidR="00AC2F62" w:rsidRPr="005359A0" w:rsidRDefault="00AC2F62" w:rsidP="00AC2F62">
            <w:pPr>
              <w:pStyle w:val="TableParagraph"/>
              <w:keepNext/>
              <w:spacing w:before="60"/>
              <w:ind w:left="1" w:right="537"/>
              <w:jc w:val="right"/>
              <w:rPr>
                <w:sz w:val="14"/>
                <w:szCs w:val="14"/>
              </w:rPr>
            </w:pPr>
            <w:r>
              <w:rPr>
                <w:sz w:val="14"/>
                <w:szCs w:val="14"/>
              </w:rPr>
              <w:t>12.6%</w:t>
            </w:r>
          </w:p>
        </w:tc>
      </w:tr>
      <w:tr w:rsidR="00AC2F62" w:rsidRPr="005359A0" w14:paraId="19C3E9ED" w14:textId="77777777" w:rsidTr="008E11D2">
        <w:trPr>
          <w:trHeight w:val="227"/>
          <w:jc w:val="center"/>
        </w:trPr>
        <w:tc>
          <w:tcPr>
            <w:tcW w:w="2948" w:type="dxa"/>
            <w:vAlign w:val="center"/>
          </w:tcPr>
          <w:p w14:paraId="0A397F75" w14:textId="77777777" w:rsidR="00AC2F62" w:rsidRPr="005359A0" w:rsidRDefault="00AC2F62" w:rsidP="00AC2F62">
            <w:pPr>
              <w:pStyle w:val="TableParagraph"/>
              <w:keepNext/>
              <w:spacing w:before="27"/>
              <w:ind w:left="142"/>
              <w:rPr>
                <w:rFonts w:eastAsia="Arial" w:cs="Arial"/>
                <w:sz w:val="14"/>
                <w:szCs w:val="14"/>
              </w:rPr>
            </w:pPr>
            <w:r>
              <w:rPr>
                <w:sz w:val="14"/>
                <w:szCs w:val="14"/>
              </w:rPr>
              <w:t>France</w:t>
            </w:r>
          </w:p>
        </w:tc>
        <w:tc>
          <w:tcPr>
            <w:tcW w:w="1361" w:type="dxa"/>
            <w:tcBorders>
              <w:top w:val="nil"/>
              <w:left w:val="nil"/>
              <w:bottom w:val="nil"/>
              <w:right w:val="nil"/>
            </w:tcBorders>
            <w:shd w:val="clear" w:color="000000" w:fill="BBE7FF"/>
            <w:vAlign w:val="center"/>
          </w:tcPr>
          <w:p w14:paraId="5ADB68CB" w14:textId="77777777" w:rsidR="00AC2F62" w:rsidRPr="005359A0" w:rsidRDefault="001A6FC8" w:rsidP="00AC2F62">
            <w:pPr>
              <w:pStyle w:val="TableParagraph"/>
              <w:keepNext/>
              <w:spacing w:before="60"/>
              <w:ind w:left="1" w:right="537"/>
              <w:jc w:val="right"/>
              <w:rPr>
                <w:sz w:val="14"/>
                <w:szCs w:val="14"/>
              </w:rPr>
            </w:pPr>
            <w:r>
              <w:rPr>
                <w:sz w:val="14"/>
                <w:szCs w:val="14"/>
              </w:rPr>
              <w:t>2,848</w:t>
            </w:r>
          </w:p>
        </w:tc>
        <w:tc>
          <w:tcPr>
            <w:tcW w:w="57" w:type="dxa"/>
            <w:tcBorders>
              <w:top w:val="nil"/>
              <w:left w:val="nil"/>
              <w:bottom w:val="nil"/>
              <w:right w:val="nil"/>
            </w:tcBorders>
            <w:shd w:val="clear" w:color="auto" w:fill="auto"/>
            <w:vAlign w:val="center"/>
          </w:tcPr>
          <w:p w14:paraId="2E5023EA" w14:textId="77777777" w:rsidR="00AC2F62" w:rsidRPr="005359A0" w:rsidRDefault="00AC2F62" w:rsidP="00AC2F62">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537E9EA0" w14:textId="77777777" w:rsidR="00AC2F62" w:rsidRPr="005359A0" w:rsidRDefault="00AC2F62" w:rsidP="00AC2F62">
            <w:pPr>
              <w:pStyle w:val="TableParagraph"/>
              <w:keepNext/>
              <w:spacing w:before="60"/>
              <w:ind w:left="1" w:right="537"/>
              <w:jc w:val="right"/>
              <w:rPr>
                <w:sz w:val="14"/>
                <w:szCs w:val="14"/>
              </w:rPr>
            </w:pPr>
            <w:r>
              <w:rPr>
                <w:sz w:val="14"/>
                <w:szCs w:val="14"/>
              </w:rPr>
              <w:t>+6.4%</w:t>
            </w:r>
          </w:p>
        </w:tc>
        <w:tc>
          <w:tcPr>
            <w:tcW w:w="1417" w:type="dxa"/>
            <w:tcBorders>
              <w:top w:val="nil"/>
              <w:left w:val="nil"/>
              <w:bottom w:val="nil"/>
              <w:right w:val="nil"/>
            </w:tcBorders>
            <w:shd w:val="clear" w:color="auto" w:fill="auto"/>
            <w:vAlign w:val="center"/>
          </w:tcPr>
          <w:p w14:paraId="3B983911" w14:textId="77777777" w:rsidR="00AC2F62" w:rsidRPr="005359A0" w:rsidRDefault="00AC2F62" w:rsidP="00AC2F62">
            <w:pPr>
              <w:pStyle w:val="TableParagraph"/>
              <w:keepNext/>
              <w:spacing w:before="60"/>
              <w:ind w:left="1" w:right="537"/>
              <w:jc w:val="right"/>
              <w:rPr>
                <w:sz w:val="14"/>
                <w:szCs w:val="14"/>
              </w:rPr>
            </w:pPr>
            <w:r>
              <w:rPr>
                <w:sz w:val="14"/>
                <w:szCs w:val="14"/>
              </w:rPr>
              <w:t>+6.4%</w:t>
            </w:r>
          </w:p>
        </w:tc>
        <w:tc>
          <w:tcPr>
            <w:tcW w:w="57" w:type="dxa"/>
            <w:tcBorders>
              <w:top w:val="nil"/>
              <w:left w:val="nil"/>
              <w:bottom w:val="nil"/>
              <w:right w:val="nil"/>
            </w:tcBorders>
            <w:shd w:val="clear" w:color="auto" w:fill="auto"/>
            <w:vAlign w:val="center"/>
          </w:tcPr>
          <w:p w14:paraId="59D20BF4" w14:textId="77777777" w:rsidR="00AC2F62" w:rsidRPr="005359A0" w:rsidRDefault="00AC2F62" w:rsidP="00AC2F62">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6A21741E" w14:textId="77777777" w:rsidR="00AC2F62" w:rsidRPr="005359A0" w:rsidRDefault="008222E6" w:rsidP="00AC2F62">
            <w:pPr>
              <w:pStyle w:val="TableParagraph"/>
              <w:keepNext/>
              <w:spacing w:before="60"/>
              <w:ind w:left="1" w:right="537"/>
              <w:jc w:val="right"/>
              <w:rPr>
                <w:sz w:val="14"/>
                <w:szCs w:val="14"/>
              </w:rPr>
            </w:pPr>
            <w:r>
              <w:rPr>
                <w:sz w:val="14"/>
                <w:szCs w:val="14"/>
              </w:rPr>
              <w:t>10.0%</w:t>
            </w:r>
          </w:p>
        </w:tc>
        <w:tc>
          <w:tcPr>
            <w:tcW w:w="1417" w:type="dxa"/>
            <w:tcBorders>
              <w:top w:val="nil"/>
              <w:left w:val="nil"/>
              <w:bottom w:val="nil"/>
              <w:right w:val="nil"/>
            </w:tcBorders>
            <w:shd w:val="clear" w:color="000000" w:fill="BBE7FF"/>
            <w:vAlign w:val="center"/>
          </w:tcPr>
          <w:p w14:paraId="207092FE" w14:textId="77777777" w:rsidR="00AC2F62" w:rsidRPr="005359A0" w:rsidRDefault="006A60DB" w:rsidP="00AC2F62">
            <w:pPr>
              <w:pStyle w:val="TableParagraph"/>
              <w:keepNext/>
              <w:spacing w:before="60"/>
              <w:ind w:left="1" w:right="537"/>
              <w:jc w:val="right"/>
              <w:rPr>
                <w:sz w:val="14"/>
                <w:szCs w:val="14"/>
              </w:rPr>
            </w:pPr>
            <w:r>
              <w:rPr>
                <w:sz w:val="14"/>
                <w:szCs w:val="14"/>
              </w:rPr>
              <w:t>11.1%</w:t>
            </w:r>
          </w:p>
        </w:tc>
      </w:tr>
      <w:tr w:rsidR="00AC2F62" w:rsidRPr="005359A0" w14:paraId="054167F2" w14:textId="77777777" w:rsidTr="008E11D2">
        <w:trPr>
          <w:trHeight w:val="227"/>
          <w:jc w:val="center"/>
        </w:trPr>
        <w:tc>
          <w:tcPr>
            <w:tcW w:w="2948" w:type="dxa"/>
            <w:vAlign w:val="center"/>
          </w:tcPr>
          <w:p w14:paraId="0BF1DFCC" w14:textId="77777777" w:rsidR="00AC2F62" w:rsidRPr="005359A0" w:rsidRDefault="00AC2F62" w:rsidP="00AC2F62">
            <w:pPr>
              <w:pStyle w:val="TableParagraph"/>
              <w:keepNext/>
              <w:spacing w:before="27"/>
              <w:ind w:left="142"/>
              <w:rPr>
                <w:sz w:val="14"/>
                <w:szCs w:val="14"/>
              </w:rPr>
            </w:pPr>
            <w:r>
              <w:rPr>
                <w:sz w:val="14"/>
                <w:szCs w:val="14"/>
              </w:rPr>
              <w:t>Rest of Europe</w:t>
            </w:r>
          </w:p>
        </w:tc>
        <w:tc>
          <w:tcPr>
            <w:tcW w:w="1361" w:type="dxa"/>
            <w:tcBorders>
              <w:top w:val="nil"/>
              <w:left w:val="nil"/>
              <w:bottom w:val="nil"/>
              <w:right w:val="nil"/>
            </w:tcBorders>
            <w:shd w:val="clear" w:color="000000" w:fill="BBE7FF"/>
            <w:vAlign w:val="center"/>
          </w:tcPr>
          <w:p w14:paraId="59235F83" w14:textId="77777777" w:rsidR="00AC2F62" w:rsidRPr="005359A0" w:rsidRDefault="001A6FC8" w:rsidP="00AC2F62">
            <w:pPr>
              <w:pStyle w:val="TableParagraph"/>
              <w:keepNext/>
              <w:spacing w:before="60"/>
              <w:ind w:left="1" w:right="537"/>
              <w:jc w:val="right"/>
              <w:rPr>
                <w:sz w:val="14"/>
                <w:szCs w:val="14"/>
              </w:rPr>
            </w:pPr>
            <w:r>
              <w:rPr>
                <w:sz w:val="14"/>
                <w:szCs w:val="14"/>
              </w:rPr>
              <w:t>3,605</w:t>
            </w:r>
          </w:p>
        </w:tc>
        <w:tc>
          <w:tcPr>
            <w:tcW w:w="57" w:type="dxa"/>
            <w:tcBorders>
              <w:top w:val="nil"/>
              <w:left w:val="nil"/>
              <w:bottom w:val="nil"/>
              <w:right w:val="nil"/>
            </w:tcBorders>
            <w:shd w:val="clear" w:color="auto" w:fill="auto"/>
            <w:vAlign w:val="center"/>
          </w:tcPr>
          <w:p w14:paraId="3D140C97" w14:textId="77777777" w:rsidR="00AC2F62" w:rsidRPr="005359A0" w:rsidRDefault="00AC2F62" w:rsidP="00AC2F62">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4533DB31" w14:textId="77777777" w:rsidR="00AC2F62" w:rsidRPr="005359A0" w:rsidRDefault="00AC2F62" w:rsidP="00AC2F62">
            <w:pPr>
              <w:pStyle w:val="TableParagraph"/>
              <w:keepNext/>
              <w:spacing w:before="60"/>
              <w:ind w:left="1" w:right="537"/>
              <w:jc w:val="right"/>
              <w:rPr>
                <w:sz w:val="14"/>
                <w:szCs w:val="14"/>
              </w:rPr>
            </w:pPr>
            <w:r>
              <w:rPr>
                <w:sz w:val="14"/>
                <w:szCs w:val="14"/>
              </w:rPr>
              <w:t>+5.6%</w:t>
            </w:r>
          </w:p>
        </w:tc>
        <w:tc>
          <w:tcPr>
            <w:tcW w:w="1417" w:type="dxa"/>
            <w:tcBorders>
              <w:top w:val="nil"/>
              <w:left w:val="nil"/>
              <w:bottom w:val="nil"/>
              <w:right w:val="nil"/>
            </w:tcBorders>
            <w:shd w:val="clear" w:color="auto" w:fill="auto"/>
            <w:vAlign w:val="center"/>
          </w:tcPr>
          <w:p w14:paraId="716CB493" w14:textId="77777777" w:rsidR="00AC2F62" w:rsidRPr="005359A0" w:rsidRDefault="00AC2F62" w:rsidP="00AC2F62">
            <w:pPr>
              <w:pStyle w:val="TableParagraph"/>
              <w:keepNext/>
              <w:spacing w:before="60"/>
              <w:ind w:left="1" w:right="537"/>
              <w:jc w:val="right"/>
              <w:rPr>
                <w:sz w:val="14"/>
                <w:szCs w:val="14"/>
              </w:rPr>
            </w:pPr>
            <w:r>
              <w:rPr>
                <w:sz w:val="14"/>
                <w:szCs w:val="14"/>
              </w:rPr>
              <w:t>+6.9%</w:t>
            </w:r>
          </w:p>
        </w:tc>
        <w:tc>
          <w:tcPr>
            <w:tcW w:w="57" w:type="dxa"/>
            <w:tcBorders>
              <w:top w:val="nil"/>
              <w:left w:val="nil"/>
              <w:bottom w:val="nil"/>
              <w:right w:val="nil"/>
            </w:tcBorders>
            <w:shd w:val="clear" w:color="auto" w:fill="auto"/>
            <w:vAlign w:val="center"/>
          </w:tcPr>
          <w:p w14:paraId="72585A12" w14:textId="77777777" w:rsidR="00AC2F62" w:rsidRPr="005359A0" w:rsidRDefault="00AC2F62" w:rsidP="00AC2F62">
            <w:pPr>
              <w:pStyle w:val="TableParagraph"/>
              <w:keepNext/>
              <w:spacing w:before="60"/>
              <w:ind w:left="1" w:right="537"/>
              <w:jc w:val="right"/>
              <w:rPr>
                <w:sz w:val="14"/>
                <w:szCs w:val="14"/>
              </w:rPr>
            </w:pPr>
          </w:p>
        </w:tc>
        <w:tc>
          <w:tcPr>
            <w:tcW w:w="1417" w:type="dxa"/>
            <w:tcBorders>
              <w:top w:val="nil"/>
              <w:left w:val="nil"/>
              <w:bottom w:val="nil"/>
              <w:right w:val="nil"/>
            </w:tcBorders>
            <w:shd w:val="clear" w:color="auto" w:fill="auto"/>
            <w:vAlign w:val="center"/>
          </w:tcPr>
          <w:p w14:paraId="42844951" w14:textId="77777777" w:rsidR="00AC2F62" w:rsidRPr="005359A0" w:rsidRDefault="00AC2F62" w:rsidP="00AC2F62">
            <w:pPr>
              <w:pStyle w:val="TableParagraph"/>
              <w:keepNext/>
              <w:spacing w:before="60"/>
              <w:ind w:left="1" w:right="537"/>
              <w:jc w:val="right"/>
              <w:rPr>
                <w:sz w:val="14"/>
                <w:szCs w:val="14"/>
              </w:rPr>
            </w:pPr>
            <w:r>
              <w:rPr>
                <w:sz w:val="14"/>
                <w:szCs w:val="14"/>
              </w:rPr>
              <w:t>12.2%</w:t>
            </w:r>
          </w:p>
        </w:tc>
        <w:tc>
          <w:tcPr>
            <w:tcW w:w="1417" w:type="dxa"/>
            <w:tcBorders>
              <w:top w:val="nil"/>
              <w:left w:val="nil"/>
              <w:bottom w:val="nil"/>
              <w:right w:val="nil"/>
            </w:tcBorders>
            <w:shd w:val="clear" w:color="000000" w:fill="BBE7FF"/>
            <w:vAlign w:val="center"/>
          </w:tcPr>
          <w:p w14:paraId="67FD8E1A" w14:textId="77777777" w:rsidR="00AC2F62" w:rsidRPr="005359A0" w:rsidRDefault="00AC2F62" w:rsidP="00AC2F62">
            <w:pPr>
              <w:pStyle w:val="TableParagraph"/>
              <w:keepNext/>
              <w:spacing w:before="60"/>
              <w:ind w:left="1" w:right="537"/>
              <w:jc w:val="right"/>
              <w:rPr>
                <w:sz w:val="14"/>
                <w:szCs w:val="14"/>
              </w:rPr>
            </w:pPr>
            <w:r>
              <w:rPr>
                <w:sz w:val="14"/>
                <w:szCs w:val="14"/>
              </w:rPr>
              <w:t>13.0%</w:t>
            </w:r>
          </w:p>
        </w:tc>
      </w:tr>
      <w:tr w:rsidR="00AC2F62" w:rsidRPr="005359A0" w14:paraId="3F3779FB" w14:textId="77777777" w:rsidTr="008E11D2">
        <w:trPr>
          <w:trHeight w:val="227"/>
          <w:jc w:val="center"/>
        </w:trPr>
        <w:tc>
          <w:tcPr>
            <w:tcW w:w="2948" w:type="dxa"/>
            <w:tcBorders>
              <w:bottom w:val="single" w:sz="8" w:space="0" w:color="0070AD" w:themeColor="accent1"/>
            </w:tcBorders>
            <w:vAlign w:val="center"/>
          </w:tcPr>
          <w:p w14:paraId="393D62FD" w14:textId="77777777" w:rsidR="00AC2F62" w:rsidRPr="005359A0" w:rsidRDefault="00AC2F62" w:rsidP="00AC2F62">
            <w:pPr>
              <w:pStyle w:val="TableParagraph"/>
              <w:keepNext/>
              <w:spacing w:before="27"/>
              <w:ind w:left="142"/>
              <w:rPr>
                <w:sz w:val="14"/>
                <w:szCs w:val="14"/>
              </w:rPr>
            </w:pPr>
            <w:r>
              <w:rPr>
                <w:sz w:val="14"/>
                <w:szCs w:val="14"/>
              </w:rPr>
              <w:t>Asia Pacific and Latin America</w:t>
            </w:r>
          </w:p>
        </w:tc>
        <w:tc>
          <w:tcPr>
            <w:tcW w:w="1361" w:type="dxa"/>
            <w:tcBorders>
              <w:top w:val="nil"/>
              <w:left w:val="nil"/>
              <w:bottom w:val="single" w:sz="8" w:space="0" w:color="0070AD"/>
              <w:right w:val="nil"/>
            </w:tcBorders>
            <w:shd w:val="clear" w:color="000000" w:fill="BBE7FF"/>
            <w:vAlign w:val="center"/>
          </w:tcPr>
          <w:p w14:paraId="030B66F8" w14:textId="77777777" w:rsidR="00AC2F62" w:rsidRPr="005359A0" w:rsidRDefault="001A6FC8" w:rsidP="00AC2F62">
            <w:pPr>
              <w:pStyle w:val="TableParagraph"/>
              <w:keepNext/>
              <w:spacing w:before="60"/>
              <w:ind w:left="1" w:right="537"/>
              <w:jc w:val="right"/>
              <w:rPr>
                <w:sz w:val="14"/>
                <w:szCs w:val="14"/>
              </w:rPr>
            </w:pPr>
            <w:r>
              <w:rPr>
                <w:sz w:val="14"/>
                <w:szCs w:val="14"/>
              </w:rPr>
              <w:t>949</w:t>
            </w:r>
          </w:p>
        </w:tc>
        <w:tc>
          <w:tcPr>
            <w:tcW w:w="57" w:type="dxa"/>
            <w:tcBorders>
              <w:top w:val="nil"/>
              <w:left w:val="nil"/>
              <w:bottom w:val="single" w:sz="8" w:space="0" w:color="0070AD"/>
              <w:right w:val="nil"/>
            </w:tcBorders>
            <w:shd w:val="clear" w:color="auto" w:fill="auto"/>
            <w:vAlign w:val="center"/>
          </w:tcPr>
          <w:p w14:paraId="6779F083" w14:textId="77777777" w:rsidR="00AC2F62" w:rsidRPr="005359A0" w:rsidRDefault="00AC2F62" w:rsidP="00AC2F62">
            <w:pPr>
              <w:pStyle w:val="TableParagraph"/>
              <w:keepNext/>
              <w:spacing w:before="60"/>
              <w:ind w:left="1" w:right="537"/>
              <w:jc w:val="right"/>
              <w:rPr>
                <w:sz w:val="14"/>
                <w:szCs w:val="14"/>
              </w:rPr>
            </w:pPr>
            <w:r>
              <w:rPr>
                <w:sz w:val="14"/>
                <w:szCs w:val="14"/>
              </w:rPr>
              <w:t> </w:t>
            </w:r>
          </w:p>
        </w:tc>
        <w:tc>
          <w:tcPr>
            <w:tcW w:w="1417" w:type="dxa"/>
            <w:tcBorders>
              <w:top w:val="nil"/>
              <w:left w:val="nil"/>
              <w:bottom w:val="single" w:sz="8" w:space="0" w:color="0070AD"/>
              <w:right w:val="nil"/>
            </w:tcBorders>
            <w:shd w:val="clear" w:color="auto" w:fill="auto"/>
            <w:vAlign w:val="center"/>
          </w:tcPr>
          <w:p w14:paraId="4C0CC92D" w14:textId="77777777" w:rsidR="00AC2F62" w:rsidRPr="005359A0" w:rsidRDefault="001A6FC8" w:rsidP="00AC2F62">
            <w:pPr>
              <w:pStyle w:val="TableParagraph"/>
              <w:keepNext/>
              <w:spacing w:before="60"/>
              <w:ind w:left="1" w:right="537"/>
              <w:jc w:val="right"/>
              <w:rPr>
                <w:sz w:val="14"/>
                <w:szCs w:val="14"/>
              </w:rPr>
            </w:pPr>
            <w:r>
              <w:rPr>
                <w:sz w:val="14"/>
                <w:szCs w:val="14"/>
              </w:rPr>
              <w:t>-3.3%</w:t>
            </w:r>
          </w:p>
        </w:tc>
        <w:tc>
          <w:tcPr>
            <w:tcW w:w="1417" w:type="dxa"/>
            <w:tcBorders>
              <w:top w:val="nil"/>
              <w:left w:val="nil"/>
              <w:bottom w:val="single" w:sz="8" w:space="0" w:color="0070AD"/>
              <w:right w:val="nil"/>
            </w:tcBorders>
            <w:shd w:val="clear" w:color="auto" w:fill="auto"/>
            <w:vAlign w:val="center"/>
          </w:tcPr>
          <w:p w14:paraId="218EB04C" w14:textId="77777777" w:rsidR="00AC2F62" w:rsidRPr="005359A0" w:rsidRDefault="00AC2F62" w:rsidP="00AC2F62">
            <w:pPr>
              <w:pStyle w:val="TableParagraph"/>
              <w:keepNext/>
              <w:spacing w:before="60"/>
              <w:ind w:left="1" w:right="537"/>
              <w:jc w:val="right"/>
              <w:rPr>
                <w:sz w:val="14"/>
                <w:szCs w:val="14"/>
              </w:rPr>
            </w:pPr>
            <w:r>
              <w:rPr>
                <w:sz w:val="14"/>
                <w:szCs w:val="14"/>
              </w:rPr>
              <w:t>+6.0%</w:t>
            </w:r>
          </w:p>
        </w:tc>
        <w:tc>
          <w:tcPr>
            <w:tcW w:w="57" w:type="dxa"/>
            <w:tcBorders>
              <w:top w:val="nil"/>
              <w:left w:val="nil"/>
              <w:bottom w:val="single" w:sz="8" w:space="0" w:color="0070AD"/>
              <w:right w:val="nil"/>
            </w:tcBorders>
            <w:shd w:val="clear" w:color="auto" w:fill="auto"/>
            <w:vAlign w:val="center"/>
          </w:tcPr>
          <w:p w14:paraId="7A0E0B21" w14:textId="77777777" w:rsidR="00AC2F62" w:rsidRPr="005359A0" w:rsidRDefault="00AC2F62" w:rsidP="00AC2F62">
            <w:pPr>
              <w:pStyle w:val="TableParagraph"/>
              <w:keepNext/>
              <w:spacing w:before="60"/>
              <w:ind w:left="1" w:right="537"/>
              <w:jc w:val="right"/>
              <w:rPr>
                <w:sz w:val="14"/>
                <w:szCs w:val="14"/>
              </w:rPr>
            </w:pPr>
            <w:r>
              <w:rPr>
                <w:sz w:val="14"/>
                <w:szCs w:val="14"/>
              </w:rPr>
              <w:t> </w:t>
            </w:r>
          </w:p>
        </w:tc>
        <w:tc>
          <w:tcPr>
            <w:tcW w:w="1417" w:type="dxa"/>
            <w:tcBorders>
              <w:top w:val="nil"/>
              <w:left w:val="nil"/>
              <w:bottom w:val="single" w:sz="8" w:space="0" w:color="0070AD"/>
              <w:right w:val="nil"/>
            </w:tcBorders>
            <w:shd w:val="clear" w:color="auto" w:fill="auto"/>
            <w:vAlign w:val="center"/>
          </w:tcPr>
          <w:p w14:paraId="07CDE1AF" w14:textId="77777777" w:rsidR="00AC2F62" w:rsidRPr="005359A0" w:rsidRDefault="00F7543E" w:rsidP="00AC2F62">
            <w:pPr>
              <w:pStyle w:val="TableParagraph"/>
              <w:keepNext/>
              <w:spacing w:before="60"/>
              <w:ind w:left="1" w:right="537"/>
              <w:jc w:val="right"/>
              <w:rPr>
                <w:sz w:val="14"/>
                <w:szCs w:val="14"/>
              </w:rPr>
            </w:pPr>
            <w:r>
              <w:rPr>
                <w:sz w:val="14"/>
                <w:szCs w:val="14"/>
              </w:rPr>
              <w:t>10.1%</w:t>
            </w:r>
          </w:p>
        </w:tc>
        <w:tc>
          <w:tcPr>
            <w:tcW w:w="1417" w:type="dxa"/>
            <w:tcBorders>
              <w:top w:val="nil"/>
              <w:left w:val="nil"/>
              <w:bottom w:val="single" w:sz="8" w:space="0" w:color="0070AD"/>
              <w:right w:val="nil"/>
            </w:tcBorders>
            <w:shd w:val="clear" w:color="000000" w:fill="BBE7FF"/>
            <w:vAlign w:val="center"/>
          </w:tcPr>
          <w:p w14:paraId="0057B13F" w14:textId="77777777" w:rsidR="00AC2F62" w:rsidRPr="005359A0" w:rsidRDefault="006A60DB" w:rsidP="00AC2F62">
            <w:pPr>
              <w:pStyle w:val="TableParagraph"/>
              <w:keepNext/>
              <w:spacing w:before="60"/>
              <w:ind w:left="1" w:right="537"/>
              <w:jc w:val="right"/>
              <w:rPr>
                <w:sz w:val="14"/>
                <w:szCs w:val="14"/>
              </w:rPr>
            </w:pPr>
            <w:r>
              <w:rPr>
                <w:sz w:val="14"/>
                <w:szCs w:val="14"/>
              </w:rPr>
              <w:t>12.8%</w:t>
            </w:r>
          </w:p>
        </w:tc>
      </w:tr>
      <w:tr w:rsidR="00AC2F62" w:rsidRPr="005359A0" w14:paraId="78BD72FE" w14:textId="77777777" w:rsidTr="008E11D2">
        <w:trPr>
          <w:trHeight w:val="227"/>
          <w:jc w:val="center"/>
        </w:trPr>
        <w:tc>
          <w:tcPr>
            <w:tcW w:w="2948" w:type="dxa"/>
            <w:tcBorders>
              <w:top w:val="single" w:sz="8" w:space="0" w:color="0070AD" w:themeColor="accent1"/>
              <w:bottom w:val="single" w:sz="8" w:space="0" w:color="0070AD" w:themeColor="accent1"/>
            </w:tcBorders>
            <w:vAlign w:val="center"/>
          </w:tcPr>
          <w:p w14:paraId="4E4F5F96" w14:textId="77777777" w:rsidR="00AC2F62" w:rsidRPr="005359A0" w:rsidRDefault="00AC2F62" w:rsidP="00AC2F62">
            <w:pPr>
              <w:pStyle w:val="TableParagraph"/>
              <w:keepNext/>
              <w:spacing w:before="29"/>
              <w:ind w:left="63"/>
              <w:rPr>
                <w:b/>
                <w:color w:val="0070AD" w:themeColor="accent1"/>
                <w:sz w:val="14"/>
                <w:szCs w:val="14"/>
              </w:rPr>
            </w:pPr>
            <w:r>
              <w:rPr>
                <w:b/>
                <w:color w:val="0070AD" w:themeColor="accent1"/>
                <w:sz w:val="14"/>
                <w:szCs w:val="14"/>
              </w:rPr>
              <w:t>TOTAL</w:t>
            </w:r>
          </w:p>
        </w:tc>
        <w:tc>
          <w:tcPr>
            <w:tcW w:w="1361" w:type="dxa"/>
            <w:tcBorders>
              <w:top w:val="nil"/>
              <w:left w:val="nil"/>
              <w:bottom w:val="single" w:sz="8" w:space="0" w:color="0070AD"/>
              <w:right w:val="nil"/>
            </w:tcBorders>
            <w:shd w:val="clear" w:color="000000" w:fill="BBE7FF"/>
            <w:vAlign w:val="center"/>
          </w:tcPr>
          <w:p w14:paraId="5612D7B4" w14:textId="77777777" w:rsidR="00AC2F62" w:rsidRPr="005359A0" w:rsidRDefault="001A6FC8" w:rsidP="00AC2F62">
            <w:pPr>
              <w:pStyle w:val="TableParagraph"/>
              <w:keepNext/>
              <w:spacing w:before="60"/>
              <w:ind w:left="1" w:right="537"/>
              <w:jc w:val="right"/>
              <w:rPr>
                <w:b/>
                <w:color w:val="0070AD"/>
                <w:sz w:val="14"/>
                <w:szCs w:val="14"/>
              </w:rPr>
            </w:pPr>
            <w:r>
              <w:rPr>
                <w:b/>
                <w:color w:val="0070AD"/>
                <w:sz w:val="14"/>
                <w:szCs w:val="14"/>
              </w:rPr>
              <w:t>13,197</w:t>
            </w:r>
          </w:p>
        </w:tc>
        <w:tc>
          <w:tcPr>
            <w:tcW w:w="57" w:type="dxa"/>
            <w:tcBorders>
              <w:top w:val="nil"/>
              <w:left w:val="nil"/>
              <w:bottom w:val="single" w:sz="8" w:space="0" w:color="0070AD"/>
              <w:right w:val="nil"/>
            </w:tcBorders>
            <w:shd w:val="clear" w:color="auto" w:fill="auto"/>
            <w:vAlign w:val="center"/>
          </w:tcPr>
          <w:p w14:paraId="2BEA08E8" w14:textId="77777777" w:rsidR="00AC2F62" w:rsidRPr="005359A0" w:rsidRDefault="00AC2F62" w:rsidP="00AC2F62">
            <w:pPr>
              <w:pStyle w:val="TableParagraph"/>
              <w:keepNext/>
              <w:spacing w:before="60"/>
              <w:ind w:left="1" w:right="537"/>
              <w:jc w:val="right"/>
              <w:rPr>
                <w:b/>
                <w:color w:val="0070AD"/>
                <w:sz w:val="14"/>
                <w:szCs w:val="14"/>
              </w:rPr>
            </w:pPr>
            <w:r>
              <w:rPr>
                <w:b/>
                <w:color w:val="0070AD"/>
                <w:sz w:val="14"/>
                <w:szCs w:val="14"/>
              </w:rPr>
              <w:t> </w:t>
            </w:r>
          </w:p>
        </w:tc>
        <w:tc>
          <w:tcPr>
            <w:tcW w:w="1417" w:type="dxa"/>
            <w:tcBorders>
              <w:top w:val="nil"/>
              <w:left w:val="nil"/>
              <w:bottom w:val="single" w:sz="8" w:space="0" w:color="0070AD"/>
              <w:right w:val="nil"/>
            </w:tcBorders>
            <w:shd w:val="clear" w:color="auto" w:fill="auto"/>
            <w:vAlign w:val="center"/>
          </w:tcPr>
          <w:p w14:paraId="4C647111" w14:textId="77777777" w:rsidR="00AC2F62" w:rsidRPr="005359A0" w:rsidRDefault="00AC2F62" w:rsidP="00AC2F62">
            <w:pPr>
              <w:pStyle w:val="TableParagraph"/>
              <w:keepNext/>
              <w:spacing w:before="60"/>
              <w:ind w:left="1" w:right="537"/>
              <w:jc w:val="right"/>
              <w:rPr>
                <w:b/>
                <w:color w:val="0070AD"/>
                <w:sz w:val="14"/>
                <w:szCs w:val="14"/>
              </w:rPr>
            </w:pPr>
            <w:r>
              <w:rPr>
                <w:b/>
                <w:color w:val="0070AD"/>
                <w:sz w:val="14"/>
                <w:szCs w:val="14"/>
              </w:rPr>
              <w:t>+5.4%</w:t>
            </w:r>
          </w:p>
        </w:tc>
        <w:tc>
          <w:tcPr>
            <w:tcW w:w="1417" w:type="dxa"/>
            <w:tcBorders>
              <w:top w:val="nil"/>
              <w:left w:val="nil"/>
              <w:bottom w:val="single" w:sz="8" w:space="0" w:color="0070AD"/>
              <w:right w:val="nil"/>
            </w:tcBorders>
            <w:shd w:val="clear" w:color="auto" w:fill="auto"/>
            <w:vAlign w:val="center"/>
          </w:tcPr>
          <w:p w14:paraId="44526946" w14:textId="77777777" w:rsidR="00AC2F62" w:rsidRPr="005359A0" w:rsidRDefault="00AC2F62" w:rsidP="00AC2F62">
            <w:pPr>
              <w:pStyle w:val="TableParagraph"/>
              <w:keepNext/>
              <w:spacing w:before="60"/>
              <w:ind w:left="1" w:right="537"/>
              <w:jc w:val="right"/>
              <w:rPr>
                <w:b/>
                <w:color w:val="0070AD"/>
                <w:sz w:val="14"/>
                <w:szCs w:val="14"/>
              </w:rPr>
            </w:pPr>
            <w:r>
              <w:rPr>
                <w:b/>
                <w:color w:val="0070AD"/>
                <w:sz w:val="14"/>
                <w:szCs w:val="14"/>
              </w:rPr>
              <w:t>+8.1%</w:t>
            </w:r>
          </w:p>
        </w:tc>
        <w:tc>
          <w:tcPr>
            <w:tcW w:w="57" w:type="dxa"/>
            <w:tcBorders>
              <w:top w:val="nil"/>
              <w:left w:val="nil"/>
              <w:bottom w:val="single" w:sz="8" w:space="0" w:color="0070AD"/>
              <w:right w:val="nil"/>
            </w:tcBorders>
            <w:shd w:val="clear" w:color="auto" w:fill="auto"/>
            <w:vAlign w:val="center"/>
          </w:tcPr>
          <w:p w14:paraId="289D82F0" w14:textId="77777777" w:rsidR="00AC2F62" w:rsidRPr="005359A0" w:rsidRDefault="00AC2F62" w:rsidP="00AC2F62">
            <w:pPr>
              <w:pStyle w:val="TableParagraph"/>
              <w:keepNext/>
              <w:spacing w:before="60"/>
              <w:ind w:left="1" w:right="537"/>
              <w:jc w:val="right"/>
              <w:rPr>
                <w:b/>
                <w:color w:val="0070AD"/>
                <w:sz w:val="14"/>
                <w:szCs w:val="14"/>
              </w:rPr>
            </w:pPr>
            <w:r>
              <w:rPr>
                <w:b/>
                <w:color w:val="0070AD"/>
                <w:sz w:val="14"/>
                <w:szCs w:val="14"/>
              </w:rPr>
              <w:t> </w:t>
            </w:r>
          </w:p>
        </w:tc>
        <w:tc>
          <w:tcPr>
            <w:tcW w:w="1417" w:type="dxa"/>
            <w:tcBorders>
              <w:top w:val="nil"/>
              <w:left w:val="nil"/>
              <w:bottom w:val="single" w:sz="8" w:space="0" w:color="0070AD"/>
              <w:right w:val="nil"/>
            </w:tcBorders>
            <w:shd w:val="clear" w:color="auto" w:fill="auto"/>
            <w:vAlign w:val="center"/>
          </w:tcPr>
          <w:p w14:paraId="3DB5093B" w14:textId="77777777" w:rsidR="00AC2F62" w:rsidRPr="005359A0" w:rsidRDefault="00AC2F62" w:rsidP="00AC2F62">
            <w:pPr>
              <w:pStyle w:val="TableParagraph"/>
              <w:keepNext/>
              <w:spacing w:before="60"/>
              <w:ind w:left="1" w:right="537"/>
              <w:jc w:val="right"/>
              <w:rPr>
                <w:b/>
                <w:color w:val="0070AD"/>
                <w:sz w:val="14"/>
                <w:szCs w:val="14"/>
              </w:rPr>
            </w:pPr>
            <w:r>
              <w:rPr>
                <w:b/>
                <w:color w:val="0070AD"/>
                <w:sz w:val="14"/>
                <w:szCs w:val="14"/>
              </w:rPr>
              <w:t>11.9%</w:t>
            </w:r>
          </w:p>
        </w:tc>
        <w:tc>
          <w:tcPr>
            <w:tcW w:w="1417" w:type="dxa"/>
            <w:tcBorders>
              <w:top w:val="nil"/>
              <w:left w:val="nil"/>
              <w:bottom w:val="single" w:sz="8" w:space="0" w:color="0070AD"/>
              <w:right w:val="nil"/>
            </w:tcBorders>
            <w:shd w:val="clear" w:color="000000" w:fill="BBE7FF"/>
            <w:vAlign w:val="center"/>
          </w:tcPr>
          <w:p w14:paraId="652FE051" w14:textId="77777777" w:rsidR="00AC2F62" w:rsidRPr="005359A0" w:rsidRDefault="00AC2F62" w:rsidP="00AC2F62">
            <w:pPr>
              <w:pStyle w:val="TableParagraph"/>
              <w:keepNext/>
              <w:spacing w:before="60"/>
              <w:ind w:left="1" w:right="537"/>
              <w:jc w:val="right"/>
              <w:rPr>
                <w:b/>
                <w:color w:val="0070AD"/>
                <w:sz w:val="14"/>
                <w:szCs w:val="14"/>
              </w:rPr>
            </w:pPr>
            <w:r>
              <w:rPr>
                <w:b/>
                <w:color w:val="0070AD"/>
                <w:sz w:val="14"/>
                <w:szCs w:val="14"/>
              </w:rPr>
              <w:t>12.1%</w:t>
            </w:r>
          </w:p>
        </w:tc>
      </w:tr>
    </w:tbl>
    <w:p w14:paraId="16F165E0" w14:textId="77777777" w:rsidR="00F96B8D" w:rsidRPr="005359A0" w:rsidRDefault="00F96B8D" w:rsidP="00A15CD4"/>
    <w:p w14:paraId="45DDEF8F" w14:textId="77777777" w:rsidR="00BE44F1" w:rsidRPr="005359A0" w:rsidRDefault="00BE44F1" w:rsidP="00BE44F1">
      <w:pPr>
        <w:pStyle w:val="Heading1"/>
      </w:pPr>
      <w:r>
        <w:t>RESULTS BY BUSINESS</w:t>
      </w:r>
    </w:p>
    <w:tbl>
      <w:tblPr>
        <w:tblW w:w="10079" w:type="dxa"/>
        <w:jc w:val="center"/>
        <w:tblCellMar>
          <w:left w:w="0" w:type="dxa"/>
          <w:right w:w="0" w:type="dxa"/>
        </w:tblCellMar>
        <w:tblLook w:val="01E0" w:firstRow="1" w:lastRow="1" w:firstColumn="1" w:lastColumn="1" w:noHBand="0" w:noVBand="0"/>
      </w:tblPr>
      <w:tblGrid>
        <w:gridCol w:w="2948"/>
        <w:gridCol w:w="1360"/>
        <w:gridCol w:w="57"/>
        <w:gridCol w:w="1416"/>
        <w:gridCol w:w="1416"/>
        <w:gridCol w:w="50"/>
        <w:gridCol w:w="1416"/>
        <w:gridCol w:w="1416"/>
      </w:tblGrid>
      <w:tr w:rsidR="003E11DB" w:rsidRPr="005359A0" w14:paraId="507FB81E" w14:textId="77777777" w:rsidTr="008E11D2">
        <w:trPr>
          <w:trHeight w:hRule="exact" w:val="283"/>
          <w:jc w:val="center"/>
        </w:trPr>
        <w:tc>
          <w:tcPr>
            <w:tcW w:w="2948" w:type="dxa"/>
          </w:tcPr>
          <w:p w14:paraId="6E3C08BA" w14:textId="77777777" w:rsidR="003E11DB" w:rsidRPr="005359A0" w:rsidRDefault="003E11DB" w:rsidP="00354252">
            <w:pPr>
              <w:keepNext/>
              <w:rPr>
                <w:sz w:val="14"/>
                <w:szCs w:val="14"/>
              </w:rPr>
            </w:pPr>
            <w:bookmarkStart w:id="39" w:name="_Hlk501462743"/>
          </w:p>
        </w:tc>
        <w:tc>
          <w:tcPr>
            <w:tcW w:w="1360" w:type="dxa"/>
            <w:tcBorders>
              <w:bottom w:val="single" w:sz="8" w:space="0" w:color="0070AD" w:themeColor="accent1"/>
            </w:tcBorders>
            <w:shd w:val="clear" w:color="auto" w:fill="auto"/>
            <w:vAlign w:val="center"/>
          </w:tcPr>
          <w:p w14:paraId="1027C83A" w14:textId="77777777" w:rsidR="003E11DB" w:rsidRPr="005359A0" w:rsidRDefault="003E11DB" w:rsidP="00354252">
            <w:pPr>
              <w:pStyle w:val="TableParagraph"/>
              <w:keepNext/>
              <w:jc w:val="center"/>
              <w:rPr>
                <w:b/>
                <w:sz w:val="14"/>
                <w:szCs w:val="14"/>
              </w:rPr>
            </w:pPr>
            <w:r>
              <w:rPr>
                <w:b/>
                <w:sz w:val="14"/>
                <w:szCs w:val="14"/>
              </w:rPr>
              <w:t>Revenues</w:t>
            </w:r>
          </w:p>
        </w:tc>
        <w:tc>
          <w:tcPr>
            <w:tcW w:w="57" w:type="dxa"/>
          </w:tcPr>
          <w:p w14:paraId="613907E6" w14:textId="77777777" w:rsidR="003E11DB" w:rsidRPr="005359A0" w:rsidRDefault="003E11DB" w:rsidP="00354252">
            <w:pPr>
              <w:pStyle w:val="TableParagraph"/>
              <w:keepNext/>
              <w:ind w:right="105"/>
              <w:jc w:val="center"/>
              <w:rPr>
                <w:b/>
                <w:sz w:val="14"/>
                <w:szCs w:val="14"/>
                <w:lang w:val="fr-FR"/>
              </w:rPr>
            </w:pPr>
          </w:p>
        </w:tc>
        <w:tc>
          <w:tcPr>
            <w:tcW w:w="2832" w:type="dxa"/>
            <w:gridSpan w:val="2"/>
            <w:tcBorders>
              <w:bottom w:val="single" w:sz="8" w:space="0" w:color="30849B"/>
            </w:tcBorders>
            <w:vAlign w:val="center"/>
          </w:tcPr>
          <w:p w14:paraId="63F0F08C" w14:textId="77777777" w:rsidR="003E11DB" w:rsidRPr="005359A0" w:rsidRDefault="003E11DB" w:rsidP="00354252">
            <w:pPr>
              <w:pStyle w:val="TableParagraph"/>
              <w:keepNext/>
              <w:ind w:right="-1"/>
              <w:jc w:val="center"/>
              <w:rPr>
                <w:b/>
                <w:sz w:val="14"/>
                <w:szCs w:val="14"/>
              </w:rPr>
            </w:pPr>
            <w:r>
              <w:rPr>
                <w:b/>
                <w:sz w:val="14"/>
                <w:szCs w:val="14"/>
              </w:rPr>
              <w:t>Year-on-year growth</w:t>
            </w:r>
          </w:p>
        </w:tc>
        <w:tc>
          <w:tcPr>
            <w:tcW w:w="50" w:type="dxa"/>
          </w:tcPr>
          <w:p w14:paraId="2D491D93" w14:textId="77777777" w:rsidR="003E11DB" w:rsidRPr="005359A0" w:rsidRDefault="003E11DB" w:rsidP="00354252">
            <w:pPr>
              <w:pStyle w:val="TableParagraph"/>
              <w:keepNext/>
              <w:ind w:left="-11" w:right="380" w:firstLine="11"/>
              <w:jc w:val="center"/>
              <w:rPr>
                <w:b/>
                <w:sz w:val="14"/>
                <w:szCs w:val="14"/>
                <w:lang w:val="fr-FR"/>
              </w:rPr>
            </w:pPr>
          </w:p>
        </w:tc>
        <w:tc>
          <w:tcPr>
            <w:tcW w:w="2832" w:type="dxa"/>
            <w:gridSpan w:val="2"/>
            <w:tcBorders>
              <w:bottom w:val="single" w:sz="4" w:space="0" w:color="0070AD" w:themeColor="accent1"/>
            </w:tcBorders>
            <w:shd w:val="clear" w:color="auto" w:fill="auto"/>
            <w:vAlign w:val="center"/>
          </w:tcPr>
          <w:p w14:paraId="69006DC3" w14:textId="77777777" w:rsidR="003E11DB" w:rsidRPr="005359A0" w:rsidRDefault="003E11DB" w:rsidP="00354252">
            <w:pPr>
              <w:pStyle w:val="TableParagraph"/>
              <w:keepNext/>
              <w:ind w:left="-11" w:firstLine="11"/>
              <w:jc w:val="center"/>
              <w:rPr>
                <w:rFonts w:eastAsia="Arial" w:cs="Arial"/>
                <w:b/>
                <w:sz w:val="14"/>
                <w:szCs w:val="14"/>
              </w:rPr>
            </w:pPr>
            <w:r>
              <w:rPr>
                <w:b/>
                <w:sz w:val="14"/>
                <w:szCs w:val="14"/>
              </w:rPr>
              <w:t>Operating margin rate</w:t>
            </w:r>
          </w:p>
        </w:tc>
      </w:tr>
      <w:tr w:rsidR="00F5193D" w:rsidRPr="005359A0" w14:paraId="09FAF89A" w14:textId="77777777" w:rsidTr="008E11D2">
        <w:trPr>
          <w:trHeight w:hRule="exact" w:val="567"/>
          <w:jc w:val="center"/>
        </w:trPr>
        <w:tc>
          <w:tcPr>
            <w:tcW w:w="2948" w:type="dxa"/>
            <w:tcBorders>
              <w:bottom w:val="single" w:sz="8" w:space="0" w:color="0070AD" w:themeColor="accent1"/>
            </w:tcBorders>
          </w:tcPr>
          <w:p w14:paraId="4EC72E6A" w14:textId="77777777" w:rsidR="00F5193D" w:rsidRPr="005359A0" w:rsidRDefault="00F5193D" w:rsidP="00F5193D">
            <w:pPr>
              <w:keepNext/>
              <w:rPr>
                <w:sz w:val="14"/>
                <w:szCs w:val="14"/>
              </w:rPr>
            </w:pPr>
          </w:p>
        </w:tc>
        <w:tc>
          <w:tcPr>
            <w:tcW w:w="1360" w:type="dxa"/>
            <w:tcBorders>
              <w:top w:val="single" w:sz="8" w:space="0" w:color="0070AD" w:themeColor="accent1"/>
              <w:bottom w:val="single" w:sz="8" w:space="0" w:color="0070AD" w:themeColor="accent1"/>
            </w:tcBorders>
            <w:shd w:val="clear" w:color="auto" w:fill="BBE7FF" w:themeFill="accent1" w:themeFillTint="33"/>
            <w:vAlign w:val="center"/>
          </w:tcPr>
          <w:p w14:paraId="4A4C7857" w14:textId="77777777" w:rsidR="00F5193D" w:rsidRPr="005359A0" w:rsidRDefault="00F5193D" w:rsidP="00F5193D">
            <w:pPr>
              <w:pStyle w:val="TableParagraph"/>
              <w:keepNext/>
              <w:jc w:val="center"/>
              <w:rPr>
                <w:b/>
                <w:sz w:val="14"/>
                <w:szCs w:val="14"/>
              </w:rPr>
            </w:pPr>
            <w:r>
              <w:rPr>
                <w:b/>
                <w:sz w:val="14"/>
                <w:szCs w:val="14"/>
              </w:rPr>
              <w:t>2018</w:t>
            </w:r>
          </w:p>
          <w:p w14:paraId="72B187A8" w14:textId="77777777" w:rsidR="00F5193D" w:rsidRPr="005359A0" w:rsidRDefault="00F5193D" w:rsidP="00F5193D">
            <w:pPr>
              <w:keepNext/>
              <w:jc w:val="center"/>
              <w:rPr>
                <w:b/>
                <w:sz w:val="14"/>
                <w:szCs w:val="14"/>
              </w:rPr>
            </w:pPr>
            <w:r>
              <w:rPr>
                <w:i/>
                <w:sz w:val="14"/>
                <w:szCs w:val="14"/>
              </w:rPr>
              <w:t>(In millions of euros)</w:t>
            </w:r>
          </w:p>
        </w:tc>
        <w:tc>
          <w:tcPr>
            <w:tcW w:w="57" w:type="dxa"/>
            <w:tcBorders>
              <w:bottom w:val="single" w:sz="8" w:space="0" w:color="0070AD" w:themeColor="accent1"/>
            </w:tcBorders>
          </w:tcPr>
          <w:p w14:paraId="1FAE2102" w14:textId="77777777" w:rsidR="00F5193D" w:rsidRPr="005359A0" w:rsidRDefault="00F5193D" w:rsidP="00F5193D">
            <w:pPr>
              <w:pStyle w:val="TableParagraph"/>
              <w:keepNext/>
              <w:spacing w:before="27"/>
              <w:ind w:right="162" w:firstLine="26"/>
              <w:jc w:val="center"/>
              <w:rPr>
                <w:b/>
                <w:sz w:val="14"/>
                <w:szCs w:val="14"/>
                <w:lang w:val="fr-FR"/>
              </w:rPr>
            </w:pPr>
          </w:p>
        </w:tc>
        <w:tc>
          <w:tcPr>
            <w:tcW w:w="1416" w:type="dxa"/>
            <w:tcBorders>
              <w:top w:val="single" w:sz="8" w:space="0" w:color="0070AD" w:themeColor="accent1"/>
              <w:bottom w:val="single" w:sz="8" w:space="0" w:color="0070AD" w:themeColor="accent1"/>
            </w:tcBorders>
            <w:vAlign w:val="center"/>
          </w:tcPr>
          <w:p w14:paraId="76350FA2" w14:textId="77777777" w:rsidR="00F5193D" w:rsidRPr="005359A0" w:rsidRDefault="00F5193D" w:rsidP="00F5193D">
            <w:pPr>
              <w:pStyle w:val="TableParagraph"/>
              <w:keepNext/>
              <w:spacing w:before="27"/>
              <w:jc w:val="center"/>
              <w:rPr>
                <w:b/>
                <w:sz w:val="14"/>
                <w:szCs w:val="14"/>
              </w:rPr>
            </w:pPr>
          </w:p>
          <w:p w14:paraId="6CA5A5BF" w14:textId="77777777" w:rsidR="00F5193D" w:rsidRPr="005359A0" w:rsidRDefault="00F5193D" w:rsidP="00F5193D">
            <w:pPr>
              <w:pStyle w:val="TableParagraph"/>
              <w:keepNext/>
              <w:spacing w:before="27"/>
              <w:jc w:val="center"/>
              <w:rPr>
                <w:rFonts w:eastAsia="Arial" w:cs="Arial"/>
                <w:b/>
                <w:sz w:val="14"/>
                <w:szCs w:val="14"/>
              </w:rPr>
            </w:pPr>
            <w:r>
              <w:rPr>
                <w:b/>
                <w:sz w:val="14"/>
                <w:szCs w:val="14"/>
              </w:rPr>
              <w:t>Reported</w:t>
            </w:r>
          </w:p>
        </w:tc>
        <w:tc>
          <w:tcPr>
            <w:tcW w:w="1416" w:type="dxa"/>
            <w:tcBorders>
              <w:top w:val="single" w:sz="8" w:space="0" w:color="0070AD" w:themeColor="accent1"/>
              <w:bottom w:val="single" w:sz="8" w:space="0" w:color="0070AD" w:themeColor="accent1"/>
            </w:tcBorders>
            <w:vAlign w:val="center"/>
          </w:tcPr>
          <w:p w14:paraId="29D47FCF" w14:textId="77777777" w:rsidR="00F5193D" w:rsidRPr="005359A0" w:rsidRDefault="00F5193D" w:rsidP="00F5193D">
            <w:pPr>
              <w:pStyle w:val="TableParagraph"/>
              <w:keepNext/>
              <w:spacing w:before="27"/>
              <w:ind w:right="-1"/>
              <w:jc w:val="center"/>
              <w:rPr>
                <w:b/>
                <w:sz w:val="14"/>
                <w:szCs w:val="14"/>
              </w:rPr>
            </w:pPr>
            <w:r>
              <w:rPr>
                <w:b/>
                <w:sz w:val="14"/>
                <w:szCs w:val="14"/>
              </w:rPr>
              <w:t>At constant exchange rates</w:t>
            </w:r>
          </w:p>
        </w:tc>
        <w:tc>
          <w:tcPr>
            <w:tcW w:w="50" w:type="dxa"/>
            <w:tcBorders>
              <w:bottom w:val="single" w:sz="8" w:space="0" w:color="0070AD" w:themeColor="accent1"/>
            </w:tcBorders>
            <w:vAlign w:val="center"/>
          </w:tcPr>
          <w:p w14:paraId="5837DF92" w14:textId="77777777" w:rsidR="00F5193D" w:rsidRPr="005359A0" w:rsidRDefault="00F5193D" w:rsidP="00F5193D">
            <w:pPr>
              <w:pStyle w:val="TableParagraph"/>
              <w:keepNext/>
              <w:jc w:val="center"/>
              <w:rPr>
                <w:b/>
                <w:sz w:val="14"/>
                <w:szCs w:val="14"/>
                <w:lang w:val="fr-FR"/>
              </w:rPr>
            </w:pPr>
          </w:p>
        </w:tc>
        <w:tc>
          <w:tcPr>
            <w:tcW w:w="1416" w:type="dxa"/>
            <w:tcBorders>
              <w:top w:val="single" w:sz="8" w:space="0" w:color="0070AD" w:themeColor="accent1"/>
              <w:bottom w:val="single" w:sz="8" w:space="0" w:color="0070AD" w:themeColor="accent1"/>
            </w:tcBorders>
            <w:vAlign w:val="center"/>
          </w:tcPr>
          <w:p w14:paraId="7288C6CB" w14:textId="77777777" w:rsidR="00F5193D" w:rsidRPr="005359A0" w:rsidRDefault="00F5193D" w:rsidP="00F5193D">
            <w:pPr>
              <w:pStyle w:val="TableParagraph"/>
              <w:keepNext/>
              <w:ind w:left="17"/>
              <w:jc w:val="center"/>
              <w:rPr>
                <w:b/>
                <w:sz w:val="14"/>
                <w:szCs w:val="14"/>
              </w:rPr>
            </w:pPr>
            <w:r>
              <w:rPr>
                <w:b/>
                <w:sz w:val="14"/>
                <w:szCs w:val="14"/>
              </w:rPr>
              <w:t>2017</w:t>
            </w:r>
          </w:p>
        </w:tc>
        <w:tc>
          <w:tcPr>
            <w:tcW w:w="1416" w:type="dxa"/>
            <w:tcBorders>
              <w:top w:val="single" w:sz="8" w:space="0" w:color="0070AD" w:themeColor="accent1"/>
              <w:bottom w:val="single" w:sz="8" w:space="0" w:color="0070AD" w:themeColor="accent1"/>
            </w:tcBorders>
            <w:shd w:val="clear" w:color="auto" w:fill="BBE7FF" w:themeFill="accent1" w:themeFillTint="33"/>
            <w:vAlign w:val="center"/>
          </w:tcPr>
          <w:p w14:paraId="043F4306" w14:textId="77777777" w:rsidR="00F5193D" w:rsidRPr="005359A0" w:rsidRDefault="00F5193D" w:rsidP="00F5193D">
            <w:pPr>
              <w:pStyle w:val="TableParagraph"/>
              <w:keepNext/>
              <w:ind w:left="17"/>
              <w:jc w:val="center"/>
              <w:rPr>
                <w:b/>
                <w:sz w:val="14"/>
                <w:szCs w:val="14"/>
              </w:rPr>
            </w:pPr>
            <w:r>
              <w:rPr>
                <w:b/>
                <w:sz w:val="14"/>
                <w:szCs w:val="14"/>
              </w:rPr>
              <w:t>2018</w:t>
            </w:r>
          </w:p>
        </w:tc>
      </w:tr>
      <w:tr w:rsidR="00F5193D" w:rsidRPr="005359A0" w14:paraId="663F443C" w14:textId="77777777" w:rsidTr="00EB708F">
        <w:trPr>
          <w:trHeight w:val="227"/>
          <w:jc w:val="center"/>
        </w:trPr>
        <w:tc>
          <w:tcPr>
            <w:tcW w:w="2948" w:type="dxa"/>
            <w:tcBorders>
              <w:top w:val="single" w:sz="8" w:space="0" w:color="0070AD" w:themeColor="accent1"/>
            </w:tcBorders>
            <w:vAlign w:val="center"/>
          </w:tcPr>
          <w:p w14:paraId="7C1FE0FE" w14:textId="77777777" w:rsidR="00F5193D" w:rsidRPr="005359A0" w:rsidRDefault="00F5193D" w:rsidP="00F5193D">
            <w:pPr>
              <w:pStyle w:val="TableParagraph"/>
              <w:keepNext/>
              <w:spacing w:before="52"/>
              <w:ind w:left="142"/>
              <w:rPr>
                <w:sz w:val="14"/>
                <w:szCs w:val="14"/>
              </w:rPr>
            </w:pPr>
            <w:r>
              <w:rPr>
                <w:sz w:val="14"/>
                <w:szCs w:val="14"/>
              </w:rPr>
              <w:t>Consulting Services</w:t>
            </w:r>
          </w:p>
        </w:tc>
        <w:tc>
          <w:tcPr>
            <w:tcW w:w="1360" w:type="dxa"/>
            <w:tcBorders>
              <w:top w:val="single" w:sz="8" w:space="0" w:color="0070AD"/>
              <w:left w:val="nil"/>
              <w:bottom w:val="nil"/>
              <w:right w:val="nil"/>
            </w:tcBorders>
            <w:shd w:val="clear" w:color="000000" w:fill="BBE7FF"/>
            <w:vAlign w:val="center"/>
          </w:tcPr>
          <w:p w14:paraId="6E076130" w14:textId="77777777" w:rsidR="00F5193D" w:rsidRPr="005359A0" w:rsidRDefault="00F5193D" w:rsidP="00F5193D">
            <w:pPr>
              <w:pStyle w:val="TableParagraph"/>
              <w:keepNext/>
              <w:spacing w:before="27"/>
              <w:ind w:right="537"/>
              <w:jc w:val="right"/>
              <w:rPr>
                <w:sz w:val="14"/>
                <w:szCs w:val="14"/>
              </w:rPr>
            </w:pPr>
            <w:r>
              <w:rPr>
                <w:sz w:val="14"/>
                <w:szCs w:val="14"/>
              </w:rPr>
              <w:t>785</w:t>
            </w:r>
          </w:p>
        </w:tc>
        <w:tc>
          <w:tcPr>
            <w:tcW w:w="57" w:type="dxa"/>
            <w:tcBorders>
              <w:top w:val="single" w:sz="8" w:space="0" w:color="0070AD"/>
              <w:left w:val="nil"/>
              <w:bottom w:val="nil"/>
              <w:right w:val="nil"/>
            </w:tcBorders>
            <w:shd w:val="clear" w:color="auto" w:fill="auto"/>
            <w:vAlign w:val="center"/>
          </w:tcPr>
          <w:p w14:paraId="2C286473" w14:textId="77777777" w:rsidR="00F5193D" w:rsidRPr="005359A0" w:rsidRDefault="00F5193D" w:rsidP="00F5193D">
            <w:pPr>
              <w:jc w:val="center"/>
              <w:rPr>
                <w:rFonts w:ascii="Verdana" w:hAnsi="Verdana"/>
                <w:color w:val="000000"/>
                <w:sz w:val="14"/>
                <w:szCs w:val="14"/>
              </w:rPr>
            </w:pPr>
            <w:r>
              <w:rPr>
                <w:rFonts w:ascii="Verdana" w:hAnsi="Verdana"/>
                <w:color w:val="000000"/>
                <w:sz w:val="14"/>
                <w:szCs w:val="14"/>
              </w:rPr>
              <w:t> </w:t>
            </w:r>
          </w:p>
        </w:tc>
        <w:tc>
          <w:tcPr>
            <w:tcW w:w="1416" w:type="dxa"/>
            <w:tcBorders>
              <w:top w:val="single" w:sz="8" w:space="0" w:color="0070AD"/>
              <w:left w:val="nil"/>
              <w:bottom w:val="nil"/>
              <w:right w:val="nil"/>
            </w:tcBorders>
            <w:shd w:val="clear" w:color="auto" w:fill="auto"/>
          </w:tcPr>
          <w:p w14:paraId="24A26CEA" w14:textId="77777777" w:rsidR="00F5193D" w:rsidRPr="005359A0" w:rsidRDefault="00F5193D" w:rsidP="00F5193D">
            <w:pPr>
              <w:jc w:val="center"/>
              <w:rPr>
                <w:rFonts w:ascii="Verdana" w:hAnsi="Verdana"/>
                <w:color w:val="000000"/>
                <w:sz w:val="14"/>
                <w:szCs w:val="14"/>
              </w:rPr>
            </w:pPr>
            <w:r>
              <w:rPr>
                <w:sz w:val="14"/>
                <w:szCs w:val="14"/>
              </w:rPr>
              <w:t>+34.6%</w:t>
            </w:r>
          </w:p>
        </w:tc>
        <w:tc>
          <w:tcPr>
            <w:tcW w:w="1416" w:type="dxa"/>
            <w:tcBorders>
              <w:top w:val="single" w:sz="8" w:space="0" w:color="0070AD"/>
              <w:left w:val="nil"/>
              <w:bottom w:val="nil"/>
              <w:right w:val="nil"/>
            </w:tcBorders>
            <w:shd w:val="clear" w:color="auto" w:fill="auto"/>
          </w:tcPr>
          <w:p w14:paraId="06391E62" w14:textId="77777777" w:rsidR="00F5193D" w:rsidRPr="005359A0" w:rsidRDefault="00F5193D" w:rsidP="00F5193D">
            <w:pPr>
              <w:jc w:val="center"/>
              <w:rPr>
                <w:rFonts w:ascii="Verdana" w:hAnsi="Verdana"/>
                <w:color w:val="000000"/>
                <w:sz w:val="14"/>
                <w:szCs w:val="14"/>
              </w:rPr>
            </w:pPr>
            <w:r>
              <w:rPr>
                <w:sz w:val="14"/>
                <w:szCs w:val="14"/>
              </w:rPr>
              <w:t>+37.4%</w:t>
            </w:r>
          </w:p>
        </w:tc>
        <w:tc>
          <w:tcPr>
            <w:tcW w:w="50" w:type="dxa"/>
            <w:tcBorders>
              <w:top w:val="single" w:sz="8" w:space="0" w:color="0070AD"/>
              <w:left w:val="nil"/>
              <w:bottom w:val="nil"/>
              <w:right w:val="nil"/>
            </w:tcBorders>
            <w:shd w:val="clear" w:color="auto" w:fill="auto"/>
            <w:vAlign w:val="center"/>
          </w:tcPr>
          <w:p w14:paraId="584F531E" w14:textId="77777777" w:rsidR="00F5193D" w:rsidRPr="005359A0" w:rsidRDefault="00F5193D" w:rsidP="00F5193D">
            <w:pPr>
              <w:rPr>
                <w:rFonts w:ascii="Verdana" w:hAnsi="Verdana"/>
                <w:color w:val="000000"/>
                <w:sz w:val="14"/>
                <w:szCs w:val="14"/>
              </w:rPr>
            </w:pPr>
            <w:r>
              <w:rPr>
                <w:rFonts w:ascii="Verdana" w:hAnsi="Verdana"/>
                <w:color w:val="000000"/>
                <w:sz w:val="14"/>
                <w:szCs w:val="14"/>
              </w:rPr>
              <w:t> </w:t>
            </w:r>
          </w:p>
        </w:tc>
        <w:tc>
          <w:tcPr>
            <w:tcW w:w="1416" w:type="dxa"/>
            <w:tcBorders>
              <w:top w:val="single" w:sz="8" w:space="0" w:color="0070AD"/>
              <w:left w:val="nil"/>
              <w:bottom w:val="nil"/>
              <w:right w:val="nil"/>
            </w:tcBorders>
            <w:shd w:val="clear" w:color="auto" w:fill="auto"/>
            <w:vAlign w:val="center"/>
          </w:tcPr>
          <w:p w14:paraId="7634849B" w14:textId="77777777" w:rsidR="00F5193D" w:rsidRPr="005359A0" w:rsidRDefault="00F5193D" w:rsidP="00F5193D">
            <w:pPr>
              <w:jc w:val="center"/>
              <w:rPr>
                <w:rFonts w:ascii="Verdana" w:hAnsi="Verdana"/>
                <w:color w:val="000000"/>
                <w:sz w:val="14"/>
                <w:szCs w:val="14"/>
              </w:rPr>
            </w:pPr>
            <w:r>
              <w:rPr>
                <w:sz w:val="14"/>
                <w:szCs w:val="14"/>
              </w:rPr>
              <w:t>11.3%</w:t>
            </w:r>
          </w:p>
        </w:tc>
        <w:tc>
          <w:tcPr>
            <w:tcW w:w="1416" w:type="dxa"/>
            <w:tcBorders>
              <w:top w:val="single" w:sz="8" w:space="0" w:color="0070AD" w:themeColor="accent1"/>
            </w:tcBorders>
            <w:shd w:val="clear" w:color="auto" w:fill="BBE7FF" w:themeFill="accent1" w:themeFillTint="33"/>
            <w:vAlign w:val="center"/>
          </w:tcPr>
          <w:p w14:paraId="57D01EED" w14:textId="77777777" w:rsidR="00F5193D" w:rsidRPr="005359A0" w:rsidRDefault="00172B7F" w:rsidP="00F5193D">
            <w:pPr>
              <w:pStyle w:val="TableParagraph"/>
              <w:keepNext/>
              <w:spacing w:before="27"/>
              <w:jc w:val="center"/>
              <w:rPr>
                <w:sz w:val="14"/>
                <w:szCs w:val="14"/>
              </w:rPr>
            </w:pPr>
            <w:r>
              <w:rPr>
                <w:sz w:val="14"/>
                <w:szCs w:val="14"/>
              </w:rPr>
              <w:t>12.9%</w:t>
            </w:r>
          </w:p>
        </w:tc>
      </w:tr>
      <w:tr w:rsidR="00F5193D" w:rsidRPr="005359A0" w14:paraId="0A1832C5" w14:textId="77777777" w:rsidTr="00EB708F">
        <w:trPr>
          <w:trHeight w:val="227"/>
          <w:jc w:val="center"/>
        </w:trPr>
        <w:tc>
          <w:tcPr>
            <w:tcW w:w="2948" w:type="dxa"/>
            <w:vAlign w:val="center"/>
          </w:tcPr>
          <w:p w14:paraId="24299F58" w14:textId="77777777" w:rsidR="00F5193D" w:rsidRPr="005359A0" w:rsidRDefault="00F5193D" w:rsidP="00F5193D">
            <w:pPr>
              <w:pStyle w:val="TableParagraph"/>
              <w:keepNext/>
              <w:spacing w:before="53"/>
              <w:ind w:left="142"/>
              <w:rPr>
                <w:sz w:val="14"/>
                <w:szCs w:val="14"/>
              </w:rPr>
            </w:pPr>
            <w:r>
              <w:rPr>
                <w:sz w:val="14"/>
                <w:szCs w:val="14"/>
              </w:rPr>
              <w:t>Technology &amp; Engineering Services</w:t>
            </w:r>
          </w:p>
        </w:tc>
        <w:tc>
          <w:tcPr>
            <w:tcW w:w="1360" w:type="dxa"/>
            <w:tcBorders>
              <w:top w:val="nil"/>
              <w:left w:val="nil"/>
              <w:bottom w:val="nil"/>
              <w:right w:val="nil"/>
            </w:tcBorders>
            <w:shd w:val="clear" w:color="000000" w:fill="BBE7FF"/>
            <w:vAlign w:val="center"/>
          </w:tcPr>
          <w:p w14:paraId="6BD2BBDF" w14:textId="77777777" w:rsidR="00F5193D" w:rsidRPr="005359A0" w:rsidRDefault="00F5193D" w:rsidP="00F5193D">
            <w:pPr>
              <w:pStyle w:val="TableParagraph"/>
              <w:keepNext/>
              <w:spacing w:before="27"/>
              <w:ind w:right="537"/>
              <w:jc w:val="right"/>
              <w:rPr>
                <w:sz w:val="14"/>
                <w:szCs w:val="14"/>
              </w:rPr>
            </w:pPr>
            <w:r>
              <w:rPr>
                <w:sz w:val="14"/>
                <w:szCs w:val="14"/>
              </w:rPr>
              <w:t>1,974</w:t>
            </w:r>
          </w:p>
        </w:tc>
        <w:tc>
          <w:tcPr>
            <w:tcW w:w="57" w:type="dxa"/>
            <w:tcBorders>
              <w:top w:val="nil"/>
              <w:left w:val="nil"/>
              <w:bottom w:val="nil"/>
              <w:right w:val="nil"/>
            </w:tcBorders>
            <w:shd w:val="clear" w:color="auto" w:fill="auto"/>
            <w:vAlign w:val="center"/>
          </w:tcPr>
          <w:p w14:paraId="0E7E501A" w14:textId="77777777" w:rsidR="00F5193D" w:rsidRPr="005359A0" w:rsidRDefault="00F5193D" w:rsidP="00F5193D">
            <w:pPr>
              <w:ind w:firstLineChars="200" w:firstLine="280"/>
              <w:jc w:val="right"/>
              <w:rPr>
                <w:rFonts w:ascii="Verdana" w:hAnsi="Verdana"/>
                <w:color w:val="000000"/>
                <w:sz w:val="14"/>
                <w:szCs w:val="14"/>
              </w:rPr>
            </w:pPr>
          </w:p>
        </w:tc>
        <w:tc>
          <w:tcPr>
            <w:tcW w:w="1416" w:type="dxa"/>
            <w:tcBorders>
              <w:top w:val="nil"/>
              <w:left w:val="nil"/>
              <w:bottom w:val="nil"/>
              <w:right w:val="nil"/>
            </w:tcBorders>
            <w:shd w:val="clear" w:color="auto" w:fill="auto"/>
          </w:tcPr>
          <w:p w14:paraId="1ED3B31D" w14:textId="77777777" w:rsidR="00F5193D" w:rsidRPr="005359A0" w:rsidRDefault="00F5193D" w:rsidP="00F5193D">
            <w:pPr>
              <w:jc w:val="center"/>
              <w:rPr>
                <w:rFonts w:ascii="Verdana" w:hAnsi="Verdana"/>
                <w:color w:val="000000"/>
                <w:sz w:val="14"/>
                <w:szCs w:val="14"/>
              </w:rPr>
            </w:pPr>
            <w:r>
              <w:rPr>
                <w:sz w:val="14"/>
                <w:szCs w:val="14"/>
              </w:rPr>
              <w:t>+3.6%</w:t>
            </w:r>
          </w:p>
        </w:tc>
        <w:tc>
          <w:tcPr>
            <w:tcW w:w="1416" w:type="dxa"/>
            <w:tcBorders>
              <w:top w:val="nil"/>
              <w:left w:val="nil"/>
              <w:bottom w:val="nil"/>
              <w:right w:val="nil"/>
            </w:tcBorders>
            <w:shd w:val="clear" w:color="auto" w:fill="auto"/>
          </w:tcPr>
          <w:p w14:paraId="3A8B25D2" w14:textId="77777777" w:rsidR="00F5193D" w:rsidRPr="005359A0" w:rsidRDefault="00F5193D" w:rsidP="00F5193D">
            <w:pPr>
              <w:jc w:val="center"/>
              <w:rPr>
                <w:rFonts w:ascii="Verdana" w:hAnsi="Verdana"/>
                <w:color w:val="000000"/>
                <w:sz w:val="14"/>
                <w:szCs w:val="14"/>
              </w:rPr>
            </w:pPr>
            <w:r>
              <w:rPr>
                <w:sz w:val="14"/>
                <w:szCs w:val="14"/>
              </w:rPr>
              <w:t>+5.0%</w:t>
            </w:r>
          </w:p>
        </w:tc>
        <w:tc>
          <w:tcPr>
            <w:tcW w:w="50" w:type="dxa"/>
            <w:tcBorders>
              <w:top w:val="nil"/>
              <w:left w:val="nil"/>
              <w:bottom w:val="nil"/>
              <w:right w:val="nil"/>
            </w:tcBorders>
            <w:shd w:val="clear" w:color="auto" w:fill="auto"/>
            <w:vAlign w:val="center"/>
          </w:tcPr>
          <w:p w14:paraId="0736AB4E" w14:textId="77777777" w:rsidR="00F5193D" w:rsidRPr="005359A0" w:rsidRDefault="00F5193D" w:rsidP="00F5193D">
            <w:pPr>
              <w:jc w:val="center"/>
              <w:rPr>
                <w:rFonts w:ascii="Verdana" w:hAnsi="Verdana"/>
                <w:color w:val="000000"/>
                <w:sz w:val="14"/>
                <w:szCs w:val="14"/>
              </w:rPr>
            </w:pPr>
          </w:p>
        </w:tc>
        <w:tc>
          <w:tcPr>
            <w:tcW w:w="1416" w:type="dxa"/>
            <w:tcBorders>
              <w:top w:val="nil"/>
              <w:left w:val="nil"/>
              <w:bottom w:val="nil"/>
              <w:right w:val="nil"/>
            </w:tcBorders>
            <w:shd w:val="clear" w:color="auto" w:fill="auto"/>
            <w:vAlign w:val="center"/>
          </w:tcPr>
          <w:p w14:paraId="575683C9" w14:textId="77777777" w:rsidR="00F5193D" w:rsidRPr="005359A0" w:rsidRDefault="00F5193D" w:rsidP="00F5193D">
            <w:pPr>
              <w:jc w:val="center"/>
              <w:rPr>
                <w:rFonts w:ascii="Verdana" w:hAnsi="Verdana"/>
                <w:color w:val="000000"/>
                <w:sz w:val="14"/>
                <w:szCs w:val="14"/>
              </w:rPr>
            </w:pPr>
            <w:r>
              <w:rPr>
                <w:sz w:val="14"/>
                <w:szCs w:val="14"/>
              </w:rPr>
              <w:t>13.8%</w:t>
            </w:r>
          </w:p>
        </w:tc>
        <w:tc>
          <w:tcPr>
            <w:tcW w:w="1416" w:type="dxa"/>
            <w:shd w:val="clear" w:color="auto" w:fill="BBE7FF" w:themeFill="accent1" w:themeFillTint="33"/>
            <w:vAlign w:val="center"/>
          </w:tcPr>
          <w:p w14:paraId="2D0A958E" w14:textId="77777777" w:rsidR="00F5193D" w:rsidRPr="005359A0" w:rsidRDefault="00F5193D" w:rsidP="00F5193D">
            <w:pPr>
              <w:pStyle w:val="TableParagraph"/>
              <w:keepNext/>
              <w:spacing w:before="27"/>
              <w:jc w:val="center"/>
              <w:rPr>
                <w:sz w:val="14"/>
                <w:szCs w:val="14"/>
              </w:rPr>
            </w:pPr>
            <w:r>
              <w:rPr>
                <w:sz w:val="14"/>
                <w:szCs w:val="14"/>
              </w:rPr>
              <w:t>13.2%</w:t>
            </w:r>
          </w:p>
        </w:tc>
      </w:tr>
      <w:tr w:rsidR="00F5193D" w:rsidRPr="005359A0" w14:paraId="31B0DCBE" w14:textId="77777777" w:rsidTr="00EB708F">
        <w:trPr>
          <w:trHeight w:val="227"/>
          <w:jc w:val="center"/>
        </w:trPr>
        <w:tc>
          <w:tcPr>
            <w:tcW w:w="2948" w:type="dxa"/>
            <w:vAlign w:val="center"/>
          </w:tcPr>
          <w:p w14:paraId="5D605C4C" w14:textId="77777777" w:rsidR="00F5193D" w:rsidRPr="005359A0" w:rsidRDefault="00F5193D" w:rsidP="00F5193D">
            <w:pPr>
              <w:pStyle w:val="TableParagraph"/>
              <w:keepNext/>
              <w:spacing w:before="53"/>
              <w:ind w:left="142"/>
              <w:rPr>
                <w:sz w:val="14"/>
                <w:szCs w:val="14"/>
              </w:rPr>
            </w:pPr>
            <w:r>
              <w:rPr>
                <w:sz w:val="14"/>
                <w:szCs w:val="14"/>
              </w:rPr>
              <w:t>Application Services</w:t>
            </w:r>
          </w:p>
        </w:tc>
        <w:tc>
          <w:tcPr>
            <w:tcW w:w="1360" w:type="dxa"/>
            <w:tcBorders>
              <w:top w:val="nil"/>
              <w:left w:val="nil"/>
              <w:bottom w:val="nil"/>
              <w:right w:val="nil"/>
            </w:tcBorders>
            <w:shd w:val="clear" w:color="000000" w:fill="BBE7FF"/>
            <w:vAlign w:val="center"/>
          </w:tcPr>
          <w:p w14:paraId="54C1BA4E" w14:textId="77777777" w:rsidR="00F5193D" w:rsidRPr="005359A0" w:rsidRDefault="00F5193D" w:rsidP="00F5193D">
            <w:pPr>
              <w:pStyle w:val="TableParagraph"/>
              <w:keepNext/>
              <w:spacing w:before="27"/>
              <w:ind w:right="537"/>
              <w:jc w:val="right"/>
              <w:rPr>
                <w:sz w:val="14"/>
                <w:szCs w:val="14"/>
              </w:rPr>
            </w:pPr>
            <w:r>
              <w:rPr>
                <w:sz w:val="14"/>
                <w:szCs w:val="14"/>
              </w:rPr>
              <w:t>8,393</w:t>
            </w:r>
          </w:p>
        </w:tc>
        <w:tc>
          <w:tcPr>
            <w:tcW w:w="57" w:type="dxa"/>
            <w:tcBorders>
              <w:top w:val="nil"/>
              <w:left w:val="nil"/>
              <w:bottom w:val="nil"/>
              <w:right w:val="nil"/>
            </w:tcBorders>
            <w:shd w:val="clear" w:color="auto" w:fill="auto"/>
            <w:vAlign w:val="center"/>
          </w:tcPr>
          <w:p w14:paraId="2715355A" w14:textId="77777777" w:rsidR="00F5193D" w:rsidRPr="005359A0" w:rsidRDefault="00F5193D" w:rsidP="00F5193D">
            <w:pPr>
              <w:ind w:firstLineChars="200" w:firstLine="280"/>
              <w:jc w:val="right"/>
              <w:rPr>
                <w:rFonts w:ascii="Verdana" w:hAnsi="Verdana"/>
                <w:color w:val="000000"/>
                <w:sz w:val="14"/>
                <w:szCs w:val="14"/>
              </w:rPr>
            </w:pPr>
          </w:p>
        </w:tc>
        <w:tc>
          <w:tcPr>
            <w:tcW w:w="1416" w:type="dxa"/>
            <w:tcBorders>
              <w:top w:val="nil"/>
              <w:left w:val="nil"/>
              <w:bottom w:val="nil"/>
              <w:right w:val="nil"/>
            </w:tcBorders>
            <w:shd w:val="clear" w:color="auto" w:fill="auto"/>
          </w:tcPr>
          <w:p w14:paraId="73AC9090" w14:textId="77777777" w:rsidR="00F5193D" w:rsidRPr="005359A0" w:rsidRDefault="00F5193D" w:rsidP="00F5193D">
            <w:pPr>
              <w:jc w:val="center"/>
              <w:rPr>
                <w:rFonts w:ascii="Verdana" w:hAnsi="Verdana"/>
                <w:color w:val="000000"/>
                <w:sz w:val="14"/>
                <w:szCs w:val="14"/>
              </w:rPr>
            </w:pPr>
            <w:r>
              <w:rPr>
                <w:sz w:val="14"/>
                <w:szCs w:val="14"/>
              </w:rPr>
              <w:t>+7.2%</w:t>
            </w:r>
          </w:p>
        </w:tc>
        <w:tc>
          <w:tcPr>
            <w:tcW w:w="1416" w:type="dxa"/>
            <w:tcBorders>
              <w:top w:val="nil"/>
              <w:left w:val="nil"/>
              <w:bottom w:val="nil"/>
              <w:right w:val="nil"/>
            </w:tcBorders>
            <w:shd w:val="clear" w:color="auto" w:fill="auto"/>
          </w:tcPr>
          <w:p w14:paraId="3E32E078" w14:textId="77777777" w:rsidR="00F5193D" w:rsidRPr="005359A0" w:rsidRDefault="00F5193D" w:rsidP="00F5193D">
            <w:pPr>
              <w:jc w:val="center"/>
              <w:rPr>
                <w:rFonts w:ascii="Verdana" w:hAnsi="Verdana"/>
                <w:color w:val="000000"/>
                <w:sz w:val="14"/>
                <w:szCs w:val="14"/>
              </w:rPr>
            </w:pPr>
            <w:r>
              <w:rPr>
                <w:sz w:val="14"/>
                <w:szCs w:val="14"/>
              </w:rPr>
              <w:t>+10.1%</w:t>
            </w:r>
          </w:p>
        </w:tc>
        <w:tc>
          <w:tcPr>
            <w:tcW w:w="50" w:type="dxa"/>
            <w:tcBorders>
              <w:top w:val="nil"/>
              <w:left w:val="nil"/>
              <w:bottom w:val="nil"/>
              <w:right w:val="nil"/>
            </w:tcBorders>
            <w:shd w:val="clear" w:color="auto" w:fill="auto"/>
            <w:vAlign w:val="center"/>
          </w:tcPr>
          <w:p w14:paraId="40DA34AF" w14:textId="77777777" w:rsidR="00F5193D" w:rsidRPr="005359A0" w:rsidRDefault="00F5193D" w:rsidP="00F5193D">
            <w:pPr>
              <w:jc w:val="center"/>
              <w:rPr>
                <w:rFonts w:ascii="Verdana" w:hAnsi="Verdana"/>
                <w:color w:val="000000"/>
                <w:sz w:val="14"/>
                <w:szCs w:val="14"/>
              </w:rPr>
            </w:pPr>
          </w:p>
        </w:tc>
        <w:tc>
          <w:tcPr>
            <w:tcW w:w="1416" w:type="dxa"/>
            <w:tcBorders>
              <w:top w:val="nil"/>
              <w:left w:val="nil"/>
              <w:bottom w:val="nil"/>
              <w:right w:val="nil"/>
            </w:tcBorders>
            <w:shd w:val="clear" w:color="auto" w:fill="auto"/>
            <w:vAlign w:val="center"/>
          </w:tcPr>
          <w:p w14:paraId="0E23F64B" w14:textId="77777777" w:rsidR="00F5193D" w:rsidRPr="005359A0" w:rsidRDefault="00F5193D" w:rsidP="00F5193D">
            <w:pPr>
              <w:jc w:val="center"/>
              <w:rPr>
                <w:rFonts w:ascii="Verdana" w:hAnsi="Verdana"/>
                <w:color w:val="000000"/>
                <w:sz w:val="14"/>
                <w:szCs w:val="14"/>
              </w:rPr>
            </w:pPr>
            <w:r>
              <w:rPr>
                <w:sz w:val="14"/>
                <w:szCs w:val="14"/>
              </w:rPr>
              <w:t>13.1%</w:t>
            </w:r>
          </w:p>
        </w:tc>
        <w:tc>
          <w:tcPr>
            <w:tcW w:w="1416" w:type="dxa"/>
            <w:shd w:val="clear" w:color="auto" w:fill="BBE7FF" w:themeFill="accent1" w:themeFillTint="33"/>
            <w:vAlign w:val="center"/>
          </w:tcPr>
          <w:p w14:paraId="14AC511F" w14:textId="77777777" w:rsidR="00F5193D" w:rsidRPr="005359A0" w:rsidRDefault="005359A0" w:rsidP="00F5193D">
            <w:pPr>
              <w:pStyle w:val="TableParagraph"/>
              <w:keepNext/>
              <w:spacing w:before="29"/>
              <w:jc w:val="center"/>
              <w:rPr>
                <w:sz w:val="14"/>
                <w:szCs w:val="14"/>
              </w:rPr>
            </w:pPr>
            <w:r>
              <w:rPr>
                <w:sz w:val="14"/>
                <w:szCs w:val="14"/>
              </w:rPr>
              <w:t>13.6%</w:t>
            </w:r>
          </w:p>
        </w:tc>
      </w:tr>
      <w:tr w:rsidR="00F5193D" w:rsidRPr="005359A0" w14:paraId="494C4FE9" w14:textId="77777777" w:rsidTr="00EB708F">
        <w:trPr>
          <w:trHeight w:val="227"/>
          <w:jc w:val="center"/>
        </w:trPr>
        <w:tc>
          <w:tcPr>
            <w:tcW w:w="2948" w:type="dxa"/>
            <w:tcBorders>
              <w:bottom w:val="single" w:sz="8" w:space="0" w:color="0070AD" w:themeColor="accent1"/>
            </w:tcBorders>
            <w:vAlign w:val="center"/>
          </w:tcPr>
          <w:p w14:paraId="69112DA0" w14:textId="77777777" w:rsidR="00F5193D" w:rsidRPr="005359A0" w:rsidRDefault="00F5193D" w:rsidP="00F5193D">
            <w:pPr>
              <w:pStyle w:val="TableParagraph"/>
              <w:keepNext/>
              <w:spacing w:before="53"/>
              <w:ind w:left="142"/>
              <w:rPr>
                <w:rFonts w:eastAsia="Arial" w:cs="Arial"/>
                <w:sz w:val="14"/>
                <w:szCs w:val="14"/>
              </w:rPr>
            </w:pPr>
            <w:r>
              <w:rPr>
                <w:sz w:val="14"/>
                <w:szCs w:val="14"/>
              </w:rPr>
              <w:t>Other Managed Services</w:t>
            </w:r>
          </w:p>
        </w:tc>
        <w:tc>
          <w:tcPr>
            <w:tcW w:w="1360" w:type="dxa"/>
            <w:tcBorders>
              <w:top w:val="nil"/>
              <w:left w:val="nil"/>
              <w:bottom w:val="single" w:sz="8" w:space="0" w:color="0070AD"/>
              <w:right w:val="nil"/>
            </w:tcBorders>
            <w:shd w:val="clear" w:color="000000" w:fill="BBE7FF"/>
            <w:vAlign w:val="center"/>
          </w:tcPr>
          <w:p w14:paraId="531053B3" w14:textId="77777777" w:rsidR="00F5193D" w:rsidRPr="005359A0" w:rsidRDefault="00F5193D" w:rsidP="00F5193D">
            <w:pPr>
              <w:pStyle w:val="TableParagraph"/>
              <w:keepNext/>
              <w:spacing w:before="27"/>
              <w:ind w:right="537"/>
              <w:jc w:val="right"/>
              <w:rPr>
                <w:sz w:val="14"/>
                <w:szCs w:val="14"/>
              </w:rPr>
            </w:pPr>
            <w:r>
              <w:rPr>
                <w:sz w:val="14"/>
                <w:szCs w:val="14"/>
              </w:rPr>
              <w:t>2,045</w:t>
            </w:r>
          </w:p>
        </w:tc>
        <w:tc>
          <w:tcPr>
            <w:tcW w:w="57" w:type="dxa"/>
            <w:tcBorders>
              <w:top w:val="nil"/>
              <w:left w:val="nil"/>
              <w:bottom w:val="single" w:sz="8" w:space="0" w:color="0070AD"/>
              <w:right w:val="nil"/>
            </w:tcBorders>
            <w:shd w:val="clear" w:color="auto" w:fill="auto"/>
            <w:vAlign w:val="center"/>
          </w:tcPr>
          <w:p w14:paraId="3467EE8B" w14:textId="77777777" w:rsidR="00F5193D" w:rsidRPr="005359A0" w:rsidRDefault="00F5193D" w:rsidP="00F5193D">
            <w:pPr>
              <w:jc w:val="center"/>
              <w:rPr>
                <w:rFonts w:ascii="Verdana" w:hAnsi="Verdana"/>
                <w:color w:val="000000"/>
                <w:sz w:val="14"/>
                <w:szCs w:val="14"/>
              </w:rPr>
            </w:pPr>
            <w:r>
              <w:rPr>
                <w:rFonts w:ascii="Verdana" w:hAnsi="Verdana"/>
                <w:color w:val="000000"/>
                <w:sz w:val="14"/>
                <w:szCs w:val="14"/>
              </w:rPr>
              <w:t> </w:t>
            </w:r>
          </w:p>
        </w:tc>
        <w:tc>
          <w:tcPr>
            <w:tcW w:w="1416" w:type="dxa"/>
            <w:tcBorders>
              <w:top w:val="nil"/>
              <w:left w:val="nil"/>
              <w:bottom w:val="single" w:sz="8" w:space="0" w:color="0070AD"/>
              <w:right w:val="nil"/>
            </w:tcBorders>
            <w:shd w:val="clear" w:color="auto" w:fill="auto"/>
          </w:tcPr>
          <w:p w14:paraId="12370F49" w14:textId="77777777" w:rsidR="00F5193D" w:rsidRPr="005359A0" w:rsidRDefault="00F5193D" w:rsidP="00F5193D">
            <w:pPr>
              <w:jc w:val="center"/>
              <w:rPr>
                <w:rFonts w:ascii="Verdana" w:hAnsi="Verdana"/>
                <w:color w:val="000000"/>
                <w:sz w:val="14"/>
                <w:szCs w:val="14"/>
              </w:rPr>
            </w:pPr>
            <w:r>
              <w:rPr>
                <w:sz w:val="14"/>
                <w:szCs w:val="14"/>
              </w:rPr>
              <w:t>-7.4%</w:t>
            </w:r>
          </w:p>
        </w:tc>
        <w:tc>
          <w:tcPr>
            <w:tcW w:w="1416" w:type="dxa"/>
            <w:tcBorders>
              <w:top w:val="nil"/>
              <w:left w:val="nil"/>
              <w:bottom w:val="single" w:sz="8" w:space="0" w:color="0070AD"/>
              <w:right w:val="nil"/>
            </w:tcBorders>
            <w:shd w:val="clear" w:color="auto" w:fill="auto"/>
          </w:tcPr>
          <w:p w14:paraId="65520D41" w14:textId="77777777" w:rsidR="00F5193D" w:rsidRPr="005359A0" w:rsidRDefault="00F5193D" w:rsidP="00F5193D">
            <w:pPr>
              <w:jc w:val="center"/>
              <w:rPr>
                <w:rFonts w:ascii="Verdana" w:hAnsi="Verdana"/>
                <w:color w:val="000000"/>
                <w:sz w:val="14"/>
                <w:szCs w:val="14"/>
              </w:rPr>
            </w:pPr>
            <w:r>
              <w:rPr>
                <w:sz w:val="14"/>
                <w:szCs w:val="14"/>
              </w:rPr>
              <w:t>-4.2%</w:t>
            </w:r>
          </w:p>
        </w:tc>
        <w:tc>
          <w:tcPr>
            <w:tcW w:w="50" w:type="dxa"/>
            <w:tcBorders>
              <w:top w:val="nil"/>
              <w:left w:val="nil"/>
              <w:bottom w:val="single" w:sz="8" w:space="0" w:color="0070AD"/>
              <w:right w:val="nil"/>
            </w:tcBorders>
            <w:shd w:val="clear" w:color="auto" w:fill="auto"/>
            <w:vAlign w:val="center"/>
          </w:tcPr>
          <w:p w14:paraId="17D35720" w14:textId="77777777" w:rsidR="00F5193D" w:rsidRPr="005359A0" w:rsidRDefault="00F5193D" w:rsidP="00F5193D">
            <w:pPr>
              <w:rPr>
                <w:rFonts w:ascii="Verdana" w:hAnsi="Verdana"/>
                <w:color w:val="000000"/>
                <w:sz w:val="14"/>
                <w:szCs w:val="14"/>
              </w:rPr>
            </w:pPr>
            <w:r>
              <w:rPr>
                <w:rFonts w:ascii="Verdana" w:hAnsi="Verdana"/>
                <w:color w:val="000000"/>
                <w:sz w:val="14"/>
                <w:szCs w:val="14"/>
              </w:rPr>
              <w:t> </w:t>
            </w:r>
          </w:p>
        </w:tc>
        <w:tc>
          <w:tcPr>
            <w:tcW w:w="1416" w:type="dxa"/>
            <w:tcBorders>
              <w:top w:val="nil"/>
              <w:left w:val="nil"/>
              <w:bottom w:val="single" w:sz="8" w:space="0" w:color="0070AD"/>
              <w:right w:val="nil"/>
            </w:tcBorders>
            <w:shd w:val="clear" w:color="auto" w:fill="auto"/>
            <w:vAlign w:val="center"/>
          </w:tcPr>
          <w:p w14:paraId="21C2184E" w14:textId="77777777" w:rsidR="00F5193D" w:rsidRPr="005359A0" w:rsidRDefault="00F5193D" w:rsidP="00F5193D">
            <w:pPr>
              <w:jc w:val="center"/>
              <w:rPr>
                <w:rFonts w:ascii="Verdana" w:hAnsi="Verdana"/>
                <w:color w:val="000000"/>
                <w:sz w:val="14"/>
                <w:szCs w:val="14"/>
              </w:rPr>
            </w:pPr>
            <w:r>
              <w:rPr>
                <w:sz w:val="14"/>
                <w:szCs w:val="14"/>
              </w:rPr>
              <w:t>9.7%</w:t>
            </w:r>
          </w:p>
        </w:tc>
        <w:tc>
          <w:tcPr>
            <w:tcW w:w="1416" w:type="dxa"/>
            <w:tcBorders>
              <w:bottom w:val="single" w:sz="8" w:space="0" w:color="0070AD" w:themeColor="accent1"/>
            </w:tcBorders>
            <w:shd w:val="clear" w:color="auto" w:fill="BBE7FF" w:themeFill="accent1" w:themeFillTint="33"/>
            <w:vAlign w:val="center"/>
          </w:tcPr>
          <w:p w14:paraId="2E2B2C39" w14:textId="77777777" w:rsidR="00F5193D" w:rsidRPr="005359A0" w:rsidRDefault="005359A0" w:rsidP="00F5193D">
            <w:pPr>
              <w:pStyle w:val="TableParagraph"/>
              <w:keepNext/>
              <w:spacing w:before="27"/>
              <w:jc w:val="center"/>
              <w:rPr>
                <w:rFonts w:eastAsia="Arial" w:cs="Arial"/>
                <w:sz w:val="14"/>
                <w:szCs w:val="14"/>
              </w:rPr>
            </w:pPr>
            <w:r>
              <w:rPr>
                <w:sz w:val="14"/>
                <w:szCs w:val="14"/>
              </w:rPr>
              <w:t>8.7%</w:t>
            </w:r>
          </w:p>
        </w:tc>
      </w:tr>
      <w:tr w:rsidR="00F5193D" w:rsidRPr="005359A0" w14:paraId="7425477E" w14:textId="77777777" w:rsidTr="008E11D2">
        <w:trPr>
          <w:trHeight w:val="227"/>
          <w:jc w:val="center"/>
        </w:trPr>
        <w:tc>
          <w:tcPr>
            <w:tcW w:w="2948" w:type="dxa"/>
            <w:tcBorders>
              <w:top w:val="single" w:sz="8" w:space="0" w:color="0070AD" w:themeColor="accent1"/>
              <w:bottom w:val="single" w:sz="8" w:space="0" w:color="0070AD" w:themeColor="accent1"/>
            </w:tcBorders>
            <w:vAlign w:val="center"/>
          </w:tcPr>
          <w:p w14:paraId="0FA2893F" w14:textId="77777777" w:rsidR="00F5193D" w:rsidRPr="005359A0" w:rsidRDefault="00F5193D" w:rsidP="00F5193D">
            <w:pPr>
              <w:pStyle w:val="TableParagraph"/>
              <w:keepNext/>
              <w:spacing w:before="29"/>
              <w:ind w:left="63"/>
              <w:rPr>
                <w:b/>
                <w:color w:val="30849B"/>
                <w:sz w:val="14"/>
                <w:szCs w:val="14"/>
              </w:rPr>
            </w:pPr>
            <w:r>
              <w:rPr>
                <w:b/>
                <w:color w:val="30849B"/>
                <w:sz w:val="14"/>
                <w:szCs w:val="14"/>
              </w:rPr>
              <w:t>TOTAL</w:t>
            </w:r>
          </w:p>
        </w:tc>
        <w:tc>
          <w:tcPr>
            <w:tcW w:w="1360" w:type="dxa"/>
            <w:tcBorders>
              <w:top w:val="nil"/>
              <w:left w:val="nil"/>
              <w:bottom w:val="single" w:sz="8" w:space="0" w:color="0070AD"/>
              <w:right w:val="nil"/>
            </w:tcBorders>
            <w:shd w:val="clear" w:color="000000" w:fill="BBE7FF"/>
            <w:vAlign w:val="center"/>
          </w:tcPr>
          <w:p w14:paraId="6977E311" w14:textId="77777777" w:rsidR="00F5193D" w:rsidRPr="005359A0" w:rsidRDefault="00F5193D" w:rsidP="00F5193D">
            <w:pPr>
              <w:pStyle w:val="TableParagraph"/>
              <w:keepNext/>
              <w:spacing w:before="27"/>
              <w:ind w:right="537"/>
              <w:jc w:val="right"/>
              <w:rPr>
                <w:b/>
                <w:color w:val="0070AD"/>
                <w:sz w:val="14"/>
                <w:szCs w:val="14"/>
              </w:rPr>
            </w:pPr>
            <w:r>
              <w:rPr>
                <w:b/>
                <w:color w:val="0070AD"/>
                <w:sz w:val="14"/>
                <w:szCs w:val="14"/>
              </w:rPr>
              <w:t>13,197</w:t>
            </w:r>
          </w:p>
        </w:tc>
        <w:tc>
          <w:tcPr>
            <w:tcW w:w="57" w:type="dxa"/>
            <w:tcBorders>
              <w:top w:val="nil"/>
              <w:left w:val="nil"/>
              <w:bottom w:val="single" w:sz="8" w:space="0" w:color="0070AD"/>
              <w:right w:val="nil"/>
            </w:tcBorders>
            <w:shd w:val="clear" w:color="auto" w:fill="auto"/>
            <w:vAlign w:val="center"/>
          </w:tcPr>
          <w:p w14:paraId="374EF152" w14:textId="77777777" w:rsidR="00F5193D" w:rsidRPr="005359A0" w:rsidRDefault="00F5193D" w:rsidP="00F5193D">
            <w:pPr>
              <w:jc w:val="center"/>
              <w:rPr>
                <w:rFonts w:ascii="Verdana" w:hAnsi="Verdana"/>
                <w:b/>
                <w:bCs/>
                <w:color w:val="0070AD"/>
                <w:sz w:val="14"/>
                <w:szCs w:val="14"/>
              </w:rPr>
            </w:pPr>
            <w:r>
              <w:rPr>
                <w:rFonts w:ascii="Verdana" w:hAnsi="Verdana"/>
                <w:b/>
                <w:bCs/>
                <w:color w:val="0070AD"/>
                <w:sz w:val="14"/>
                <w:szCs w:val="14"/>
              </w:rPr>
              <w:t> </w:t>
            </w:r>
          </w:p>
        </w:tc>
        <w:tc>
          <w:tcPr>
            <w:tcW w:w="1416" w:type="dxa"/>
            <w:tcBorders>
              <w:top w:val="nil"/>
              <w:left w:val="nil"/>
              <w:bottom w:val="single" w:sz="8" w:space="0" w:color="0070AD"/>
              <w:right w:val="nil"/>
            </w:tcBorders>
            <w:shd w:val="clear" w:color="auto" w:fill="auto"/>
            <w:vAlign w:val="center"/>
          </w:tcPr>
          <w:p w14:paraId="6A8CB113" w14:textId="77777777" w:rsidR="00F5193D" w:rsidRPr="005359A0" w:rsidRDefault="00F5193D" w:rsidP="00F5193D">
            <w:pPr>
              <w:jc w:val="center"/>
              <w:rPr>
                <w:rFonts w:ascii="Verdana" w:hAnsi="Verdana"/>
                <w:b/>
                <w:bCs/>
                <w:color w:val="0070AD"/>
                <w:sz w:val="14"/>
                <w:szCs w:val="14"/>
              </w:rPr>
            </w:pPr>
            <w:r>
              <w:rPr>
                <w:b/>
                <w:color w:val="0070AD"/>
                <w:sz w:val="14"/>
                <w:szCs w:val="14"/>
              </w:rPr>
              <w:t>+5.4%</w:t>
            </w:r>
          </w:p>
        </w:tc>
        <w:tc>
          <w:tcPr>
            <w:tcW w:w="1416" w:type="dxa"/>
            <w:tcBorders>
              <w:top w:val="nil"/>
              <w:left w:val="nil"/>
              <w:bottom w:val="single" w:sz="8" w:space="0" w:color="0070AD"/>
              <w:right w:val="nil"/>
            </w:tcBorders>
            <w:shd w:val="clear" w:color="auto" w:fill="auto"/>
            <w:vAlign w:val="center"/>
          </w:tcPr>
          <w:p w14:paraId="32722163" w14:textId="77777777" w:rsidR="00F5193D" w:rsidRPr="005359A0" w:rsidRDefault="00F5193D" w:rsidP="00F5193D">
            <w:pPr>
              <w:jc w:val="center"/>
              <w:rPr>
                <w:rFonts w:ascii="Verdana" w:hAnsi="Verdana"/>
                <w:b/>
                <w:bCs/>
                <w:color w:val="0070AD"/>
                <w:sz w:val="14"/>
                <w:szCs w:val="14"/>
              </w:rPr>
            </w:pPr>
            <w:r>
              <w:rPr>
                <w:b/>
                <w:color w:val="0070AD"/>
                <w:sz w:val="14"/>
                <w:szCs w:val="14"/>
              </w:rPr>
              <w:t>+8.1%</w:t>
            </w:r>
          </w:p>
        </w:tc>
        <w:tc>
          <w:tcPr>
            <w:tcW w:w="50" w:type="dxa"/>
            <w:tcBorders>
              <w:top w:val="nil"/>
              <w:left w:val="nil"/>
              <w:bottom w:val="single" w:sz="8" w:space="0" w:color="0070AD"/>
              <w:right w:val="nil"/>
            </w:tcBorders>
            <w:shd w:val="clear" w:color="auto" w:fill="auto"/>
            <w:vAlign w:val="center"/>
          </w:tcPr>
          <w:p w14:paraId="5F7793A0" w14:textId="77777777" w:rsidR="00F5193D" w:rsidRPr="005359A0" w:rsidRDefault="00F5193D" w:rsidP="00F5193D">
            <w:pPr>
              <w:jc w:val="center"/>
              <w:rPr>
                <w:rFonts w:ascii="Verdana" w:hAnsi="Verdana"/>
                <w:b/>
                <w:bCs/>
                <w:color w:val="0070AD"/>
                <w:sz w:val="14"/>
                <w:szCs w:val="14"/>
              </w:rPr>
            </w:pPr>
            <w:r>
              <w:rPr>
                <w:rFonts w:ascii="Verdana" w:hAnsi="Verdana"/>
                <w:b/>
                <w:bCs/>
                <w:color w:val="0070AD"/>
                <w:sz w:val="14"/>
                <w:szCs w:val="14"/>
              </w:rPr>
              <w:t> </w:t>
            </w:r>
          </w:p>
        </w:tc>
        <w:tc>
          <w:tcPr>
            <w:tcW w:w="1416" w:type="dxa"/>
            <w:tcBorders>
              <w:top w:val="nil"/>
              <w:left w:val="nil"/>
              <w:bottom w:val="single" w:sz="8" w:space="0" w:color="0070AD"/>
              <w:right w:val="nil"/>
            </w:tcBorders>
            <w:shd w:val="clear" w:color="auto" w:fill="auto"/>
            <w:vAlign w:val="center"/>
          </w:tcPr>
          <w:p w14:paraId="096757F7" w14:textId="77777777" w:rsidR="00F5193D" w:rsidRPr="005359A0" w:rsidRDefault="00F5193D" w:rsidP="00F5193D">
            <w:pPr>
              <w:jc w:val="center"/>
              <w:rPr>
                <w:rFonts w:ascii="Verdana" w:hAnsi="Verdana"/>
                <w:b/>
                <w:bCs/>
                <w:color w:val="0070AD"/>
                <w:sz w:val="14"/>
                <w:szCs w:val="14"/>
              </w:rPr>
            </w:pPr>
            <w:r>
              <w:rPr>
                <w:b/>
                <w:color w:val="0070AD"/>
                <w:sz w:val="14"/>
                <w:szCs w:val="14"/>
              </w:rPr>
              <w:t>11.9%</w:t>
            </w:r>
          </w:p>
        </w:tc>
        <w:tc>
          <w:tcPr>
            <w:tcW w:w="1416" w:type="dxa"/>
            <w:tcBorders>
              <w:top w:val="single" w:sz="8" w:space="0" w:color="0070AD" w:themeColor="accent1"/>
              <w:bottom w:val="single" w:sz="8" w:space="0" w:color="0070AD" w:themeColor="accent1"/>
            </w:tcBorders>
            <w:shd w:val="clear" w:color="auto" w:fill="BBE7FF" w:themeFill="accent1" w:themeFillTint="33"/>
            <w:vAlign w:val="center"/>
          </w:tcPr>
          <w:p w14:paraId="5CA6555A" w14:textId="77777777" w:rsidR="00F5193D" w:rsidRPr="005359A0" w:rsidRDefault="005359A0" w:rsidP="00F5193D">
            <w:pPr>
              <w:pStyle w:val="TableParagraph"/>
              <w:keepNext/>
              <w:spacing w:before="27"/>
              <w:ind w:right="1"/>
              <w:jc w:val="center"/>
              <w:rPr>
                <w:b/>
                <w:color w:val="0070AD"/>
                <w:sz w:val="14"/>
                <w:szCs w:val="14"/>
              </w:rPr>
            </w:pPr>
            <w:r>
              <w:rPr>
                <w:b/>
                <w:color w:val="0070AD"/>
                <w:sz w:val="14"/>
                <w:szCs w:val="14"/>
              </w:rPr>
              <w:t>12.1%</w:t>
            </w:r>
          </w:p>
        </w:tc>
      </w:tr>
      <w:bookmarkEnd w:id="39"/>
    </w:tbl>
    <w:p w14:paraId="553498E5" w14:textId="77777777" w:rsidR="003E11DB" w:rsidRPr="005359A0" w:rsidRDefault="003E11DB" w:rsidP="003E11DB">
      <w:pPr>
        <w:spacing w:before="120" w:after="120"/>
        <w:rPr>
          <w:b/>
          <w:caps/>
        </w:rPr>
      </w:pPr>
    </w:p>
    <w:p w14:paraId="5DDA673A" w14:textId="77777777" w:rsidR="003E11DB" w:rsidRPr="005359A0" w:rsidRDefault="003E11DB" w:rsidP="003E11DB">
      <w:pPr>
        <w:pStyle w:val="Heading1"/>
      </w:pPr>
      <w:bookmarkStart w:id="40" w:name="_Hlk501462813"/>
      <w:r>
        <w:t>SUMMARY INCOME STATEMENT AND OPERATING MARGIN</w:t>
      </w:r>
    </w:p>
    <w:tbl>
      <w:tblPr>
        <w:tblW w:w="0" w:type="auto"/>
        <w:jc w:val="center"/>
        <w:tblLook w:val="04A0" w:firstRow="1" w:lastRow="0" w:firstColumn="1" w:lastColumn="0" w:noHBand="0" w:noVBand="1"/>
      </w:tblPr>
      <w:tblGrid>
        <w:gridCol w:w="5998"/>
        <w:gridCol w:w="1474"/>
        <w:gridCol w:w="1474"/>
        <w:gridCol w:w="1134"/>
      </w:tblGrid>
      <w:tr w:rsidR="003E11DB" w:rsidRPr="005359A0" w14:paraId="4F12262C" w14:textId="77777777" w:rsidTr="001A6047">
        <w:trPr>
          <w:trHeight w:val="284"/>
          <w:jc w:val="center"/>
        </w:trPr>
        <w:tc>
          <w:tcPr>
            <w:tcW w:w="5998" w:type="dxa"/>
            <w:tcBorders>
              <w:bottom w:val="single" w:sz="8" w:space="0" w:color="0070AD" w:themeColor="accent1"/>
            </w:tcBorders>
            <w:vAlign w:val="center"/>
          </w:tcPr>
          <w:p w14:paraId="1EB6F457" w14:textId="77777777" w:rsidR="003E11DB" w:rsidRPr="005359A0" w:rsidRDefault="003E11DB" w:rsidP="00354252">
            <w:pPr>
              <w:keepNext/>
              <w:jc w:val="center"/>
              <w:rPr>
                <w:i/>
                <w:sz w:val="14"/>
                <w:szCs w:val="14"/>
              </w:rPr>
            </w:pPr>
            <w:r>
              <w:rPr>
                <w:i/>
                <w:sz w:val="14"/>
                <w:szCs w:val="14"/>
              </w:rPr>
              <w:t>(In millions of euros)</w:t>
            </w:r>
          </w:p>
        </w:tc>
        <w:tc>
          <w:tcPr>
            <w:tcW w:w="1474" w:type="dxa"/>
            <w:tcBorders>
              <w:bottom w:val="single" w:sz="8" w:space="0" w:color="0070AD" w:themeColor="accent1"/>
            </w:tcBorders>
            <w:vAlign w:val="center"/>
          </w:tcPr>
          <w:p w14:paraId="6BC86008" w14:textId="77777777" w:rsidR="003E11DB" w:rsidRPr="005359A0" w:rsidRDefault="00EB7381" w:rsidP="00354252">
            <w:pPr>
              <w:keepNext/>
              <w:jc w:val="center"/>
              <w:rPr>
                <w:b/>
                <w:sz w:val="14"/>
                <w:szCs w:val="14"/>
              </w:rPr>
            </w:pPr>
            <w:r>
              <w:rPr>
                <w:b/>
                <w:sz w:val="14"/>
                <w:szCs w:val="14"/>
              </w:rPr>
              <w:t>2017</w:t>
            </w:r>
          </w:p>
        </w:tc>
        <w:tc>
          <w:tcPr>
            <w:tcW w:w="1474" w:type="dxa"/>
            <w:tcBorders>
              <w:bottom w:val="single" w:sz="8" w:space="0" w:color="0070AD" w:themeColor="accent1"/>
            </w:tcBorders>
            <w:shd w:val="clear" w:color="auto" w:fill="BBE7FF" w:themeFill="accent1" w:themeFillTint="33"/>
            <w:vAlign w:val="center"/>
          </w:tcPr>
          <w:p w14:paraId="0118F61E" w14:textId="77777777" w:rsidR="003E11DB" w:rsidRPr="005359A0" w:rsidRDefault="00EB7381" w:rsidP="00354252">
            <w:pPr>
              <w:keepNext/>
              <w:jc w:val="center"/>
              <w:rPr>
                <w:b/>
                <w:sz w:val="14"/>
                <w:szCs w:val="14"/>
              </w:rPr>
            </w:pPr>
            <w:r>
              <w:rPr>
                <w:b/>
                <w:sz w:val="14"/>
                <w:szCs w:val="14"/>
              </w:rPr>
              <w:t>2018</w:t>
            </w:r>
          </w:p>
        </w:tc>
        <w:tc>
          <w:tcPr>
            <w:tcW w:w="1134" w:type="dxa"/>
            <w:tcBorders>
              <w:bottom w:val="single" w:sz="8" w:space="0" w:color="0070AD" w:themeColor="accent1"/>
            </w:tcBorders>
            <w:shd w:val="clear" w:color="auto" w:fill="auto"/>
            <w:vAlign w:val="center"/>
          </w:tcPr>
          <w:p w14:paraId="35A67CE5" w14:textId="77777777" w:rsidR="003E11DB" w:rsidRPr="005359A0" w:rsidRDefault="003E11DB" w:rsidP="00354252">
            <w:pPr>
              <w:keepNext/>
              <w:jc w:val="center"/>
              <w:rPr>
                <w:b/>
                <w:i/>
                <w:sz w:val="14"/>
                <w:szCs w:val="14"/>
              </w:rPr>
            </w:pPr>
            <w:r>
              <w:rPr>
                <w:b/>
                <w:i/>
                <w:sz w:val="14"/>
                <w:szCs w:val="14"/>
              </w:rPr>
              <w:t>Change</w:t>
            </w:r>
          </w:p>
        </w:tc>
      </w:tr>
      <w:tr w:rsidR="006D233D" w:rsidRPr="005359A0" w14:paraId="3552B0EB"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064F4825" w14:textId="77777777" w:rsidR="006D233D" w:rsidRPr="005359A0" w:rsidRDefault="006D233D" w:rsidP="006D233D">
            <w:pPr>
              <w:keepNext/>
              <w:rPr>
                <w:b/>
                <w:color w:val="0070AD" w:themeColor="accent1"/>
                <w:sz w:val="14"/>
                <w:szCs w:val="14"/>
              </w:rPr>
            </w:pPr>
            <w:r>
              <w:rPr>
                <w:b/>
                <w:color w:val="0070AD" w:themeColor="accent1"/>
                <w:sz w:val="14"/>
                <w:szCs w:val="14"/>
              </w:rPr>
              <w:t xml:space="preserve">Revenues </w:t>
            </w:r>
          </w:p>
        </w:tc>
        <w:tc>
          <w:tcPr>
            <w:tcW w:w="1474" w:type="dxa"/>
            <w:tcBorders>
              <w:top w:val="single" w:sz="8" w:space="0" w:color="0070AD" w:themeColor="accent1"/>
              <w:bottom w:val="single" w:sz="8" w:space="0" w:color="0070AD" w:themeColor="accent1"/>
            </w:tcBorders>
            <w:shd w:val="clear" w:color="auto" w:fill="auto"/>
            <w:vAlign w:val="center"/>
          </w:tcPr>
          <w:p w14:paraId="2A8F64F8" w14:textId="77777777" w:rsidR="006D233D" w:rsidRPr="005359A0" w:rsidRDefault="006D233D" w:rsidP="006D233D">
            <w:pPr>
              <w:keepNext/>
              <w:ind w:left="-170" w:right="397"/>
              <w:jc w:val="right"/>
              <w:rPr>
                <w:b/>
                <w:color w:val="0070AD" w:themeColor="accent1"/>
                <w:sz w:val="14"/>
                <w:szCs w:val="14"/>
              </w:rPr>
            </w:pPr>
            <w:r>
              <w:rPr>
                <w:b/>
                <w:color w:val="0070AD" w:themeColor="accent1"/>
                <w:sz w:val="14"/>
                <w:szCs w:val="14"/>
              </w:rPr>
              <w:t>12,525</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5A215A67" w14:textId="77777777" w:rsidR="006D233D" w:rsidRPr="005359A0" w:rsidRDefault="006E2F3D" w:rsidP="006D233D">
            <w:pPr>
              <w:keepNext/>
              <w:ind w:left="-170" w:right="397"/>
              <w:jc w:val="right"/>
              <w:rPr>
                <w:b/>
                <w:color w:val="0070AD" w:themeColor="accent1"/>
                <w:sz w:val="14"/>
                <w:szCs w:val="14"/>
              </w:rPr>
            </w:pPr>
            <w:r>
              <w:rPr>
                <w:b/>
                <w:color w:val="0070AD" w:themeColor="accent1"/>
                <w:sz w:val="14"/>
                <w:szCs w:val="14"/>
              </w:rPr>
              <w:t>13,197</w:t>
            </w:r>
          </w:p>
        </w:tc>
        <w:tc>
          <w:tcPr>
            <w:tcW w:w="1134" w:type="dxa"/>
            <w:tcBorders>
              <w:top w:val="single" w:sz="8" w:space="0" w:color="0070AD" w:themeColor="accent1"/>
              <w:bottom w:val="single" w:sz="8" w:space="0" w:color="0070AD" w:themeColor="accent1"/>
            </w:tcBorders>
            <w:shd w:val="clear" w:color="auto" w:fill="auto"/>
            <w:vAlign w:val="center"/>
          </w:tcPr>
          <w:p w14:paraId="4C96193A" w14:textId="77777777" w:rsidR="006D233D" w:rsidRPr="005359A0" w:rsidRDefault="006D233D" w:rsidP="006D233D">
            <w:pPr>
              <w:keepNext/>
              <w:jc w:val="center"/>
              <w:rPr>
                <w:b/>
                <w:color w:val="0070AD" w:themeColor="accent1"/>
                <w:sz w:val="14"/>
                <w:szCs w:val="14"/>
              </w:rPr>
            </w:pPr>
            <w:r>
              <w:rPr>
                <w:b/>
                <w:color w:val="0070AD" w:themeColor="accent1"/>
                <w:sz w:val="14"/>
                <w:szCs w:val="14"/>
              </w:rPr>
              <w:t>+5.4%</w:t>
            </w:r>
          </w:p>
        </w:tc>
      </w:tr>
      <w:tr w:rsidR="006D233D" w:rsidRPr="005359A0" w14:paraId="74546F79"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405A01F6" w14:textId="77777777" w:rsidR="006D233D" w:rsidRPr="005359A0" w:rsidRDefault="006D233D" w:rsidP="006D233D">
            <w:pPr>
              <w:keepNext/>
              <w:ind w:left="149"/>
              <w:rPr>
                <w:sz w:val="14"/>
                <w:szCs w:val="14"/>
              </w:rPr>
            </w:pPr>
            <w:r>
              <w:rPr>
                <w:sz w:val="14"/>
                <w:szCs w:val="14"/>
              </w:rPr>
              <w:t>Operating expenses</w:t>
            </w:r>
          </w:p>
        </w:tc>
        <w:tc>
          <w:tcPr>
            <w:tcW w:w="1474" w:type="dxa"/>
            <w:tcBorders>
              <w:top w:val="single" w:sz="8" w:space="0" w:color="0070AD" w:themeColor="accent1"/>
              <w:bottom w:val="single" w:sz="8" w:space="0" w:color="0070AD" w:themeColor="accent1"/>
            </w:tcBorders>
            <w:shd w:val="clear" w:color="auto" w:fill="auto"/>
            <w:vAlign w:val="center"/>
          </w:tcPr>
          <w:p w14:paraId="580A04FF" w14:textId="77777777" w:rsidR="006D233D" w:rsidRPr="005359A0" w:rsidRDefault="006D233D" w:rsidP="006D233D">
            <w:pPr>
              <w:keepNext/>
              <w:ind w:left="-170" w:right="397"/>
              <w:jc w:val="right"/>
              <w:rPr>
                <w:sz w:val="14"/>
                <w:szCs w:val="14"/>
              </w:rPr>
            </w:pPr>
            <w:r>
              <w:rPr>
                <w:sz w:val="14"/>
                <w:szCs w:val="14"/>
              </w:rPr>
              <w:t>(11,032)</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136E812F" w14:textId="77777777" w:rsidR="006D233D" w:rsidRPr="005359A0" w:rsidRDefault="006D233D" w:rsidP="006D233D">
            <w:pPr>
              <w:keepNext/>
              <w:ind w:left="-170" w:right="397"/>
              <w:jc w:val="right"/>
              <w:rPr>
                <w:sz w:val="14"/>
                <w:szCs w:val="14"/>
              </w:rPr>
            </w:pPr>
            <w:r>
              <w:rPr>
                <w:sz w:val="14"/>
                <w:szCs w:val="14"/>
              </w:rPr>
              <w:t>(11,600)</w:t>
            </w:r>
          </w:p>
        </w:tc>
        <w:tc>
          <w:tcPr>
            <w:tcW w:w="1134" w:type="dxa"/>
            <w:tcBorders>
              <w:top w:val="single" w:sz="8" w:space="0" w:color="0070AD" w:themeColor="accent1"/>
              <w:bottom w:val="single" w:sz="8" w:space="0" w:color="0070AD" w:themeColor="accent1"/>
            </w:tcBorders>
            <w:shd w:val="clear" w:color="auto" w:fill="auto"/>
            <w:vAlign w:val="center"/>
          </w:tcPr>
          <w:p w14:paraId="115E93B0" w14:textId="77777777" w:rsidR="006D233D" w:rsidRPr="005359A0" w:rsidRDefault="006D233D" w:rsidP="006D233D">
            <w:pPr>
              <w:keepNext/>
              <w:jc w:val="center"/>
              <w:rPr>
                <w:sz w:val="14"/>
                <w:szCs w:val="14"/>
              </w:rPr>
            </w:pPr>
          </w:p>
        </w:tc>
      </w:tr>
      <w:tr w:rsidR="006D233D" w:rsidRPr="005359A0" w14:paraId="6D30F8CB"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6645590F" w14:textId="77777777" w:rsidR="006D233D" w:rsidRPr="005359A0" w:rsidRDefault="006D233D" w:rsidP="006D233D">
            <w:pPr>
              <w:keepNext/>
              <w:rPr>
                <w:b/>
                <w:color w:val="0070AD" w:themeColor="accent1"/>
                <w:sz w:val="14"/>
                <w:szCs w:val="14"/>
              </w:rPr>
            </w:pPr>
            <w:r>
              <w:rPr>
                <w:b/>
                <w:color w:val="0070AD" w:themeColor="accent1"/>
                <w:sz w:val="14"/>
                <w:szCs w:val="14"/>
              </w:rPr>
              <w:t xml:space="preserve">Operating margin </w:t>
            </w:r>
          </w:p>
        </w:tc>
        <w:tc>
          <w:tcPr>
            <w:tcW w:w="1474" w:type="dxa"/>
            <w:tcBorders>
              <w:top w:val="single" w:sz="8" w:space="0" w:color="0070AD" w:themeColor="accent1"/>
              <w:bottom w:val="single" w:sz="8" w:space="0" w:color="0070AD" w:themeColor="accent1"/>
            </w:tcBorders>
            <w:shd w:val="clear" w:color="auto" w:fill="auto"/>
            <w:vAlign w:val="center"/>
          </w:tcPr>
          <w:p w14:paraId="0D768811" w14:textId="77777777" w:rsidR="006D233D" w:rsidRPr="005359A0" w:rsidRDefault="006D233D" w:rsidP="006D233D">
            <w:pPr>
              <w:keepNext/>
              <w:ind w:left="-170" w:right="397"/>
              <w:jc w:val="right"/>
              <w:rPr>
                <w:b/>
                <w:color w:val="0070AD" w:themeColor="accent1"/>
                <w:sz w:val="14"/>
                <w:szCs w:val="14"/>
              </w:rPr>
            </w:pPr>
            <w:r>
              <w:rPr>
                <w:b/>
                <w:color w:val="0070AD" w:themeColor="accent1"/>
                <w:sz w:val="14"/>
                <w:szCs w:val="14"/>
              </w:rPr>
              <w:t>1,493</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174EB212" w14:textId="77777777" w:rsidR="006D233D" w:rsidRPr="005359A0" w:rsidRDefault="006D233D" w:rsidP="006D233D">
            <w:pPr>
              <w:keepNext/>
              <w:ind w:left="-170" w:right="397"/>
              <w:jc w:val="right"/>
              <w:rPr>
                <w:b/>
                <w:color w:val="0070AD" w:themeColor="accent1"/>
                <w:sz w:val="14"/>
                <w:szCs w:val="14"/>
              </w:rPr>
            </w:pPr>
            <w:r>
              <w:rPr>
                <w:b/>
                <w:color w:val="0070AD" w:themeColor="accent1"/>
                <w:sz w:val="14"/>
                <w:szCs w:val="14"/>
              </w:rPr>
              <w:t>1,597</w:t>
            </w:r>
          </w:p>
        </w:tc>
        <w:tc>
          <w:tcPr>
            <w:tcW w:w="1134" w:type="dxa"/>
            <w:tcBorders>
              <w:top w:val="single" w:sz="8" w:space="0" w:color="0070AD" w:themeColor="accent1"/>
              <w:bottom w:val="single" w:sz="8" w:space="0" w:color="0070AD" w:themeColor="accent1"/>
            </w:tcBorders>
            <w:shd w:val="clear" w:color="auto" w:fill="auto"/>
            <w:vAlign w:val="center"/>
          </w:tcPr>
          <w:p w14:paraId="4112115D" w14:textId="77777777" w:rsidR="006D233D" w:rsidRPr="005359A0" w:rsidRDefault="006D233D" w:rsidP="006D233D">
            <w:pPr>
              <w:keepNext/>
              <w:jc w:val="center"/>
              <w:rPr>
                <w:b/>
                <w:color w:val="0070AD" w:themeColor="accent1"/>
                <w:sz w:val="14"/>
                <w:szCs w:val="14"/>
              </w:rPr>
            </w:pPr>
            <w:r>
              <w:rPr>
                <w:b/>
                <w:color w:val="0070AD" w:themeColor="accent1"/>
                <w:sz w:val="14"/>
                <w:szCs w:val="14"/>
              </w:rPr>
              <w:t>+7%</w:t>
            </w:r>
          </w:p>
        </w:tc>
      </w:tr>
      <w:tr w:rsidR="006D233D" w:rsidRPr="005359A0" w14:paraId="606FAB9E" w14:textId="77777777" w:rsidTr="001A6047">
        <w:trPr>
          <w:trHeight w:val="227"/>
          <w:jc w:val="center"/>
        </w:trPr>
        <w:tc>
          <w:tcPr>
            <w:tcW w:w="5998" w:type="dxa"/>
            <w:tcBorders>
              <w:top w:val="single" w:sz="8" w:space="0" w:color="0070AD" w:themeColor="accent1"/>
            </w:tcBorders>
            <w:vAlign w:val="center"/>
          </w:tcPr>
          <w:p w14:paraId="0AC5860D" w14:textId="77777777" w:rsidR="006D233D" w:rsidRPr="005359A0" w:rsidRDefault="006D233D" w:rsidP="006D233D">
            <w:pPr>
              <w:keepNext/>
              <w:rPr>
                <w:rFonts w:cs="Arial"/>
                <w:i/>
                <w:sz w:val="14"/>
                <w:szCs w:val="14"/>
              </w:rPr>
            </w:pPr>
            <w:r>
              <w:rPr>
                <w:i/>
                <w:sz w:val="14"/>
                <w:szCs w:val="14"/>
              </w:rPr>
              <w:t>as a % of revenues</w:t>
            </w:r>
          </w:p>
        </w:tc>
        <w:tc>
          <w:tcPr>
            <w:tcW w:w="1474" w:type="dxa"/>
            <w:tcBorders>
              <w:top w:val="single" w:sz="8" w:space="0" w:color="0070AD" w:themeColor="accent1"/>
            </w:tcBorders>
            <w:shd w:val="clear" w:color="auto" w:fill="auto"/>
            <w:vAlign w:val="center"/>
          </w:tcPr>
          <w:p w14:paraId="56B44F67" w14:textId="77777777" w:rsidR="006D233D" w:rsidRPr="005359A0" w:rsidRDefault="006D233D" w:rsidP="006D233D">
            <w:pPr>
              <w:keepNext/>
              <w:ind w:left="-170" w:right="397"/>
              <w:jc w:val="right"/>
              <w:rPr>
                <w:rFonts w:cs="Arial"/>
                <w:i/>
                <w:sz w:val="14"/>
                <w:szCs w:val="14"/>
              </w:rPr>
            </w:pPr>
            <w:r>
              <w:rPr>
                <w:i/>
                <w:sz w:val="14"/>
                <w:szCs w:val="14"/>
              </w:rPr>
              <w:t>11.9%</w:t>
            </w:r>
          </w:p>
        </w:tc>
        <w:tc>
          <w:tcPr>
            <w:tcW w:w="1474" w:type="dxa"/>
            <w:tcBorders>
              <w:top w:val="single" w:sz="8" w:space="0" w:color="0070AD" w:themeColor="accent1"/>
            </w:tcBorders>
            <w:shd w:val="clear" w:color="auto" w:fill="BBE7FF" w:themeFill="accent1" w:themeFillTint="33"/>
            <w:vAlign w:val="center"/>
          </w:tcPr>
          <w:p w14:paraId="5E570279" w14:textId="77777777" w:rsidR="006D233D" w:rsidRPr="005359A0" w:rsidRDefault="006D233D" w:rsidP="006D233D">
            <w:pPr>
              <w:keepNext/>
              <w:ind w:left="-170" w:right="397"/>
              <w:jc w:val="right"/>
              <w:rPr>
                <w:rFonts w:cs="Arial"/>
                <w:i/>
                <w:sz w:val="14"/>
                <w:szCs w:val="14"/>
              </w:rPr>
            </w:pPr>
            <w:r>
              <w:rPr>
                <w:i/>
                <w:sz w:val="14"/>
                <w:szCs w:val="14"/>
              </w:rPr>
              <w:t>12.1%</w:t>
            </w:r>
          </w:p>
        </w:tc>
        <w:tc>
          <w:tcPr>
            <w:tcW w:w="1134" w:type="dxa"/>
            <w:tcBorders>
              <w:top w:val="single" w:sz="8" w:space="0" w:color="0070AD" w:themeColor="accent1"/>
            </w:tcBorders>
            <w:shd w:val="clear" w:color="auto" w:fill="auto"/>
            <w:vAlign w:val="center"/>
          </w:tcPr>
          <w:p w14:paraId="4B06D6EA" w14:textId="77777777" w:rsidR="006D233D" w:rsidRPr="005359A0" w:rsidRDefault="006D233D" w:rsidP="006D233D">
            <w:pPr>
              <w:keepNext/>
              <w:jc w:val="center"/>
              <w:rPr>
                <w:rFonts w:cs="Arial"/>
                <w:i/>
                <w:sz w:val="14"/>
                <w:szCs w:val="14"/>
              </w:rPr>
            </w:pPr>
            <w:r>
              <w:rPr>
                <w:i/>
                <w:sz w:val="14"/>
                <w:szCs w:val="14"/>
              </w:rPr>
              <w:t>+20bp</w:t>
            </w:r>
          </w:p>
        </w:tc>
      </w:tr>
      <w:tr w:rsidR="006D233D" w:rsidRPr="005359A0" w14:paraId="78004D6F" w14:textId="77777777" w:rsidTr="001A6047">
        <w:trPr>
          <w:trHeight w:val="227"/>
          <w:jc w:val="center"/>
        </w:trPr>
        <w:tc>
          <w:tcPr>
            <w:tcW w:w="5998" w:type="dxa"/>
            <w:tcBorders>
              <w:bottom w:val="single" w:sz="8" w:space="0" w:color="0070AD" w:themeColor="accent1"/>
            </w:tcBorders>
            <w:vAlign w:val="center"/>
          </w:tcPr>
          <w:p w14:paraId="3717B9B8" w14:textId="77777777" w:rsidR="006D233D" w:rsidRPr="005359A0" w:rsidRDefault="006D233D" w:rsidP="006D233D">
            <w:pPr>
              <w:keepNext/>
              <w:ind w:left="149"/>
              <w:rPr>
                <w:rFonts w:cs="Arial"/>
                <w:sz w:val="14"/>
                <w:szCs w:val="14"/>
              </w:rPr>
            </w:pPr>
            <w:r>
              <w:rPr>
                <w:sz w:val="14"/>
                <w:szCs w:val="14"/>
              </w:rPr>
              <w:t>Other operating income and expense</w:t>
            </w:r>
          </w:p>
        </w:tc>
        <w:tc>
          <w:tcPr>
            <w:tcW w:w="1474" w:type="dxa"/>
            <w:tcBorders>
              <w:bottom w:val="single" w:sz="8" w:space="0" w:color="0070AD" w:themeColor="accent1"/>
            </w:tcBorders>
            <w:shd w:val="clear" w:color="auto" w:fill="auto"/>
            <w:vAlign w:val="center"/>
          </w:tcPr>
          <w:p w14:paraId="243CA236" w14:textId="77777777" w:rsidR="006D233D" w:rsidRPr="005359A0" w:rsidRDefault="006D233D" w:rsidP="006D233D">
            <w:pPr>
              <w:keepNext/>
              <w:ind w:left="-170" w:right="397"/>
              <w:jc w:val="right"/>
              <w:rPr>
                <w:rFonts w:cs="Arial"/>
                <w:sz w:val="14"/>
                <w:szCs w:val="14"/>
              </w:rPr>
            </w:pPr>
            <w:r>
              <w:rPr>
                <w:sz w:val="14"/>
                <w:szCs w:val="14"/>
              </w:rPr>
              <w:t>(310)</w:t>
            </w:r>
          </w:p>
        </w:tc>
        <w:tc>
          <w:tcPr>
            <w:tcW w:w="1474" w:type="dxa"/>
            <w:tcBorders>
              <w:bottom w:val="single" w:sz="8" w:space="0" w:color="0070AD" w:themeColor="accent1"/>
            </w:tcBorders>
            <w:shd w:val="clear" w:color="auto" w:fill="BBE7FF" w:themeFill="accent1" w:themeFillTint="33"/>
            <w:vAlign w:val="center"/>
          </w:tcPr>
          <w:p w14:paraId="4527A757" w14:textId="77777777" w:rsidR="006D233D" w:rsidRPr="005359A0" w:rsidRDefault="006D233D" w:rsidP="006D233D">
            <w:pPr>
              <w:keepNext/>
              <w:ind w:left="-170" w:right="397"/>
              <w:jc w:val="right"/>
              <w:rPr>
                <w:rFonts w:cs="Arial"/>
                <w:sz w:val="14"/>
                <w:szCs w:val="14"/>
              </w:rPr>
            </w:pPr>
            <w:r>
              <w:rPr>
                <w:sz w:val="14"/>
                <w:szCs w:val="14"/>
              </w:rPr>
              <w:t>(346)</w:t>
            </w:r>
          </w:p>
        </w:tc>
        <w:tc>
          <w:tcPr>
            <w:tcW w:w="1134" w:type="dxa"/>
            <w:tcBorders>
              <w:bottom w:val="single" w:sz="8" w:space="0" w:color="0070AD" w:themeColor="accent1"/>
            </w:tcBorders>
            <w:shd w:val="clear" w:color="auto" w:fill="auto"/>
            <w:vAlign w:val="center"/>
          </w:tcPr>
          <w:p w14:paraId="1D4B9783" w14:textId="77777777" w:rsidR="006D233D" w:rsidRPr="005359A0" w:rsidRDefault="006D233D" w:rsidP="006D233D">
            <w:pPr>
              <w:keepNext/>
              <w:jc w:val="center"/>
              <w:rPr>
                <w:rFonts w:cs="Arial"/>
                <w:sz w:val="14"/>
                <w:szCs w:val="14"/>
              </w:rPr>
            </w:pPr>
          </w:p>
        </w:tc>
      </w:tr>
      <w:tr w:rsidR="006D233D" w:rsidRPr="005359A0" w14:paraId="78920478"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3EA79B27" w14:textId="77777777" w:rsidR="006D233D" w:rsidRPr="005359A0" w:rsidRDefault="006D233D" w:rsidP="006D233D">
            <w:pPr>
              <w:keepNext/>
              <w:rPr>
                <w:rFonts w:cs="Arial"/>
                <w:b/>
                <w:color w:val="0070AD" w:themeColor="accent1"/>
                <w:sz w:val="14"/>
                <w:szCs w:val="14"/>
              </w:rPr>
            </w:pPr>
            <w:r>
              <w:rPr>
                <w:b/>
                <w:color w:val="0070AD" w:themeColor="accent1"/>
                <w:sz w:val="14"/>
                <w:szCs w:val="14"/>
              </w:rPr>
              <w:t>Operating profit</w:t>
            </w:r>
          </w:p>
        </w:tc>
        <w:tc>
          <w:tcPr>
            <w:tcW w:w="1474" w:type="dxa"/>
            <w:tcBorders>
              <w:top w:val="single" w:sz="8" w:space="0" w:color="0070AD" w:themeColor="accent1"/>
              <w:bottom w:val="single" w:sz="8" w:space="0" w:color="0070AD" w:themeColor="accent1"/>
            </w:tcBorders>
            <w:shd w:val="clear" w:color="auto" w:fill="auto"/>
            <w:vAlign w:val="center"/>
          </w:tcPr>
          <w:p w14:paraId="3EF7FC83"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1,183</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4A9F0328"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1,251</w:t>
            </w:r>
          </w:p>
        </w:tc>
        <w:tc>
          <w:tcPr>
            <w:tcW w:w="1134" w:type="dxa"/>
            <w:tcBorders>
              <w:top w:val="single" w:sz="8" w:space="0" w:color="0070AD" w:themeColor="accent1"/>
              <w:bottom w:val="single" w:sz="8" w:space="0" w:color="0070AD" w:themeColor="accent1"/>
            </w:tcBorders>
            <w:shd w:val="clear" w:color="auto" w:fill="auto"/>
            <w:vAlign w:val="center"/>
          </w:tcPr>
          <w:p w14:paraId="51490001" w14:textId="77777777" w:rsidR="006D233D" w:rsidRPr="005359A0" w:rsidRDefault="006D233D" w:rsidP="006D233D">
            <w:pPr>
              <w:keepNext/>
              <w:jc w:val="center"/>
              <w:rPr>
                <w:rFonts w:cs="Arial"/>
                <w:b/>
                <w:color w:val="0070AD" w:themeColor="accent1"/>
                <w:sz w:val="14"/>
                <w:szCs w:val="14"/>
              </w:rPr>
            </w:pPr>
            <w:r>
              <w:rPr>
                <w:b/>
                <w:color w:val="0070AD" w:themeColor="accent1"/>
                <w:sz w:val="14"/>
                <w:szCs w:val="14"/>
              </w:rPr>
              <w:t>+6%</w:t>
            </w:r>
          </w:p>
        </w:tc>
      </w:tr>
      <w:tr w:rsidR="006D233D" w:rsidRPr="005359A0" w14:paraId="2E15A205" w14:textId="77777777" w:rsidTr="001A6047">
        <w:trPr>
          <w:trHeight w:val="227"/>
          <w:jc w:val="center"/>
        </w:trPr>
        <w:tc>
          <w:tcPr>
            <w:tcW w:w="5998" w:type="dxa"/>
            <w:tcBorders>
              <w:top w:val="single" w:sz="8" w:space="0" w:color="0070AD" w:themeColor="accent1"/>
            </w:tcBorders>
            <w:vAlign w:val="center"/>
          </w:tcPr>
          <w:p w14:paraId="14C27532" w14:textId="77777777" w:rsidR="006D233D" w:rsidRPr="005359A0" w:rsidRDefault="006D233D" w:rsidP="006D233D">
            <w:pPr>
              <w:keepNext/>
              <w:rPr>
                <w:rFonts w:cs="Arial"/>
                <w:i/>
                <w:sz w:val="14"/>
                <w:szCs w:val="14"/>
              </w:rPr>
            </w:pPr>
            <w:r>
              <w:rPr>
                <w:i/>
                <w:sz w:val="14"/>
                <w:szCs w:val="14"/>
              </w:rPr>
              <w:t>as a % of revenues</w:t>
            </w:r>
          </w:p>
        </w:tc>
        <w:tc>
          <w:tcPr>
            <w:tcW w:w="1474" w:type="dxa"/>
            <w:tcBorders>
              <w:top w:val="single" w:sz="8" w:space="0" w:color="0070AD" w:themeColor="accent1"/>
            </w:tcBorders>
            <w:shd w:val="clear" w:color="auto" w:fill="auto"/>
            <w:vAlign w:val="center"/>
          </w:tcPr>
          <w:p w14:paraId="0316AD8C" w14:textId="77777777" w:rsidR="006D233D" w:rsidRPr="005359A0" w:rsidRDefault="006D233D" w:rsidP="006D233D">
            <w:pPr>
              <w:keepNext/>
              <w:ind w:left="-170" w:right="397"/>
              <w:jc w:val="right"/>
              <w:rPr>
                <w:rFonts w:cs="Arial"/>
                <w:i/>
                <w:sz w:val="14"/>
                <w:szCs w:val="14"/>
              </w:rPr>
            </w:pPr>
            <w:r>
              <w:rPr>
                <w:i/>
                <w:sz w:val="14"/>
                <w:szCs w:val="14"/>
              </w:rPr>
              <w:t>9.4%</w:t>
            </w:r>
          </w:p>
        </w:tc>
        <w:tc>
          <w:tcPr>
            <w:tcW w:w="1474" w:type="dxa"/>
            <w:tcBorders>
              <w:top w:val="single" w:sz="8" w:space="0" w:color="0070AD" w:themeColor="accent1"/>
            </w:tcBorders>
            <w:shd w:val="clear" w:color="auto" w:fill="BBE7FF" w:themeFill="accent1" w:themeFillTint="33"/>
            <w:vAlign w:val="center"/>
          </w:tcPr>
          <w:p w14:paraId="180C980C" w14:textId="77777777" w:rsidR="006D233D" w:rsidRPr="005359A0" w:rsidRDefault="006D233D" w:rsidP="006D233D">
            <w:pPr>
              <w:keepNext/>
              <w:ind w:left="-170" w:right="397"/>
              <w:jc w:val="right"/>
              <w:rPr>
                <w:rFonts w:cs="Arial"/>
                <w:i/>
                <w:sz w:val="14"/>
                <w:szCs w:val="14"/>
              </w:rPr>
            </w:pPr>
            <w:r>
              <w:rPr>
                <w:i/>
                <w:sz w:val="14"/>
                <w:szCs w:val="14"/>
              </w:rPr>
              <w:t>9.5%</w:t>
            </w:r>
          </w:p>
        </w:tc>
        <w:tc>
          <w:tcPr>
            <w:tcW w:w="1134" w:type="dxa"/>
            <w:tcBorders>
              <w:top w:val="single" w:sz="8" w:space="0" w:color="0070AD" w:themeColor="accent1"/>
            </w:tcBorders>
            <w:shd w:val="clear" w:color="auto" w:fill="auto"/>
            <w:vAlign w:val="center"/>
          </w:tcPr>
          <w:p w14:paraId="3631C314" w14:textId="77777777" w:rsidR="006D233D" w:rsidRPr="005359A0" w:rsidRDefault="006E2F3D" w:rsidP="006D233D">
            <w:pPr>
              <w:keepNext/>
              <w:jc w:val="center"/>
              <w:rPr>
                <w:rFonts w:cs="Arial"/>
                <w:i/>
                <w:sz w:val="14"/>
                <w:szCs w:val="14"/>
              </w:rPr>
            </w:pPr>
            <w:r>
              <w:rPr>
                <w:i/>
                <w:sz w:val="14"/>
                <w:szCs w:val="14"/>
              </w:rPr>
              <w:t>+10bp</w:t>
            </w:r>
          </w:p>
        </w:tc>
      </w:tr>
      <w:tr w:rsidR="006D233D" w:rsidRPr="005359A0" w14:paraId="5704AF97" w14:textId="77777777" w:rsidTr="001A6047">
        <w:trPr>
          <w:trHeight w:val="227"/>
          <w:jc w:val="center"/>
        </w:trPr>
        <w:tc>
          <w:tcPr>
            <w:tcW w:w="5998" w:type="dxa"/>
            <w:vAlign w:val="center"/>
          </w:tcPr>
          <w:p w14:paraId="0EF565CC" w14:textId="77777777" w:rsidR="006D233D" w:rsidRPr="005359A0" w:rsidRDefault="006D233D" w:rsidP="006D233D">
            <w:pPr>
              <w:keepNext/>
              <w:ind w:left="149"/>
              <w:rPr>
                <w:rFonts w:cs="Arial"/>
                <w:sz w:val="14"/>
                <w:szCs w:val="14"/>
              </w:rPr>
            </w:pPr>
            <w:r>
              <w:rPr>
                <w:sz w:val="14"/>
                <w:szCs w:val="14"/>
              </w:rPr>
              <w:t>Net financial expense</w:t>
            </w:r>
          </w:p>
        </w:tc>
        <w:tc>
          <w:tcPr>
            <w:tcW w:w="1474" w:type="dxa"/>
            <w:shd w:val="clear" w:color="auto" w:fill="auto"/>
            <w:vAlign w:val="center"/>
          </w:tcPr>
          <w:p w14:paraId="774EFDA0" w14:textId="77777777" w:rsidR="006D233D" w:rsidRPr="005359A0" w:rsidRDefault="006D233D" w:rsidP="006D233D">
            <w:pPr>
              <w:keepNext/>
              <w:ind w:left="-170" w:right="397"/>
              <w:jc w:val="right"/>
              <w:rPr>
                <w:rFonts w:cs="Arial"/>
                <w:sz w:val="14"/>
                <w:szCs w:val="14"/>
              </w:rPr>
            </w:pPr>
            <w:r>
              <w:rPr>
                <w:sz w:val="14"/>
                <w:szCs w:val="14"/>
              </w:rPr>
              <w:t>(72)</w:t>
            </w:r>
          </w:p>
        </w:tc>
        <w:tc>
          <w:tcPr>
            <w:tcW w:w="1474" w:type="dxa"/>
            <w:shd w:val="clear" w:color="auto" w:fill="BBE7FF" w:themeFill="accent1" w:themeFillTint="33"/>
            <w:vAlign w:val="center"/>
          </w:tcPr>
          <w:p w14:paraId="2C64DE02" w14:textId="77777777" w:rsidR="006D233D" w:rsidRPr="005359A0" w:rsidRDefault="006D233D" w:rsidP="006D233D">
            <w:pPr>
              <w:keepNext/>
              <w:ind w:left="-170" w:right="397"/>
              <w:jc w:val="right"/>
              <w:rPr>
                <w:rFonts w:cs="Arial"/>
                <w:sz w:val="14"/>
                <w:szCs w:val="14"/>
              </w:rPr>
            </w:pPr>
            <w:r>
              <w:rPr>
                <w:sz w:val="14"/>
                <w:szCs w:val="14"/>
              </w:rPr>
              <w:t>(80)</w:t>
            </w:r>
          </w:p>
        </w:tc>
        <w:tc>
          <w:tcPr>
            <w:tcW w:w="1134" w:type="dxa"/>
            <w:shd w:val="clear" w:color="auto" w:fill="auto"/>
            <w:vAlign w:val="center"/>
          </w:tcPr>
          <w:p w14:paraId="34A5C85F" w14:textId="77777777" w:rsidR="006D233D" w:rsidRPr="005359A0" w:rsidRDefault="006D233D" w:rsidP="006D233D">
            <w:pPr>
              <w:keepNext/>
              <w:jc w:val="center"/>
              <w:rPr>
                <w:rFonts w:cs="Arial"/>
                <w:sz w:val="14"/>
                <w:szCs w:val="14"/>
              </w:rPr>
            </w:pPr>
          </w:p>
        </w:tc>
      </w:tr>
      <w:tr w:rsidR="006D233D" w:rsidRPr="005359A0" w14:paraId="6D04C9C1" w14:textId="77777777" w:rsidTr="001A6047">
        <w:trPr>
          <w:trHeight w:val="227"/>
          <w:jc w:val="center"/>
        </w:trPr>
        <w:tc>
          <w:tcPr>
            <w:tcW w:w="5998" w:type="dxa"/>
            <w:vAlign w:val="center"/>
          </w:tcPr>
          <w:p w14:paraId="69D10DD8" w14:textId="77777777" w:rsidR="006D233D" w:rsidRPr="005359A0" w:rsidRDefault="006D233D" w:rsidP="006D233D">
            <w:pPr>
              <w:keepNext/>
              <w:ind w:left="149"/>
              <w:rPr>
                <w:rFonts w:cs="Arial"/>
                <w:sz w:val="14"/>
                <w:szCs w:val="14"/>
              </w:rPr>
            </w:pPr>
            <w:r>
              <w:rPr>
                <w:sz w:val="14"/>
                <w:szCs w:val="14"/>
              </w:rPr>
              <w:t>Income tax income/(expense)</w:t>
            </w:r>
          </w:p>
        </w:tc>
        <w:tc>
          <w:tcPr>
            <w:tcW w:w="1474" w:type="dxa"/>
            <w:shd w:val="clear" w:color="auto" w:fill="auto"/>
            <w:vAlign w:val="center"/>
          </w:tcPr>
          <w:p w14:paraId="140CF715" w14:textId="77777777" w:rsidR="006D233D" w:rsidRPr="005359A0" w:rsidRDefault="006D233D" w:rsidP="006D233D">
            <w:pPr>
              <w:keepNext/>
              <w:ind w:left="-170" w:right="397"/>
              <w:jc w:val="right"/>
              <w:rPr>
                <w:rFonts w:cs="Arial"/>
                <w:sz w:val="14"/>
                <w:szCs w:val="14"/>
              </w:rPr>
            </w:pPr>
            <w:r>
              <w:rPr>
                <w:sz w:val="14"/>
                <w:szCs w:val="14"/>
              </w:rPr>
              <w:t>(303)</w:t>
            </w:r>
          </w:p>
        </w:tc>
        <w:tc>
          <w:tcPr>
            <w:tcW w:w="1474" w:type="dxa"/>
            <w:shd w:val="clear" w:color="auto" w:fill="BBE7FF" w:themeFill="accent1" w:themeFillTint="33"/>
            <w:vAlign w:val="center"/>
          </w:tcPr>
          <w:p w14:paraId="506F8B6A" w14:textId="77777777" w:rsidR="006D233D" w:rsidRPr="005359A0" w:rsidRDefault="006D233D" w:rsidP="006D233D">
            <w:pPr>
              <w:keepNext/>
              <w:ind w:left="-170" w:right="397"/>
              <w:jc w:val="right"/>
              <w:rPr>
                <w:rFonts w:cs="Arial"/>
                <w:sz w:val="14"/>
                <w:szCs w:val="14"/>
              </w:rPr>
            </w:pPr>
            <w:r>
              <w:rPr>
                <w:sz w:val="14"/>
                <w:szCs w:val="14"/>
              </w:rPr>
              <w:t>(447)</w:t>
            </w:r>
          </w:p>
        </w:tc>
        <w:tc>
          <w:tcPr>
            <w:tcW w:w="1134" w:type="dxa"/>
            <w:shd w:val="clear" w:color="auto" w:fill="auto"/>
            <w:vAlign w:val="center"/>
          </w:tcPr>
          <w:p w14:paraId="6244307B" w14:textId="77777777" w:rsidR="006D233D" w:rsidRPr="005359A0" w:rsidRDefault="006D233D" w:rsidP="006D233D">
            <w:pPr>
              <w:keepNext/>
              <w:jc w:val="center"/>
              <w:rPr>
                <w:rFonts w:cs="Arial"/>
                <w:sz w:val="14"/>
                <w:szCs w:val="14"/>
              </w:rPr>
            </w:pPr>
          </w:p>
        </w:tc>
      </w:tr>
      <w:tr w:rsidR="006D233D" w:rsidRPr="005359A0" w14:paraId="2D77B795" w14:textId="77777777" w:rsidTr="001A6047">
        <w:trPr>
          <w:trHeight w:val="227"/>
          <w:jc w:val="center"/>
        </w:trPr>
        <w:tc>
          <w:tcPr>
            <w:tcW w:w="5998" w:type="dxa"/>
            <w:tcBorders>
              <w:bottom w:val="single" w:sz="8" w:space="0" w:color="0070AD" w:themeColor="accent1"/>
            </w:tcBorders>
            <w:vAlign w:val="center"/>
          </w:tcPr>
          <w:p w14:paraId="6BBCE09B" w14:textId="77777777" w:rsidR="006D233D" w:rsidRPr="005359A0" w:rsidRDefault="006D233D" w:rsidP="006D233D">
            <w:pPr>
              <w:keepNext/>
              <w:ind w:left="149"/>
              <w:rPr>
                <w:rFonts w:cs="Arial"/>
                <w:sz w:val="14"/>
                <w:szCs w:val="14"/>
              </w:rPr>
            </w:pPr>
            <w:r>
              <w:rPr>
                <w:sz w:val="14"/>
                <w:szCs w:val="14"/>
              </w:rPr>
              <w:t>(-) Non-controlling interests</w:t>
            </w:r>
          </w:p>
        </w:tc>
        <w:tc>
          <w:tcPr>
            <w:tcW w:w="1474" w:type="dxa"/>
            <w:tcBorders>
              <w:bottom w:val="single" w:sz="8" w:space="0" w:color="0070AD" w:themeColor="accent1"/>
            </w:tcBorders>
            <w:shd w:val="clear" w:color="auto" w:fill="auto"/>
            <w:vAlign w:val="center"/>
          </w:tcPr>
          <w:p w14:paraId="48017EF0" w14:textId="77777777" w:rsidR="006D233D" w:rsidRPr="005359A0" w:rsidRDefault="006D233D" w:rsidP="006D233D">
            <w:pPr>
              <w:keepNext/>
              <w:ind w:left="-170" w:right="397"/>
              <w:jc w:val="right"/>
              <w:rPr>
                <w:rFonts w:cs="Arial"/>
                <w:sz w:val="14"/>
                <w:szCs w:val="14"/>
              </w:rPr>
            </w:pPr>
            <w:r>
              <w:rPr>
                <w:sz w:val="14"/>
                <w:szCs w:val="14"/>
              </w:rPr>
              <w:t>12</w:t>
            </w:r>
          </w:p>
        </w:tc>
        <w:tc>
          <w:tcPr>
            <w:tcW w:w="1474" w:type="dxa"/>
            <w:tcBorders>
              <w:bottom w:val="single" w:sz="8" w:space="0" w:color="0070AD" w:themeColor="accent1"/>
            </w:tcBorders>
            <w:shd w:val="clear" w:color="auto" w:fill="BBE7FF" w:themeFill="accent1" w:themeFillTint="33"/>
            <w:vAlign w:val="center"/>
          </w:tcPr>
          <w:p w14:paraId="7C6F94ED" w14:textId="77777777" w:rsidR="006D233D" w:rsidRPr="005359A0" w:rsidRDefault="004B7D8C" w:rsidP="006D233D">
            <w:pPr>
              <w:keepNext/>
              <w:ind w:left="-170" w:right="397"/>
              <w:jc w:val="right"/>
              <w:rPr>
                <w:rFonts w:cs="Arial"/>
                <w:sz w:val="14"/>
                <w:szCs w:val="14"/>
              </w:rPr>
            </w:pPr>
            <w:r>
              <w:rPr>
                <w:sz w:val="14"/>
                <w:szCs w:val="14"/>
              </w:rPr>
              <w:t>6</w:t>
            </w:r>
          </w:p>
        </w:tc>
        <w:tc>
          <w:tcPr>
            <w:tcW w:w="1134" w:type="dxa"/>
            <w:tcBorders>
              <w:bottom w:val="single" w:sz="8" w:space="0" w:color="0070AD" w:themeColor="accent1"/>
            </w:tcBorders>
            <w:shd w:val="clear" w:color="auto" w:fill="auto"/>
            <w:vAlign w:val="center"/>
          </w:tcPr>
          <w:p w14:paraId="5FB13CD6" w14:textId="77777777" w:rsidR="006D233D" w:rsidRPr="005359A0" w:rsidRDefault="006D233D" w:rsidP="006D233D">
            <w:pPr>
              <w:keepNext/>
              <w:jc w:val="center"/>
              <w:rPr>
                <w:rFonts w:cs="Arial"/>
                <w:sz w:val="14"/>
                <w:szCs w:val="14"/>
              </w:rPr>
            </w:pPr>
          </w:p>
        </w:tc>
      </w:tr>
      <w:tr w:rsidR="006D233D" w:rsidRPr="005359A0" w14:paraId="7C4855F1"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64CAA0CC" w14:textId="77777777" w:rsidR="006D233D" w:rsidRPr="005359A0" w:rsidRDefault="006D233D" w:rsidP="006D233D">
            <w:pPr>
              <w:keepNext/>
              <w:rPr>
                <w:rFonts w:cs="Arial"/>
                <w:b/>
                <w:color w:val="0070AD" w:themeColor="accent1"/>
                <w:sz w:val="14"/>
                <w:szCs w:val="14"/>
              </w:rPr>
            </w:pPr>
            <w:r>
              <w:rPr>
                <w:b/>
                <w:color w:val="0070AD" w:themeColor="accent1"/>
                <w:sz w:val="14"/>
                <w:szCs w:val="14"/>
              </w:rPr>
              <w:t>Profit for the year, Group share</w:t>
            </w:r>
          </w:p>
        </w:tc>
        <w:tc>
          <w:tcPr>
            <w:tcW w:w="1474" w:type="dxa"/>
            <w:tcBorders>
              <w:top w:val="single" w:sz="8" w:space="0" w:color="0070AD" w:themeColor="accent1"/>
              <w:bottom w:val="single" w:sz="8" w:space="0" w:color="0070AD" w:themeColor="accent1"/>
            </w:tcBorders>
            <w:shd w:val="clear" w:color="auto" w:fill="auto"/>
            <w:vAlign w:val="center"/>
          </w:tcPr>
          <w:p w14:paraId="4C87B1DD"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820</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0CBF3984" w14:textId="77777777" w:rsidR="006D233D" w:rsidRPr="005359A0" w:rsidRDefault="004B7D8C" w:rsidP="006D233D">
            <w:pPr>
              <w:keepNext/>
              <w:ind w:left="-170" w:right="397"/>
              <w:jc w:val="right"/>
              <w:rPr>
                <w:rFonts w:cs="Arial"/>
                <w:b/>
                <w:color w:val="0070AD" w:themeColor="accent1"/>
                <w:sz w:val="14"/>
                <w:szCs w:val="14"/>
              </w:rPr>
            </w:pPr>
            <w:r>
              <w:rPr>
                <w:b/>
                <w:color w:val="0070AD" w:themeColor="accent1"/>
                <w:sz w:val="14"/>
                <w:szCs w:val="14"/>
              </w:rPr>
              <w:t>730</w:t>
            </w:r>
          </w:p>
        </w:tc>
        <w:tc>
          <w:tcPr>
            <w:tcW w:w="1134" w:type="dxa"/>
            <w:tcBorders>
              <w:top w:val="single" w:sz="8" w:space="0" w:color="0070AD" w:themeColor="accent1"/>
              <w:bottom w:val="single" w:sz="8" w:space="0" w:color="0070AD" w:themeColor="accent1"/>
            </w:tcBorders>
            <w:shd w:val="clear" w:color="auto" w:fill="auto"/>
            <w:vAlign w:val="center"/>
          </w:tcPr>
          <w:p w14:paraId="1F0E2258" w14:textId="77777777" w:rsidR="006D233D" w:rsidRPr="005359A0" w:rsidRDefault="006D233D" w:rsidP="006D233D">
            <w:pPr>
              <w:keepNext/>
              <w:jc w:val="center"/>
              <w:rPr>
                <w:rFonts w:cs="Arial"/>
                <w:b/>
                <w:color w:val="0070AD" w:themeColor="accent1"/>
                <w:sz w:val="14"/>
                <w:szCs w:val="14"/>
              </w:rPr>
            </w:pPr>
            <w:r>
              <w:rPr>
                <w:b/>
                <w:color w:val="0070AD" w:themeColor="accent1"/>
                <w:sz w:val="14"/>
                <w:szCs w:val="14"/>
              </w:rPr>
              <w:t>-11%</w:t>
            </w:r>
          </w:p>
        </w:tc>
      </w:tr>
    </w:tbl>
    <w:p w14:paraId="7E1605CB" w14:textId="77777777" w:rsidR="00294C36" w:rsidRPr="005359A0" w:rsidRDefault="00294C36" w:rsidP="00294C36">
      <w:pPr>
        <w:pStyle w:val="BodyText"/>
        <w:keepLines/>
        <w:spacing w:line="240" w:lineRule="auto"/>
      </w:pPr>
    </w:p>
    <w:p w14:paraId="2DE937B4" w14:textId="77777777" w:rsidR="003E11DB" w:rsidRPr="005359A0" w:rsidRDefault="00D608EA" w:rsidP="003E11DB">
      <w:pPr>
        <w:pStyle w:val="Heading1"/>
      </w:pPr>
      <w:r>
        <w:lastRenderedPageBreak/>
        <w:t xml:space="preserve">NORMALIZED AND DILUTED EARNINGS PER SHARE </w:t>
      </w:r>
    </w:p>
    <w:tbl>
      <w:tblPr>
        <w:tblW w:w="0" w:type="auto"/>
        <w:jc w:val="center"/>
        <w:tblLook w:val="04A0" w:firstRow="1" w:lastRow="0" w:firstColumn="1" w:lastColumn="0" w:noHBand="0" w:noVBand="1"/>
      </w:tblPr>
      <w:tblGrid>
        <w:gridCol w:w="5998"/>
        <w:gridCol w:w="1474"/>
        <w:gridCol w:w="1474"/>
        <w:gridCol w:w="1134"/>
      </w:tblGrid>
      <w:tr w:rsidR="00D608EA" w:rsidRPr="005359A0" w14:paraId="01E061E4" w14:textId="77777777" w:rsidTr="001A6047">
        <w:trPr>
          <w:trHeight w:val="284"/>
          <w:jc w:val="center"/>
        </w:trPr>
        <w:tc>
          <w:tcPr>
            <w:tcW w:w="5998" w:type="dxa"/>
            <w:tcBorders>
              <w:bottom w:val="single" w:sz="8" w:space="0" w:color="0070AD" w:themeColor="accent1"/>
            </w:tcBorders>
            <w:vAlign w:val="center"/>
          </w:tcPr>
          <w:p w14:paraId="670AD113" w14:textId="77777777" w:rsidR="00D608EA" w:rsidRPr="005359A0" w:rsidRDefault="00D608EA" w:rsidP="003125DB">
            <w:pPr>
              <w:keepNext/>
              <w:widowControl w:val="0"/>
              <w:jc w:val="center"/>
              <w:rPr>
                <w:rFonts w:cs="Arial"/>
                <w:i/>
                <w:sz w:val="14"/>
                <w:szCs w:val="14"/>
              </w:rPr>
            </w:pPr>
            <w:r>
              <w:rPr>
                <w:i/>
                <w:sz w:val="14"/>
                <w:szCs w:val="14"/>
              </w:rPr>
              <w:t>(In millions of euros)</w:t>
            </w:r>
          </w:p>
        </w:tc>
        <w:tc>
          <w:tcPr>
            <w:tcW w:w="1474" w:type="dxa"/>
            <w:tcBorders>
              <w:bottom w:val="single" w:sz="8" w:space="0" w:color="0070AD" w:themeColor="accent1"/>
            </w:tcBorders>
            <w:vAlign w:val="center"/>
          </w:tcPr>
          <w:p w14:paraId="2503BA31" w14:textId="77777777" w:rsidR="00D608EA" w:rsidRPr="005359A0" w:rsidRDefault="00EB7381" w:rsidP="003125DB">
            <w:pPr>
              <w:keepNext/>
              <w:widowControl w:val="0"/>
              <w:jc w:val="center"/>
              <w:rPr>
                <w:rFonts w:cs="Arial"/>
                <w:b/>
                <w:sz w:val="14"/>
                <w:szCs w:val="14"/>
              </w:rPr>
            </w:pPr>
            <w:r>
              <w:rPr>
                <w:b/>
                <w:sz w:val="14"/>
                <w:szCs w:val="14"/>
              </w:rPr>
              <w:t>2017</w:t>
            </w:r>
          </w:p>
        </w:tc>
        <w:tc>
          <w:tcPr>
            <w:tcW w:w="1474" w:type="dxa"/>
            <w:tcBorders>
              <w:bottom w:val="single" w:sz="8" w:space="0" w:color="0070AD" w:themeColor="accent1"/>
            </w:tcBorders>
            <w:shd w:val="clear" w:color="auto" w:fill="BBE7FF" w:themeFill="accent1" w:themeFillTint="33"/>
            <w:vAlign w:val="center"/>
          </w:tcPr>
          <w:p w14:paraId="1B0AC00C" w14:textId="77777777" w:rsidR="00D608EA" w:rsidRPr="005359A0" w:rsidRDefault="00EB7381" w:rsidP="003125DB">
            <w:pPr>
              <w:keepNext/>
              <w:widowControl w:val="0"/>
              <w:jc w:val="center"/>
              <w:rPr>
                <w:rFonts w:cs="Arial"/>
                <w:b/>
                <w:sz w:val="14"/>
                <w:szCs w:val="14"/>
              </w:rPr>
            </w:pPr>
            <w:r>
              <w:rPr>
                <w:b/>
                <w:sz w:val="14"/>
                <w:szCs w:val="14"/>
              </w:rPr>
              <w:t>2018</w:t>
            </w:r>
          </w:p>
        </w:tc>
        <w:tc>
          <w:tcPr>
            <w:tcW w:w="1134" w:type="dxa"/>
            <w:tcBorders>
              <w:bottom w:val="single" w:sz="8" w:space="0" w:color="0070AD" w:themeColor="accent1"/>
            </w:tcBorders>
            <w:shd w:val="clear" w:color="auto" w:fill="auto"/>
            <w:vAlign w:val="center"/>
          </w:tcPr>
          <w:p w14:paraId="06764276" w14:textId="77777777" w:rsidR="00D608EA" w:rsidRPr="005359A0" w:rsidRDefault="00D608EA" w:rsidP="003125DB">
            <w:pPr>
              <w:keepNext/>
              <w:widowControl w:val="0"/>
              <w:jc w:val="center"/>
              <w:rPr>
                <w:rFonts w:cs="Arial"/>
                <w:b/>
                <w:i/>
                <w:sz w:val="14"/>
                <w:szCs w:val="14"/>
              </w:rPr>
            </w:pPr>
            <w:r>
              <w:rPr>
                <w:b/>
                <w:i/>
                <w:sz w:val="14"/>
                <w:szCs w:val="14"/>
              </w:rPr>
              <w:t>Change</w:t>
            </w:r>
          </w:p>
        </w:tc>
      </w:tr>
      <w:tr w:rsidR="006D233D" w:rsidRPr="005359A0" w14:paraId="25B545DB"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18182413" w14:textId="77777777" w:rsidR="006D233D" w:rsidRPr="005359A0" w:rsidRDefault="006D233D" w:rsidP="006D233D">
            <w:pPr>
              <w:keepNext/>
              <w:widowControl w:val="0"/>
              <w:ind w:left="149"/>
              <w:rPr>
                <w:rFonts w:cs="Arial"/>
                <w:sz w:val="14"/>
                <w:szCs w:val="14"/>
              </w:rPr>
            </w:pPr>
            <w:r>
              <w:rPr>
                <w:sz w:val="14"/>
                <w:szCs w:val="14"/>
              </w:rPr>
              <w:t>Average number of shares outstanding</w:t>
            </w:r>
          </w:p>
        </w:tc>
        <w:tc>
          <w:tcPr>
            <w:tcW w:w="1474" w:type="dxa"/>
            <w:tcBorders>
              <w:top w:val="single" w:sz="8" w:space="0" w:color="0070AD" w:themeColor="accent1"/>
              <w:bottom w:val="single" w:sz="8" w:space="0" w:color="0070AD" w:themeColor="accent1"/>
            </w:tcBorders>
            <w:shd w:val="clear" w:color="auto" w:fill="auto"/>
            <w:vAlign w:val="center"/>
          </w:tcPr>
          <w:p w14:paraId="712CA1E0" w14:textId="77777777" w:rsidR="006D233D" w:rsidRPr="005359A0" w:rsidRDefault="006D233D" w:rsidP="006D233D">
            <w:pPr>
              <w:keepNext/>
              <w:widowControl w:val="0"/>
              <w:jc w:val="center"/>
              <w:rPr>
                <w:rFonts w:cs="Arial"/>
                <w:sz w:val="14"/>
                <w:szCs w:val="14"/>
              </w:rPr>
            </w:pPr>
            <w:r>
              <w:rPr>
                <w:sz w:val="14"/>
                <w:szCs w:val="14"/>
              </w:rPr>
              <w:t>168,057,561</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584B0F53" w14:textId="77777777" w:rsidR="006D233D" w:rsidRPr="005359A0" w:rsidRDefault="00D91D72" w:rsidP="006D233D">
            <w:pPr>
              <w:keepNext/>
              <w:widowControl w:val="0"/>
              <w:jc w:val="center"/>
              <w:rPr>
                <w:rFonts w:cs="Arial"/>
                <w:sz w:val="14"/>
                <w:szCs w:val="14"/>
              </w:rPr>
            </w:pPr>
            <w:r>
              <w:rPr>
                <w:sz w:val="14"/>
                <w:szCs w:val="14"/>
              </w:rPr>
              <w:t>167,088,363</w:t>
            </w:r>
          </w:p>
        </w:tc>
        <w:tc>
          <w:tcPr>
            <w:tcW w:w="1134" w:type="dxa"/>
            <w:tcBorders>
              <w:top w:val="single" w:sz="8" w:space="0" w:color="0070AD" w:themeColor="accent1"/>
              <w:bottom w:val="single" w:sz="8" w:space="0" w:color="0070AD" w:themeColor="accent1"/>
            </w:tcBorders>
            <w:shd w:val="clear" w:color="auto" w:fill="auto"/>
            <w:vAlign w:val="center"/>
          </w:tcPr>
          <w:p w14:paraId="5297D438" w14:textId="77777777" w:rsidR="006D233D" w:rsidRPr="005359A0" w:rsidRDefault="006D233D" w:rsidP="006D233D">
            <w:pPr>
              <w:keepNext/>
              <w:widowControl w:val="0"/>
              <w:jc w:val="center"/>
              <w:rPr>
                <w:rFonts w:cs="Arial"/>
                <w:sz w:val="14"/>
                <w:szCs w:val="14"/>
              </w:rPr>
            </w:pPr>
          </w:p>
        </w:tc>
      </w:tr>
      <w:tr w:rsidR="006D233D" w:rsidRPr="005359A0" w14:paraId="29498CEF"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3645B069" w14:textId="77777777" w:rsidR="006D233D" w:rsidRPr="005359A0" w:rsidRDefault="006D233D" w:rsidP="006D233D">
            <w:pPr>
              <w:keepNext/>
              <w:widowControl w:val="0"/>
              <w:rPr>
                <w:rFonts w:cs="Arial"/>
                <w:b/>
                <w:caps/>
                <w:color w:val="0070AD" w:themeColor="accent1"/>
                <w:sz w:val="14"/>
                <w:szCs w:val="14"/>
              </w:rPr>
            </w:pPr>
            <w:r>
              <w:rPr>
                <w:b/>
                <w:color w:val="0070AD" w:themeColor="accent1"/>
                <w:sz w:val="14"/>
                <w:szCs w:val="14"/>
              </w:rPr>
              <w:t>Basic earnings per share (in euros)</w:t>
            </w:r>
          </w:p>
        </w:tc>
        <w:tc>
          <w:tcPr>
            <w:tcW w:w="1474" w:type="dxa"/>
            <w:tcBorders>
              <w:top w:val="single" w:sz="8" w:space="0" w:color="0070AD" w:themeColor="accent1"/>
              <w:bottom w:val="single" w:sz="8" w:space="0" w:color="0070AD" w:themeColor="accent1"/>
            </w:tcBorders>
            <w:shd w:val="clear" w:color="auto" w:fill="auto"/>
            <w:vAlign w:val="center"/>
          </w:tcPr>
          <w:p w14:paraId="2A8D7B6C"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4.88</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10C49875" w14:textId="77777777" w:rsidR="006D233D" w:rsidRPr="005359A0" w:rsidRDefault="00D91D72" w:rsidP="006D233D">
            <w:pPr>
              <w:keepNext/>
              <w:ind w:left="-170" w:right="397"/>
              <w:jc w:val="right"/>
              <w:rPr>
                <w:rFonts w:cs="Arial"/>
                <w:b/>
                <w:color w:val="0070AD" w:themeColor="accent1"/>
                <w:sz w:val="14"/>
                <w:szCs w:val="14"/>
              </w:rPr>
            </w:pPr>
            <w:r>
              <w:rPr>
                <w:b/>
                <w:color w:val="0070AD" w:themeColor="accent1"/>
                <w:sz w:val="14"/>
                <w:szCs w:val="14"/>
              </w:rPr>
              <w:t>4.37</w:t>
            </w:r>
          </w:p>
        </w:tc>
        <w:tc>
          <w:tcPr>
            <w:tcW w:w="1134" w:type="dxa"/>
            <w:tcBorders>
              <w:top w:val="single" w:sz="8" w:space="0" w:color="0070AD" w:themeColor="accent1"/>
              <w:bottom w:val="single" w:sz="8" w:space="0" w:color="0070AD" w:themeColor="accent1"/>
            </w:tcBorders>
            <w:shd w:val="clear" w:color="auto" w:fill="auto"/>
            <w:vAlign w:val="center"/>
          </w:tcPr>
          <w:p w14:paraId="61197926" w14:textId="77777777" w:rsidR="006D233D" w:rsidRPr="005359A0" w:rsidRDefault="006D233D" w:rsidP="006D233D">
            <w:pPr>
              <w:keepNext/>
              <w:widowControl w:val="0"/>
              <w:jc w:val="center"/>
              <w:rPr>
                <w:rFonts w:cs="Arial"/>
                <w:b/>
                <w:color w:val="0070AD" w:themeColor="accent1"/>
                <w:sz w:val="14"/>
                <w:szCs w:val="14"/>
              </w:rPr>
            </w:pPr>
            <w:r>
              <w:rPr>
                <w:b/>
                <w:color w:val="0070AD" w:themeColor="accent1"/>
                <w:sz w:val="14"/>
                <w:szCs w:val="14"/>
              </w:rPr>
              <w:t>-10%</w:t>
            </w:r>
          </w:p>
        </w:tc>
      </w:tr>
      <w:tr w:rsidR="006D233D" w:rsidRPr="005359A0" w14:paraId="478A167D"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05B07668" w14:textId="77777777" w:rsidR="006D233D" w:rsidRPr="005359A0" w:rsidRDefault="006D233D" w:rsidP="006D233D">
            <w:pPr>
              <w:keepNext/>
              <w:widowControl w:val="0"/>
              <w:ind w:left="149"/>
              <w:rPr>
                <w:rFonts w:cs="Arial"/>
                <w:sz w:val="14"/>
                <w:szCs w:val="14"/>
              </w:rPr>
            </w:pPr>
            <w:r>
              <w:rPr>
                <w:sz w:val="14"/>
                <w:szCs w:val="14"/>
              </w:rPr>
              <w:t>Diluted average number of shares outstanding</w:t>
            </w:r>
          </w:p>
        </w:tc>
        <w:tc>
          <w:tcPr>
            <w:tcW w:w="1474" w:type="dxa"/>
            <w:tcBorders>
              <w:top w:val="single" w:sz="8" w:space="0" w:color="0070AD" w:themeColor="accent1"/>
              <w:bottom w:val="single" w:sz="8" w:space="0" w:color="0070AD" w:themeColor="accent1"/>
            </w:tcBorders>
            <w:shd w:val="clear" w:color="auto" w:fill="auto"/>
            <w:vAlign w:val="center"/>
          </w:tcPr>
          <w:p w14:paraId="5DBB357E" w14:textId="77777777" w:rsidR="006D233D" w:rsidRPr="005359A0" w:rsidRDefault="006D233D" w:rsidP="006D233D">
            <w:pPr>
              <w:keepNext/>
              <w:widowControl w:val="0"/>
              <w:jc w:val="center"/>
              <w:rPr>
                <w:rFonts w:cs="Arial"/>
                <w:sz w:val="14"/>
                <w:szCs w:val="14"/>
              </w:rPr>
            </w:pPr>
            <w:r>
              <w:rPr>
                <w:sz w:val="14"/>
                <w:szCs w:val="14"/>
              </w:rPr>
              <w:t>172,082,122</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72000813" w14:textId="77777777" w:rsidR="006D233D" w:rsidRPr="005359A0" w:rsidRDefault="00D91D72" w:rsidP="006D233D">
            <w:pPr>
              <w:keepNext/>
              <w:widowControl w:val="0"/>
              <w:jc w:val="center"/>
              <w:rPr>
                <w:rFonts w:cs="Arial"/>
                <w:sz w:val="14"/>
                <w:szCs w:val="14"/>
              </w:rPr>
            </w:pPr>
            <w:r>
              <w:rPr>
                <w:sz w:val="14"/>
                <w:szCs w:val="14"/>
              </w:rPr>
              <w:t>171,697,335</w:t>
            </w:r>
          </w:p>
        </w:tc>
        <w:tc>
          <w:tcPr>
            <w:tcW w:w="1134" w:type="dxa"/>
            <w:tcBorders>
              <w:top w:val="single" w:sz="8" w:space="0" w:color="0070AD" w:themeColor="accent1"/>
              <w:bottom w:val="single" w:sz="8" w:space="0" w:color="0070AD" w:themeColor="accent1"/>
            </w:tcBorders>
            <w:shd w:val="clear" w:color="auto" w:fill="auto"/>
            <w:vAlign w:val="center"/>
          </w:tcPr>
          <w:p w14:paraId="0642B0ED" w14:textId="77777777" w:rsidR="006D233D" w:rsidRPr="005359A0" w:rsidRDefault="006D233D" w:rsidP="006D233D">
            <w:pPr>
              <w:keepNext/>
              <w:widowControl w:val="0"/>
              <w:jc w:val="center"/>
              <w:rPr>
                <w:rFonts w:cs="Arial"/>
                <w:sz w:val="14"/>
                <w:szCs w:val="14"/>
              </w:rPr>
            </w:pPr>
          </w:p>
        </w:tc>
      </w:tr>
      <w:tr w:rsidR="006D233D" w:rsidRPr="005359A0" w14:paraId="4B28F56D"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178DA190" w14:textId="77777777" w:rsidR="006D233D" w:rsidRPr="005359A0" w:rsidRDefault="006D233D" w:rsidP="006D233D">
            <w:pPr>
              <w:widowControl w:val="0"/>
              <w:rPr>
                <w:rFonts w:cs="Arial"/>
                <w:b/>
                <w:caps/>
                <w:color w:val="0070AD" w:themeColor="accent1"/>
                <w:sz w:val="14"/>
                <w:szCs w:val="14"/>
              </w:rPr>
            </w:pPr>
            <w:r>
              <w:rPr>
                <w:b/>
                <w:color w:val="0070AD" w:themeColor="accent1"/>
                <w:sz w:val="14"/>
                <w:szCs w:val="14"/>
              </w:rPr>
              <w:t>Diluted earnings per share (in euros)</w:t>
            </w:r>
          </w:p>
        </w:tc>
        <w:tc>
          <w:tcPr>
            <w:tcW w:w="1474" w:type="dxa"/>
            <w:tcBorders>
              <w:top w:val="single" w:sz="8" w:space="0" w:color="0070AD" w:themeColor="accent1"/>
              <w:bottom w:val="single" w:sz="8" w:space="0" w:color="0070AD" w:themeColor="accent1"/>
            </w:tcBorders>
            <w:shd w:val="clear" w:color="auto" w:fill="auto"/>
            <w:vAlign w:val="center"/>
          </w:tcPr>
          <w:p w14:paraId="2F7BD739"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4.76</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3CFC6B3E"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4.25</w:t>
            </w:r>
          </w:p>
        </w:tc>
        <w:tc>
          <w:tcPr>
            <w:tcW w:w="1134" w:type="dxa"/>
            <w:tcBorders>
              <w:top w:val="single" w:sz="8" w:space="0" w:color="0070AD" w:themeColor="accent1"/>
              <w:bottom w:val="single" w:sz="8" w:space="0" w:color="0070AD" w:themeColor="accent1"/>
            </w:tcBorders>
            <w:shd w:val="clear" w:color="auto" w:fill="auto"/>
            <w:vAlign w:val="center"/>
          </w:tcPr>
          <w:p w14:paraId="3AAAF294" w14:textId="77777777" w:rsidR="006D233D" w:rsidRPr="005359A0" w:rsidRDefault="006D233D" w:rsidP="006D233D">
            <w:pPr>
              <w:widowControl w:val="0"/>
              <w:jc w:val="center"/>
              <w:rPr>
                <w:rFonts w:cs="Arial"/>
                <w:b/>
                <w:color w:val="0070AD" w:themeColor="accent1"/>
                <w:sz w:val="14"/>
                <w:szCs w:val="14"/>
              </w:rPr>
            </w:pPr>
            <w:r>
              <w:rPr>
                <w:b/>
                <w:color w:val="0070AD" w:themeColor="accent1"/>
                <w:sz w:val="14"/>
                <w:szCs w:val="14"/>
              </w:rPr>
              <w:t>-11%</w:t>
            </w:r>
          </w:p>
        </w:tc>
      </w:tr>
      <w:tr w:rsidR="006D233D" w:rsidRPr="005359A0" w14:paraId="026AC9BC" w14:textId="77777777" w:rsidTr="001A6047">
        <w:trPr>
          <w:trHeight w:val="227"/>
          <w:jc w:val="center"/>
        </w:trPr>
        <w:tc>
          <w:tcPr>
            <w:tcW w:w="5998" w:type="dxa"/>
            <w:tcBorders>
              <w:top w:val="single" w:sz="8" w:space="0" w:color="0070AD" w:themeColor="accent1"/>
            </w:tcBorders>
            <w:shd w:val="clear" w:color="auto" w:fill="auto"/>
            <w:vAlign w:val="center"/>
          </w:tcPr>
          <w:p w14:paraId="7D5C3262" w14:textId="77777777" w:rsidR="006D233D" w:rsidRPr="005359A0" w:rsidRDefault="006D233D" w:rsidP="006D233D">
            <w:pPr>
              <w:widowControl w:val="0"/>
              <w:rPr>
                <w:rFonts w:cs="Arial"/>
                <w:b/>
                <w:color w:val="0070AD" w:themeColor="accent1"/>
                <w:sz w:val="14"/>
                <w:szCs w:val="14"/>
              </w:rPr>
            </w:pPr>
          </w:p>
        </w:tc>
        <w:tc>
          <w:tcPr>
            <w:tcW w:w="1474" w:type="dxa"/>
            <w:tcBorders>
              <w:top w:val="single" w:sz="8" w:space="0" w:color="0070AD" w:themeColor="accent1"/>
            </w:tcBorders>
            <w:shd w:val="clear" w:color="auto" w:fill="auto"/>
            <w:vAlign w:val="center"/>
          </w:tcPr>
          <w:p w14:paraId="5505C6FF" w14:textId="77777777" w:rsidR="006D233D" w:rsidRPr="005359A0" w:rsidRDefault="006D233D" w:rsidP="006D233D">
            <w:pPr>
              <w:widowControl w:val="0"/>
              <w:ind w:left="-170" w:right="567"/>
              <w:jc w:val="right"/>
              <w:rPr>
                <w:rFonts w:cs="Arial"/>
                <w:b/>
                <w:color w:val="0070AD" w:themeColor="accent1"/>
                <w:sz w:val="14"/>
                <w:szCs w:val="14"/>
              </w:rPr>
            </w:pPr>
          </w:p>
        </w:tc>
        <w:tc>
          <w:tcPr>
            <w:tcW w:w="1474" w:type="dxa"/>
            <w:tcBorders>
              <w:top w:val="single" w:sz="8" w:space="0" w:color="0070AD" w:themeColor="accent1"/>
            </w:tcBorders>
            <w:shd w:val="clear" w:color="auto" w:fill="auto"/>
            <w:vAlign w:val="center"/>
          </w:tcPr>
          <w:p w14:paraId="59B005F8" w14:textId="77777777" w:rsidR="006D233D" w:rsidRPr="005359A0" w:rsidRDefault="006D233D" w:rsidP="006D233D">
            <w:pPr>
              <w:widowControl w:val="0"/>
              <w:ind w:left="-170" w:right="567"/>
              <w:jc w:val="right"/>
              <w:rPr>
                <w:rFonts w:cs="Arial"/>
                <w:b/>
                <w:color w:val="0070AD" w:themeColor="accent1"/>
                <w:sz w:val="14"/>
                <w:szCs w:val="14"/>
              </w:rPr>
            </w:pPr>
          </w:p>
        </w:tc>
        <w:tc>
          <w:tcPr>
            <w:tcW w:w="1134" w:type="dxa"/>
            <w:tcBorders>
              <w:top w:val="single" w:sz="8" w:space="0" w:color="0070AD" w:themeColor="accent1"/>
            </w:tcBorders>
            <w:shd w:val="clear" w:color="auto" w:fill="auto"/>
            <w:vAlign w:val="center"/>
          </w:tcPr>
          <w:p w14:paraId="50E1D30F" w14:textId="77777777" w:rsidR="006D233D" w:rsidRPr="005359A0" w:rsidRDefault="006D233D" w:rsidP="006D233D">
            <w:pPr>
              <w:widowControl w:val="0"/>
              <w:jc w:val="center"/>
              <w:rPr>
                <w:rFonts w:cs="Arial"/>
                <w:b/>
                <w:color w:val="0070AD" w:themeColor="accent1"/>
                <w:sz w:val="14"/>
                <w:szCs w:val="14"/>
              </w:rPr>
            </w:pPr>
          </w:p>
        </w:tc>
      </w:tr>
      <w:tr w:rsidR="006D233D" w:rsidRPr="005359A0" w14:paraId="5C783C28" w14:textId="77777777" w:rsidTr="001A6047">
        <w:trPr>
          <w:trHeight w:val="284"/>
          <w:jc w:val="center"/>
        </w:trPr>
        <w:tc>
          <w:tcPr>
            <w:tcW w:w="5998" w:type="dxa"/>
            <w:tcBorders>
              <w:bottom w:val="single" w:sz="8" w:space="0" w:color="0070AD" w:themeColor="accent1"/>
            </w:tcBorders>
            <w:vAlign w:val="center"/>
          </w:tcPr>
          <w:p w14:paraId="55C9D842" w14:textId="77777777" w:rsidR="006D233D" w:rsidRPr="005359A0" w:rsidRDefault="006D233D" w:rsidP="006D233D">
            <w:pPr>
              <w:keepNext/>
              <w:widowControl w:val="0"/>
              <w:jc w:val="center"/>
              <w:rPr>
                <w:rFonts w:cs="Arial"/>
                <w:i/>
                <w:sz w:val="14"/>
                <w:szCs w:val="14"/>
              </w:rPr>
            </w:pPr>
            <w:r>
              <w:rPr>
                <w:i/>
                <w:sz w:val="14"/>
                <w:szCs w:val="14"/>
              </w:rPr>
              <w:t>(In millions of euros)</w:t>
            </w:r>
          </w:p>
        </w:tc>
        <w:tc>
          <w:tcPr>
            <w:tcW w:w="1474" w:type="dxa"/>
            <w:tcBorders>
              <w:bottom w:val="single" w:sz="8" w:space="0" w:color="0070AD" w:themeColor="accent1"/>
            </w:tcBorders>
            <w:vAlign w:val="center"/>
          </w:tcPr>
          <w:p w14:paraId="3B7A4734" w14:textId="4C1E7E5A" w:rsidR="006D233D" w:rsidRPr="005359A0" w:rsidRDefault="00300F7F" w:rsidP="006D233D">
            <w:pPr>
              <w:keepNext/>
              <w:widowControl w:val="0"/>
              <w:jc w:val="center"/>
              <w:rPr>
                <w:rFonts w:cs="Arial"/>
                <w:b/>
                <w:sz w:val="14"/>
                <w:szCs w:val="14"/>
              </w:rPr>
            </w:pPr>
            <w:r>
              <w:rPr>
                <w:b/>
                <w:sz w:val="14"/>
                <w:szCs w:val="14"/>
              </w:rPr>
              <w:t>2017</w:t>
            </w:r>
          </w:p>
        </w:tc>
        <w:tc>
          <w:tcPr>
            <w:tcW w:w="1474" w:type="dxa"/>
            <w:tcBorders>
              <w:bottom w:val="single" w:sz="8" w:space="0" w:color="0070AD" w:themeColor="accent1"/>
            </w:tcBorders>
            <w:shd w:val="clear" w:color="auto" w:fill="BBE7FF" w:themeFill="accent1" w:themeFillTint="33"/>
            <w:vAlign w:val="center"/>
          </w:tcPr>
          <w:p w14:paraId="5D0A5D98" w14:textId="77777777" w:rsidR="006D233D" w:rsidRPr="005359A0" w:rsidRDefault="006D233D" w:rsidP="006D233D">
            <w:pPr>
              <w:keepNext/>
              <w:widowControl w:val="0"/>
              <w:jc w:val="center"/>
              <w:rPr>
                <w:rFonts w:cs="Arial"/>
                <w:b/>
                <w:sz w:val="14"/>
                <w:szCs w:val="14"/>
              </w:rPr>
            </w:pPr>
            <w:r>
              <w:rPr>
                <w:b/>
                <w:sz w:val="14"/>
                <w:szCs w:val="14"/>
              </w:rPr>
              <w:t>2018</w:t>
            </w:r>
          </w:p>
        </w:tc>
        <w:tc>
          <w:tcPr>
            <w:tcW w:w="1134" w:type="dxa"/>
            <w:tcBorders>
              <w:bottom w:val="single" w:sz="8" w:space="0" w:color="0070AD" w:themeColor="accent1"/>
            </w:tcBorders>
            <w:shd w:val="clear" w:color="auto" w:fill="auto"/>
            <w:vAlign w:val="center"/>
          </w:tcPr>
          <w:p w14:paraId="71B589E6" w14:textId="77777777" w:rsidR="006D233D" w:rsidRPr="005359A0" w:rsidRDefault="006D233D" w:rsidP="006D233D">
            <w:pPr>
              <w:keepNext/>
              <w:widowControl w:val="0"/>
              <w:jc w:val="center"/>
              <w:rPr>
                <w:rFonts w:cs="Arial"/>
                <w:b/>
                <w:i/>
                <w:sz w:val="14"/>
                <w:szCs w:val="14"/>
              </w:rPr>
            </w:pPr>
            <w:r>
              <w:rPr>
                <w:b/>
                <w:i/>
                <w:sz w:val="14"/>
                <w:szCs w:val="14"/>
              </w:rPr>
              <w:t>Change</w:t>
            </w:r>
          </w:p>
        </w:tc>
      </w:tr>
      <w:tr w:rsidR="006D233D" w:rsidRPr="005359A0" w14:paraId="16956CBA"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0BA8B143" w14:textId="77777777" w:rsidR="006D233D" w:rsidRPr="005359A0" w:rsidRDefault="006D233D" w:rsidP="006D233D">
            <w:pPr>
              <w:keepNext/>
              <w:widowControl w:val="0"/>
              <w:rPr>
                <w:rFonts w:cs="Arial"/>
                <w:b/>
                <w:color w:val="0070AD" w:themeColor="accent1"/>
                <w:sz w:val="14"/>
                <w:szCs w:val="14"/>
              </w:rPr>
            </w:pPr>
            <w:r>
              <w:rPr>
                <w:b/>
                <w:color w:val="0070AD" w:themeColor="accent1"/>
                <w:sz w:val="14"/>
                <w:szCs w:val="14"/>
              </w:rPr>
              <w:t>Profit for the year, Group share</w:t>
            </w:r>
          </w:p>
        </w:tc>
        <w:tc>
          <w:tcPr>
            <w:tcW w:w="1474" w:type="dxa"/>
            <w:tcBorders>
              <w:top w:val="single" w:sz="8" w:space="0" w:color="0070AD" w:themeColor="accent1"/>
              <w:bottom w:val="single" w:sz="8" w:space="0" w:color="0070AD" w:themeColor="accent1"/>
            </w:tcBorders>
            <w:shd w:val="clear" w:color="auto" w:fill="auto"/>
            <w:vAlign w:val="center"/>
          </w:tcPr>
          <w:p w14:paraId="61A50BF0"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820</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13C7E3A9" w14:textId="77777777" w:rsidR="006D233D" w:rsidRPr="005359A0" w:rsidRDefault="009B6A3E" w:rsidP="006D233D">
            <w:pPr>
              <w:keepNext/>
              <w:ind w:left="-170" w:right="397"/>
              <w:jc w:val="right"/>
              <w:rPr>
                <w:rFonts w:cs="Arial"/>
                <w:b/>
                <w:color w:val="0070AD" w:themeColor="accent1"/>
                <w:sz w:val="14"/>
                <w:szCs w:val="14"/>
              </w:rPr>
            </w:pPr>
            <w:r>
              <w:rPr>
                <w:b/>
                <w:color w:val="0070AD" w:themeColor="accent1"/>
                <w:sz w:val="14"/>
                <w:szCs w:val="14"/>
              </w:rPr>
              <w:t>730</w:t>
            </w:r>
          </w:p>
        </w:tc>
        <w:tc>
          <w:tcPr>
            <w:tcW w:w="1134" w:type="dxa"/>
            <w:tcBorders>
              <w:top w:val="single" w:sz="8" w:space="0" w:color="0070AD" w:themeColor="accent1"/>
              <w:bottom w:val="single" w:sz="8" w:space="0" w:color="0070AD" w:themeColor="accent1"/>
            </w:tcBorders>
            <w:shd w:val="clear" w:color="auto" w:fill="auto"/>
            <w:vAlign w:val="center"/>
          </w:tcPr>
          <w:p w14:paraId="76758C54" w14:textId="77777777" w:rsidR="006D233D" w:rsidRPr="005359A0" w:rsidRDefault="006D233D" w:rsidP="006D233D">
            <w:pPr>
              <w:keepNext/>
              <w:widowControl w:val="0"/>
              <w:jc w:val="center"/>
              <w:rPr>
                <w:rFonts w:cs="Arial"/>
                <w:b/>
                <w:color w:val="0070AD" w:themeColor="accent1"/>
                <w:sz w:val="14"/>
                <w:szCs w:val="14"/>
              </w:rPr>
            </w:pPr>
          </w:p>
        </w:tc>
      </w:tr>
      <w:tr w:rsidR="006D233D" w:rsidRPr="005359A0" w14:paraId="7A3F0BFB" w14:textId="77777777" w:rsidTr="001A6047">
        <w:trPr>
          <w:trHeight w:val="227"/>
          <w:jc w:val="center"/>
        </w:trPr>
        <w:tc>
          <w:tcPr>
            <w:tcW w:w="5998" w:type="dxa"/>
            <w:tcBorders>
              <w:top w:val="single" w:sz="8" w:space="0" w:color="0070AD" w:themeColor="accent1"/>
            </w:tcBorders>
            <w:vAlign w:val="center"/>
          </w:tcPr>
          <w:p w14:paraId="7D78D8EF" w14:textId="294DF635" w:rsidR="006D233D" w:rsidRPr="005359A0" w:rsidRDefault="006D233D" w:rsidP="006D233D">
            <w:pPr>
              <w:keepNext/>
              <w:widowControl w:val="0"/>
              <w:ind w:left="149"/>
              <w:rPr>
                <w:rFonts w:cs="Arial"/>
                <w:sz w:val="14"/>
                <w:szCs w:val="14"/>
              </w:rPr>
            </w:pPr>
            <w:r>
              <w:rPr>
                <w:sz w:val="14"/>
                <w:szCs w:val="14"/>
              </w:rPr>
              <w:t xml:space="preserve">Effective tax rate, </w:t>
            </w:r>
            <w:r w:rsidR="00300F7F" w:rsidRPr="00300F7F">
              <w:rPr>
                <w:sz w:val="14"/>
                <w:szCs w:val="14"/>
              </w:rPr>
              <w:t>excluding the transitional tax expense</w:t>
            </w:r>
          </w:p>
        </w:tc>
        <w:tc>
          <w:tcPr>
            <w:tcW w:w="1474" w:type="dxa"/>
            <w:tcBorders>
              <w:top w:val="single" w:sz="8" w:space="0" w:color="0070AD" w:themeColor="accent1"/>
            </w:tcBorders>
            <w:shd w:val="clear" w:color="auto" w:fill="auto"/>
            <w:vAlign w:val="center"/>
          </w:tcPr>
          <w:p w14:paraId="20273FF6" w14:textId="77777777" w:rsidR="006D233D" w:rsidRPr="005359A0" w:rsidRDefault="006D233D" w:rsidP="006D233D">
            <w:pPr>
              <w:keepNext/>
              <w:ind w:left="-170" w:right="397"/>
              <w:jc w:val="right"/>
              <w:rPr>
                <w:rFonts w:cs="Arial"/>
                <w:sz w:val="14"/>
                <w:szCs w:val="14"/>
              </w:rPr>
            </w:pPr>
            <w:r>
              <w:rPr>
                <w:sz w:val="14"/>
                <w:szCs w:val="14"/>
              </w:rPr>
              <w:t>27.3%</w:t>
            </w:r>
          </w:p>
        </w:tc>
        <w:tc>
          <w:tcPr>
            <w:tcW w:w="1474" w:type="dxa"/>
            <w:tcBorders>
              <w:top w:val="single" w:sz="8" w:space="0" w:color="0070AD" w:themeColor="accent1"/>
            </w:tcBorders>
            <w:shd w:val="clear" w:color="auto" w:fill="BBE7FF" w:themeFill="accent1" w:themeFillTint="33"/>
            <w:vAlign w:val="center"/>
          </w:tcPr>
          <w:p w14:paraId="1CCD9304" w14:textId="77777777" w:rsidR="006D233D" w:rsidRPr="005359A0" w:rsidRDefault="009B6A3E" w:rsidP="006D233D">
            <w:pPr>
              <w:keepNext/>
              <w:ind w:left="-170" w:right="397"/>
              <w:jc w:val="right"/>
              <w:rPr>
                <w:rFonts w:cs="Arial"/>
                <w:sz w:val="14"/>
                <w:szCs w:val="14"/>
              </w:rPr>
            </w:pPr>
            <w:r>
              <w:rPr>
                <w:sz w:val="14"/>
                <w:szCs w:val="14"/>
              </w:rPr>
              <w:t>33.7%</w:t>
            </w:r>
          </w:p>
        </w:tc>
        <w:tc>
          <w:tcPr>
            <w:tcW w:w="1134" w:type="dxa"/>
            <w:tcBorders>
              <w:top w:val="single" w:sz="8" w:space="0" w:color="0070AD" w:themeColor="accent1"/>
            </w:tcBorders>
            <w:shd w:val="clear" w:color="auto" w:fill="auto"/>
            <w:vAlign w:val="center"/>
          </w:tcPr>
          <w:p w14:paraId="158DC158" w14:textId="77777777" w:rsidR="006D233D" w:rsidRPr="005359A0" w:rsidRDefault="006D233D" w:rsidP="006D233D">
            <w:pPr>
              <w:keepNext/>
              <w:widowControl w:val="0"/>
              <w:jc w:val="center"/>
              <w:rPr>
                <w:rFonts w:cs="Arial"/>
                <w:sz w:val="14"/>
                <w:szCs w:val="14"/>
              </w:rPr>
            </w:pPr>
          </w:p>
        </w:tc>
      </w:tr>
      <w:tr w:rsidR="006D233D" w:rsidRPr="005359A0" w14:paraId="1B035623" w14:textId="77777777" w:rsidTr="001A6047">
        <w:trPr>
          <w:trHeight w:val="227"/>
          <w:jc w:val="center"/>
        </w:trPr>
        <w:tc>
          <w:tcPr>
            <w:tcW w:w="5998" w:type="dxa"/>
            <w:tcBorders>
              <w:bottom w:val="single" w:sz="8" w:space="0" w:color="0070AD" w:themeColor="accent1"/>
            </w:tcBorders>
            <w:vAlign w:val="center"/>
          </w:tcPr>
          <w:p w14:paraId="5FBB932B" w14:textId="77777777" w:rsidR="006D233D" w:rsidRPr="005359A0" w:rsidRDefault="006D233D" w:rsidP="006D233D">
            <w:pPr>
              <w:keepNext/>
              <w:widowControl w:val="0"/>
              <w:ind w:left="149"/>
              <w:rPr>
                <w:rFonts w:cs="Arial"/>
                <w:sz w:val="14"/>
                <w:szCs w:val="14"/>
              </w:rPr>
            </w:pPr>
            <w:r>
              <w:rPr>
                <w:sz w:val="14"/>
                <w:szCs w:val="14"/>
              </w:rPr>
              <w:t>(-) Other operating income and expenses, net of tax</w:t>
            </w:r>
          </w:p>
        </w:tc>
        <w:tc>
          <w:tcPr>
            <w:tcW w:w="1474" w:type="dxa"/>
            <w:tcBorders>
              <w:bottom w:val="single" w:sz="8" w:space="0" w:color="0070AD" w:themeColor="accent1"/>
            </w:tcBorders>
            <w:shd w:val="clear" w:color="auto" w:fill="auto"/>
            <w:vAlign w:val="center"/>
          </w:tcPr>
          <w:p w14:paraId="3A09C38B" w14:textId="77777777" w:rsidR="006D233D" w:rsidRPr="005359A0" w:rsidRDefault="006D233D" w:rsidP="006D233D">
            <w:pPr>
              <w:keepNext/>
              <w:ind w:left="-170" w:right="397"/>
              <w:jc w:val="right"/>
              <w:rPr>
                <w:rFonts w:cs="Arial"/>
                <w:sz w:val="14"/>
                <w:szCs w:val="14"/>
              </w:rPr>
            </w:pPr>
            <w:r>
              <w:rPr>
                <w:sz w:val="14"/>
                <w:szCs w:val="14"/>
              </w:rPr>
              <w:t>226</w:t>
            </w:r>
          </w:p>
        </w:tc>
        <w:tc>
          <w:tcPr>
            <w:tcW w:w="1474" w:type="dxa"/>
            <w:tcBorders>
              <w:bottom w:val="single" w:sz="8" w:space="0" w:color="0070AD" w:themeColor="accent1"/>
            </w:tcBorders>
            <w:shd w:val="clear" w:color="auto" w:fill="BBE7FF" w:themeFill="accent1" w:themeFillTint="33"/>
            <w:vAlign w:val="center"/>
          </w:tcPr>
          <w:p w14:paraId="239F8D0E" w14:textId="77777777" w:rsidR="006D233D" w:rsidRPr="005359A0" w:rsidRDefault="009B6A3E" w:rsidP="006D233D">
            <w:pPr>
              <w:keepNext/>
              <w:ind w:left="-170" w:right="397"/>
              <w:jc w:val="right"/>
              <w:rPr>
                <w:rFonts w:cs="Arial"/>
                <w:sz w:val="14"/>
                <w:szCs w:val="14"/>
              </w:rPr>
            </w:pPr>
            <w:r>
              <w:rPr>
                <w:sz w:val="14"/>
                <w:szCs w:val="14"/>
              </w:rPr>
              <w:t>229</w:t>
            </w:r>
          </w:p>
        </w:tc>
        <w:tc>
          <w:tcPr>
            <w:tcW w:w="1134" w:type="dxa"/>
            <w:tcBorders>
              <w:bottom w:val="single" w:sz="8" w:space="0" w:color="0070AD" w:themeColor="accent1"/>
            </w:tcBorders>
            <w:shd w:val="clear" w:color="auto" w:fill="auto"/>
            <w:vAlign w:val="center"/>
          </w:tcPr>
          <w:p w14:paraId="3AF31898" w14:textId="77777777" w:rsidR="006D233D" w:rsidRPr="005359A0" w:rsidRDefault="006D233D" w:rsidP="006D233D">
            <w:pPr>
              <w:keepNext/>
              <w:widowControl w:val="0"/>
              <w:jc w:val="center"/>
              <w:rPr>
                <w:rFonts w:cs="Arial"/>
                <w:sz w:val="14"/>
                <w:szCs w:val="14"/>
              </w:rPr>
            </w:pPr>
          </w:p>
        </w:tc>
      </w:tr>
      <w:tr w:rsidR="006D233D" w:rsidRPr="005359A0" w14:paraId="247D1A6A"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6A0C4B2A" w14:textId="77777777" w:rsidR="006D233D" w:rsidRPr="005359A0" w:rsidRDefault="006D233D" w:rsidP="006D233D">
            <w:pPr>
              <w:keepNext/>
              <w:widowControl w:val="0"/>
              <w:rPr>
                <w:rFonts w:cs="Arial"/>
                <w:b/>
                <w:color w:val="0070AD" w:themeColor="accent1"/>
                <w:sz w:val="14"/>
                <w:szCs w:val="14"/>
              </w:rPr>
            </w:pPr>
            <w:r>
              <w:rPr>
                <w:b/>
                <w:color w:val="0070AD" w:themeColor="accent1"/>
                <w:sz w:val="14"/>
                <w:szCs w:val="14"/>
              </w:rPr>
              <w:t>Normalized profit for the year</w:t>
            </w:r>
          </w:p>
        </w:tc>
        <w:tc>
          <w:tcPr>
            <w:tcW w:w="1474" w:type="dxa"/>
            <w:tcBorders>
              <w:top w:val="single" w:sz="8" w:space="0" w:color="0070AD" w:themeColor="accent1"/>
              <w:bottom w:val="single" w:sz="8" w:space="0" w:color="0070AD" w:themeColor="accent1"/>
            </w:tcBorders>
            <w:shd w:val="clear" w:color="auto" w:fill="auto"/>
            <w:vAlign w:val="center"/>
          </w:tcPr>
          <w:p w14:paraId="74AC6AEA"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1,046</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158E78FD" w14:textId="77777777" w:rsidR="006D233D" w:rsidRPr="005359A0" w:rsidRDefault="009B6A3E" w:rsidP="006D233D">
            <w:pPr>
              <w:keepNext/>
              <w:ind w:left="-170" w:right="397"/>
              <w:jc w:val="right"/>
              <w:rPr>
                <w:rFonts w:cs="Arial"/>
                <w:b/>
                <w:color w:val="0070AD" w:themeColor="accent1"/>
                <w:sz w:val="14"/>
                <w:szCs w:val="14"/>
              </w:rPr>
            </w:pPr>
            <w:r>
              <w:rPr>
                <w:b/>
                <w:color w:val="0070AD" w:themeColor="accent1"/>
                <w:sz w:val="14"/>
                <w:szCs w:val="14"/>
              </w:rPr>
              <w:t>959</w:t>
            </w:r>
          </w:p>
        </w:tc>
        <w:tc>
          <w:tcPr>
            <w:tcW w:w="1134" w:type="dxa"/>
            <w:tcBorders>
              <w:top w:val="single" w:sz="8" w:space="0" w:color="0070AD" w:themeColor="accent1"/>
              <w:bottom w:val="single" w:sz="8" w:space="0" w:color="0070AD" w:themeColor="accent1"/>
            </w:tcBorders>
            <w:shd w:val="clear" w:color="auto" w:fill="auto"/>
            <w:vAlign w:val="center"/>
          </w:tcPr>
          <w:p w14:paraId="15C43DA2" w14:textId="77777777" w:rsidR="006D233D" w:rsidRPr="005359A0" w:rsidRDefault="006D233D" w:rsidP="006D233D">
            <w:pPr>
              <w:keepNext/>
              <w:widowControl w:val="0"/>
              <w:jc w:val="center"/>
              <w:rPr>
                <w:rFonts w:cs="Arial"/>
                <w:b/>
                <w:color w:val="0070AD" w:themeColor="accent1"/>
                <w:sz w:val="14"/>
                <w:szCs w:val="14"/>
              </w:rPr>
            </w:pPr>
          </w:p>
        </w:tc>
      </w:tr>
      <w:tr w:rsidR="00D91D72" w:rsidRPr="005359A0" w14:paraId="174313B0"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6E6B0E93" w14:textId="77777777" w:rsidR="00D91D72" w:rsidRPr="005359A0" w:rsidRDefault="00D91D72" w:rsidP="00D91D72">
            <w:pPr>
              <w:keepNext/>
              <w:widowControl w:val="0"/>
              <w:ind w:left="149"/>
              <w:rPr>
                <w:rFonts w:cs="Arial"/>
                <w:sz w:val="14"/>
                <w:szCs w:val="14"/>
              </w:rPr>
            </w:pPr>
            <w:r>
              <w:rPr>
                <w:sz w:val="14"/>
                <w:szCs w:val="14"/>
              </w:rPr>
              <w:t>Average number of shares outstanding</w:t>
            </w:r>
          </w:p>
        </w:tc>
        <w:tc>
          <w:tcPr>
            <w:tcW w:w="1474" w:type="dxa"/>
            <w:tcBorders>
              <w:top w:val="single" w:sz="8" w:space="0" w:color="0070AD" w:themeColor="accent1"/>
              <w:bottom w:val="single" w:sz="8" w:space="0" w:color="0070AD" w:themeColor="accent1"/>
            </w:tcBorders>
            <w:shd w:val="clear" w:color="auto" w:fill="auto"/>
            <w:vAlign w:val="center"/>
          </w:tcPr>
          <w:p w14:paraId="1C1B14D7" w14:textId="77777777" w:rsidR="00D91D72" w:rsidRPr="005359A0" w:rsidRDefault="00D91D72" w:rsidP="00D91D72">
            <w:pPr>
              <w:keepNext/>
              <w:widowControl w:val="0"/>
              <w:jc w:val="center"/>
              <w:rPr>
                <w:rFonts w:cs="Arial"/>
                <w:sz w:val="14"/>
                <w:szCs w:val="14"/>
              </w:rPr>
            </w:pPr>
            <w:r>
              <w:rPr>
                <w:sz w:val="14"/>
                <w:szCs w:val="14"/>
              </w:rPr>
              <w:t>168,057,561</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55FB4443" w14:textId="77777777" w:rsidR="00D91D72" w:rsidRPr="005359A0" w:rsidRDefault="00D91D72" w:rsidP="00D91D72">
            <w:pPr>
              <w:keepNext/>
              <w:widowControl w:val="0"/>
              <w:jc w:val="center"/>
              <w:rPr>
                <w:rFonts w:cs="Arial"/>
                <w:sz w:val="14"/>
                <w:szCs w:val="14"/>
              </w:rPr>
            </w:pPr>
            <w:r>
              <w:rPr>
                <w:sz w:val="14"/>
                <w:szCs w:val="14"/>
              </w:rPr>
              <w:t>167,088,363</w:t>
            </w:r>
          </w:p>
        </w:tc>
        <w:tc>
          <w:tcPr>
            <w:tcW w:w="1134" w:type="dxa"/>
            <w:tcBorders>
              <w:top w:val="single" w:sz="8" w:space="0" w:color="0070AD" w:themeColor="accent1"/>
              <w:bottom w:val="single" w:sz="8" w:space="0" w:color="0070AD" w:themeColor="accent1"/>
            </w:tcBorders>
            <w:shd w:val="clear" w:color="auto" w:fill="auto"/>
            <w:vAlign w:val="center"/>
          </w:tcPr>
          <w:p w14:paraId="2376951C" w14:textId="77777777" w:rsidR="00D91D72" w:rsidRPr="005359A0" w:rsidRDefault="00D91D72" w:rsidP="00D91D72">
            <w:pPr>
              <w:keepNext/>
              <w:widowControl w:val="0"/>
              <w:jc w:val="center"/>
              <w:rPr>
                <w:rFonts w:cs="Arial"/>
                <w:sz w:val="14"/>
                <w:szCs w:val="14"/>
              </w:rPr>
            </w:pPr>
          </w:p>
        </w:tc>
      </w:tr>
      <w:tr w:rsidR="006D233D" w:rsidRPr="005359A0" w14:paraId="7FA07E67" w14:textId="77777777" w:rsidTr="001A6047">
        <w:trPr>
          <w:trHeight w:val="227"/>
          <w:jc w:val="center"/>
        </w:trPr>
        <w:tc>
          <w:tcPr>
            <w:tcW w:w="5998" w:type="dxa"/>
            <w:tcBorders>
              <w:top w:val="single" w:sz="8" w:space="0" w:color="0070AD" w:themeColor="accent1"/>
              <w:bottom w:val="single" w:sz="8" w:space="0" w:color="0070AD" w:themeColor="accent1"/>
            </w:tcBorders>
            <w:vAlign w:val="center"/>
          </w:tcPr>
          <w:p w14:paraId="0357097A" w14:textId="77777777" w:rsidR="006D233D" w:rsidRPr="00300F7F" w:rsidRDefault="006D233D" w:rsidP="006D233D">
            <w:pPr>
              <w:widowControl w:val="0"/>
              <w:rPr>
                <w:rFonts w:cs="Arial"/>
                <w:b/>
                <w:caps/>
                <w:color w:val="0070AD" w:themeColor="accent1"/>
                <w:sz w:val="14"/>
                <w:szCs w:val="14"/>
              </w:rPr>
            </w:pPr>
            <w:r w:rsidRPr="00300F7F">
              <w:rPr>
                <w:b/>
                <w:color w:val="0070AD" w:themeColor="accent1"/>
                <w:sz w:val="14"/>
                <w:szCs w:val="14"/>
              </w:rPr>
              <w:t>Normalized earnings per share (in euros)</w:t>
            </w:r>
          </w:p>
        </w:tc>
        <w:tc>
          <w:tcPr>
            <w:tcW w:w="1474" w:type="dxa"/>
            <w:tcBorders>
              <w:top w:val="single" w:sz="8" w:space="0" w:color="0070AD" w:themeColor="accent1"/>
              <w:bottom w:val="single" w:sz="8" w:space="0" w:color="0070AD" w:themeColor="accent1"/>
            </w:tcBorders>
            <w:shd w:val="clear" w:color="auto" w:fill="auto"/>
            <w:vAlign w:val="center"/>
          </w:tcPr>
          <w:p w14:paraId="3D134C30"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6.22</w:t>
            </w:r>
          </w:p>
        </w:tc>
        <w:tc>
          <w:tcPr>
            <w:tcW w:w="1474" w:type="dxa"/>
            <w:tcBorders>
              <w:top w:val="single" w:sz="8" w:space="0" w:color="0070AD" w:themeColor="accent1"/>
              <w:bottom w:val="single" w:sz="8" w:space="0" w:color="0070AD" w:themeColor="accent1"/>
            </w:tcBorders>
            <w:shd w:val="clear" w:color="auto" w:fill="BBE7FF" w:themeFill="accent1" w:themeFillTint="33"/>
            <w:vAlign w:val="center"/>
          </w:tcPr>
          <w:p w14:paraId="285E9020" w14:textId="77777777" w:rsidR="006D233D" w:rsidRPr="005359A0" w:rsidRDefault="00D91D72" w:rsidP="006D233D">
            <w:pPr>
              <w:keepNext/>
              <w:ind w:left="-170" w:right="397"/>
              <w:jc w:val="right"/>
              <w:rPr>
                <w:rFonts w:cs="Arial"/>
                <w:b/>
                <w:color w:val="0070AD" w:themeColor="accent1"/>
                <w:sz w:val="14"/>
                <w:szCs w:val="14"/>
              </w:rPr>
            </w:pPr>
            <w:r>
              <w:rPr>
                <w:b/>
                <w:color w:val="0070AD" w:themeColor="accent1"/>
                <w:sz w:val="14"/>
                <w:szCs w:val="14"/>
              </w:rPr>
              <w:t>5.74</w:t>
            </w:r>
          </w:p>
        </w:tc>
        <w:tc>
          <w:tcPr>
            <w:tcW w:w="1134" w:type="dxa"/>
            <w:tcBorders>
              <w:top w:val="single" w:sz="8" w:space="0" w:color="0070AD" w:themeColor="accent1"/>
              <w:bottom w:val="single" w:sz="8" w:space="0" w:color="0070AD" w:themeColor="accent1"/>
            </w:tcBorders>
            <w:shd w:val="clear" w:color="auto" w:fill="auto"/>
            <w:vAlign w:val="center"/>
          </w:tcPr>
          <w:p w14:paraId="4ECBE86D" w14:textId="77777777" w:rsidR="006D233D" w:rsidRPr="005359A0" w:rsidRDefault="006D233D" w:rsidP="006D233D">
            <w:pPr>
              <w:widowControl w:val="0"/>
              <w:jc w:val="center"/>
              <w:rPr>
                <w:rFonts w:cs="Arial"/>
                <w:b/>
                <w:color w:val="0070AD" w:themeColor="accent1"/>
                <w:sz w:val="14"/>
                <w:szCs w:val="14"/>
              </w:rPr>
            </w:pPr>
            <w:r>
              <w:rPr>
                <w:b/>
                <w:color w:val="0070AD" w:themeColor="accent1"/>
                <w:sz w:val="14"/>
                <w:szCs w:val="14"/>
              </w:rPr>
              <w:t>-8%</w:t>
            </w:r>
          </w:p>
        </w:tc>
      </w:tr>
    </w:tbl>
    <w:p w14:paraId="4B1E2955" w14:textId="7A831809" w:rsidR="001A6047" w:rsidRPr="005359A0" w:rsidRDefault="001A6047" w:rsidP="00962D9D">
      <w:pPr>
        <w:spacing w:before="120" w:after="120"/>
        <w:rPr>
          <w:rFonts w:ascii="Verdana" w:hAnsi="Verdana" w:cs="Arial"/>
        </w:rPr>
      </w:pPr>
      <w:bookmarkStart w:id="41" w:name="_Hlk535392836"/>
      <w:r>
        <w:t xml:space="preserve">The Group recognized an income tax expense of €53 million in 2018 in respect of the transitional impact of </w:t>
      </w:r>
      <w:r w:rsidR="00FC2D75">
        <w:t xml:space="preserve">the </w:t>
      </w:r>
      <w:r>
        <w:t xml:space="preserve">tax reform in the U.S. This reduced basic EPS and normalized EPS by €0.32 and diluted EPS by €0.31. </w:t>
      </w:r>
    </w:p>
    <w:p w14:paraId="5F247BB7" w14:textId="77777777" w:rsidR="001A6047" w:rsidRPr="005359A0" w:rsidRDefault="001A6047" w:rsidP="001A6047">
      <w:pPr>
        <w:pStyle w:val="BodyText"/>
        <w:keepLines/>
        <w:spacing w:line="240" w:lineRule="auto"/>
        <w:rPr>
          <w:b/>
          <w:caps/>
        </w:rPr>
      </w:pPr>
      <w:r>
        <w:rPr>
          <w:rFonts w:ascii="Verdana" w:hAnsi="Verdana"/>
        </w:rPr>
        <w:t>Adjusted for this tax expense, normalized EPS for 2018 is €6.06:</w:t>
      </w:r>
    </w:p>
    <w:tbl>
      <w:tblPr>
        <w:tblW w:w="0" w:type="auto"/>
        <w:jc w:val="center"/>
        <w:tblLook w:val="04A0" w:firstRow="1" w:lastRow="0" w:firstColumn="1" w:lastColumn="0" w:noHBand="0" w:noVBand="1"/>
      </w:tblPr>
      <w:tblGrid>
        <w:gridCol w:w="5998"/>
        <w:gridCol w:w="1474"/>
        <w:gridCol w:w="1474"/>
        <w:gridCol w:w="1134"/>
      </w:tblGrid>
      <w:tr w:rsidR="00740997" w:rsidRPr="005359A0" w14:paraId="0C0D9E5A" w14:textId="77777777" w:rsidTr="001A6047">
        <w:trPr>
          <w:trHeight w:val="284"/>
          <w:jc w:val="center"/>
        </w:trPr>
        <w:tc>
          <w:tcPr>
            <w:tcW w:w="5998" w:type="dxa"/>
            <w:tcBorders>
              <w:bottom w:val="single" w:sz="8" w:space="0" w:color="30849B"/>
            </w:tcBorders>
            <w:vAlign w:val="center"/>
          </w:tcPr>
          <w:bookmarkEnd w:id="41"/>
          <w:p w14:paraId="15AB1385" w14:textId="77777777" w:rsidR="00740997" w:rsidRPr="005359A0" w:rsidRDefault="00740997" w:rsidP="00E35643">
            <w:pPr>
              <w:keepNext/>
              <w:jc w:val="center"/>
              <w:rPr>
                <w:rFonts w:cs="Arial"/>
                <w:i/>
                <w:sz w:val="14"/>
                <w:szCs w:val="14"/>
              </w:rPr>
            </w:pPr>
            <w:r>
              <w:rPr>
                <w:i/>
                <w:sz w:val="14"/>
                <w:szCs w:val="14"/>
              </w:rPr>
              <w:t>(In millions of euros)</w:t>
            </w:r>
          </w:p>
        </w:tc>
        <w:tc>
          <w:tcPr>
            <w:tcW w:w="1474" w:type="dxa"/>
            <w:tcBorders>
              <w:bottom w:val="single" w:sz="8" w:space="0" w:color="30849B"/>
            </w:tcBorders>
            <w:vAlign w:val="center"/>
          </w:tcPr>
          <w:p w14:paraId="5F188857" w14:textId="77777777" w:rsidR="00740997" w:rsidRPr="005359A0" w:rsidRDefault="00EB7381" w:rsidP="00E35643">
            <w:pPr>
              <w:keepNext/>
              <w:jc w:val="center"/>
              <w:rPr>
                <w:rFonts w:cs="Arial"/>
                <w:b/>
                <w:sz w:val="14"/>
                <w:szCs w:val="14"/>
              </w:rPr>
            </w:pPr>
            <w:r>
              <w:rPr>
                <w:b/>
                <w:sz w:val="14"/>
                <w:szCs w:val="14"/>
              </w:rPr>
              <w:t>2017</w:t>
            </w:r>
          </w:p>
        </w:tc>
        <w:tc>
          <w:tcPr>
            <w:tcW w:w="1474" w:type="dxa"/>
            <w:tcBorders>
              <w:bottom w:val="single" w:sz="8" w:space="0" w:color="30849B"/>
            </w:tcBorders>
            <w:shd w:val="clear" w:color="auto" w:fill="BBE7FF" w:themeFill="accent1" w:themeFillTint="33"/>
            <w:vAlign w:val="center"/>
          </w:tcPr>
          <w:p w14:paraId="4B336632" w14:textId="77777777" w:rsidR="00740997" w:rsidRPr="005359A0" w:rsidRDefault="00EB7381" w:rsidP="00E35643">
            <w:pPr>
              <w:keepNext/>
              <w:jc w:val="center"/>
              <w:rPr>
                <w:rFonts w:cs="Arial"/>
                <w:b/>
                <w:sz w:val="14"/>
                <w:szCs w:val="14"/>
              </w:rPr>
            </w:pPr>
            <w:r>
              <w:rPr>
                <w:b/>
                <w:sz w:val="14"/>
                <w:szCs w:val="14"/>
              </w:rPr>
              <w:t>2018</w:t>
            </w:r>
          </w:p>
        </w:tc>
        <w:tc>
          <w:tcPr>
            <w:tcW w:w="1134" w:type="dxa"/>
            <w:tcBorders>
              <w:bottom w:val="single" w:sz="8" w:space="0" w:color="30849B"/>
            </w:tcBorders>
            <w:shd w:val="clear" w:color="auto" w:fill="auto"/>
            <w:vAlign w:val="center"/>
          </w:tcPr>
          <w:p w14:paraId="0DE457EC" w14:textId="77777777" w:rsidR="00740997" w:rsidRPr="005359A0" w:rsidRDefault="00740997" w:rsidP="00E35643">
            <w:pPr>
              <w:keepNext/>
              <w:jc w:val="center"/>
              <w:rPr>
                <w:rFonts w:cs="Arial"/>
                <w:b/>
                <w:i/>
                <w:sz w:val="14"/>
                <w:szCs w:val="14"/>
              </w:rPr>
            </w:pPr>
            <w:r>
              <w:rPr>
                <w:b/>
                <w:i/>
                <w:sz w:val="14"/>
                <w:szCs w:val="14"/>
              </w:rPr>
              <w:t>Change</w:t>
            </w:r>
          </w:p>
        </w:tc>
      </w:tr>
      <w:tr w:rsidR="006D233D" w:rsidRPr="005359A0" w14:paraId="03017D86" w14:textId="77777777" w:rsidTr="001A6047">
        <w:trPr>
          <w:trHeight w:val="227"/>
          <w:jc w:val="center"/>
        </w:trPr>
        <w:tc>
          <w:tcPr>
            <w:tcW w:w="5998" w:type="dxa"/>
            <w:tcBorders>
              <w:top w:val="single" w:sz="8" w:space="0" w:color="30849B"/>
              <w:bottom w:val="single" w:sz="8" w:space="0" w:color="30849B"/>
            </w:tcBorders>
            <w:vAlign w:val="center"/>
          </w:tcPr>
          <w:p w14:paraId="01809D38" w14:textId="77777777" w:rsidR="006D233D" w:rsidRPr="005359A0" w:rsidRDefault="006D233D" w:rsidP="006D233D">
            <w:pPr>
              <w:keepNext/>
              <w:rPr>
                <w:rFonts w:cs="Arial"/>
                <w:b/>
                <w:color w:val="0070AD" w:themeColor="accent1"/>
                <w:sz w:val="14"/>
                <w:szCs w:val="14"/>
              </w:rPr>
            </w:pPr>
            <w:r>
              <w:rPr>
                <w:b/>
                <w:color w:val="0070AD" w:themeColor="accent1"/>
                <w:sz w:val="14"/>
                <w:szCs w:val="14"/>
              </w:rPr>
              <w:t>Normalized earnings per share</w:t>
            </w:r>
            <w:r>
              <w:rPr>
                <w:color w:val="0070AD" w:themeColor="accent1"/>
                <w:sz w:val="14"/>
                <w:szCs w:val="14"/>
              </w:rPr>
              <w:t xml:space="preserve"> </w:t>
            </w:r>
            <w:r>
              <w:rPr>
                <w:i/>
                <w:color w:val="0070AD" w:themeColor="accent1"/>
                <w:sz w:val="14"/>
                <w:szCs w:val="14"/>
              </w:rPr>
              <w:t>(in euros)</w:t>
            </w:r>
          </w:p>
        </w:tc>
        <w:tc>
          <w:tcPr>
            <w:tcW w:w="1474" w:type="dxa"/>
            <w:tcBorders>
              <w:top w:val="single" w:sz="8" w:space="0" w:color="30849B"/>
              <w:bottom w:val="single" w:sz="8" w:space="0" w:color="30849B"/>
            </w:tcBorders>
            <w:shd w:val="clear" w:color="auto" w:fill="auto"/>
            <w:vAlign w:val="center"/>
          </w:tcPr>
          <w:p w14:paraId="3E1C1B80"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6.22</w:t>
            </w:r>
          </w:p>
        </w:tc>
        <w:tc>
          <w:tcPr>
            <w:tcW w:w="1474" w:type="dxa"/>
            <w:tcBorders>
              <w:top w:val="single" w:sz="8" w:space="0" w:color="30849B"/>
              <w:bottom w:val="single" w:sz="8" w:space="0" w:color="30849B"/>
            </w:tcBorders>
            <w:shd w:val="clear" w:color="auto" w:fill="BBE7FF" w:themeFill="accent1" w:themeFillTint="33"/>
            <w:vAlign w:val="center"/>
          </w:tcPr>
          <w:p w14:paraId="5757D325" w14:textId="77777777" w:rsidR="006D233D" w:rsidRPr="005359A0" w:rsidRDefault="00583861" w:rsidP="006D233D">
            <w:pPr>
              <w:keepNext/>
              <w:ind w:left="-170" w:right="397"/>
              <w:jc w:val="right"/>
              <w:rPr>
                <w:rFonts w:cs="Arial"/>
                <w:b/>
                <w:color w:val="0070AD" w:themeColor="accent1"/>
                <w:sz w:val="14"/>
                <w:szCs w:val="14"/>
              </w:rPr>
            </w:pPr>
            <w:r>
              <w:rPr>
                <w:b/>
                <w:color w:val="0070AD" w:themeColor="accent1"/>
                <w:sz w:val="14"/>
                <w:szCs w:val="14"/>
              </w:rPr>
              <w:t>5.74</w:t>
            </w:r>
          </w:p>
        </w:tc>
        <w:tc>
          <w:tcPr>
            <w:tcW w:w="1134" w:type="dxa"/>
            <w:tcBorders>
              <w:top w:val="single" w:sz="8" w:space="0" w:color="30849B"/>
              <w:bottom w:val="single" w:sz="8" w:space="0" w:color="30849B"/>
            </w:tcBorders>
            <w:shd w:val="clear" w:color="auto" w:fill="auto"/>
            <w:vAlign w:val="center"/>
          </w:tcPr>
          <w:p w14:paraId="5F4C08FB" w14:textId="77777777" w:rsidR="006D233D" w:rsidRPr="005359A0" w:rsidRDefault="006D233D" w:rsidP="006D233D">
            <w:pPr>
              <w:keepNext/>
              <w:jc w:val="center"/>
              <w:rPr>
                <w:rFonts w:cs="Arial"/>
                <w:b/>
                <w:color w:val="0070AD" w:themeColor="accent1"/>
                <w:sz w:val="14"/>
                <w:szCs w:val="14"/>
              </w:rPr>
            </w:pPr>
          </w:p>
        </w:tc>
      </w:tr>
      <w:tr w:rsidR="006D233D" w:rsidRPr="005359A0" w14:paraId="0AC91ACF" w14:textId="77777777" w:rsidTr="001A6047">
        <w:trPr>
          <w:trHeight w:val="227"/>
          <w:jc w:val="center"/>
        </w:trPr>
        <w:tc>
          <w:tcPr>
            <w:tcW w:w="5998" w:type="dxa"/>
            <w:tcBorders>
              <w:bottom w:val="single" w:sz="8" w:space="0" w:color="0070AD" w:themeColor="accent1"/>
            </w:tcBorders>
            <w:vAlign w:val="center"/>
          </w:tcPr>
          <w:p w14:paraId="6B392637" w14:textId="77777777" w:rsidR="006D233D" w:rsidRPr="005359A0" w:rsidRDefault="006D233D" w:rsidP="006D233D">
            <w:pPr>
              <w:keepNext/>
              <w:ind w:left="149"/>
              <w:rPr>
                <w:rFonts w:cs="Arial"/>
                <w:sz w:val="14"/>
                <w:szCs w:val="14"/>
              </w:rPr>
            </w:pPr>
            <w:r>
              <w:rPr>
                <w:sz w:val="14"/>
                <w:szCs w:val="14"/>
              </w:rPr>
              <w:t xml:space="preserve">Transitional tax expense </w:t>
            </w:r>
          </w:p>
        </w:tc>
        <w:tc>
          <w:tcPr>
            <w:tcW w:w="1474" w:type="dxa"/>
            <w:tcBorders>
              <w:bottom w:val="single" w:sz="8" w:space="0" w:color="0070AD" w:themeColor="accent1"/>
            </w:tcBorders>
            <w:shd w:val="clear" w:color="auto" w:fill="auto"/>
            <w:vAlign w:val="center"/>
          </w:tcPr>
          <w:p w14:paraId="0A7BF017" w14:textId="77777777" w:rsidR="006D233D" w:rsidRPr="005359A0" w:rsidRDefault="006D233D" w:rsidP="006D233D">
            <w:pPr>
              <w:keepNext/>
              <w:ind w:left="-170" w:right="397"/>
              <w:jc w:val="right"/>
              <w:rPr>
                <w:rFonts w:cs="Arial"/>
                <w:sz w:val="14"/>
                <w:szCs w:val="14"/>
              </w:rPr>
            </w:pPr>
            <w:r>
              <w:rPr>
                <w:sz w:val="14"/>
                <w:szCs w:val="14"/>
              </w:rPr>
              <w:t>-</w:t>
            </w:r>
          </w:p>
        </w:tc>
        <w:tc>
          <w:tcPr>
            <w:tcW w:w="1474" w:type="dxa"/>
            <w:tcBorders>
              <w:bottom w:val="single" w:sz="8" w:space="0" w:color="0070AD" w:themeColor="accent1"/>
            </w:tcBorders>
            <w:shd w:val="clear" w:color="auto" w:fill="BBE7FF" w:themeFill="accent1" w:themeFillTint="33"/>
            <w:vAlign w:val="center"/>
          </w:tcPr>
          <w:p w14:paraId="4FB66052" w14:textId="77777777" w:rsidR="006D233D" w:rsidRPr="005359A0" w:rsidRDefault="009B6A3E" w:rsidP="006D233D">
            <w:pPr>
              <w:keepNext/>
              <w:ind w:left="-170" w:right="397"/>
              <w:jc w:val="right"/>
              <w:rPr>
                <w:rFonts w:cs="Arial"/>
                <w:sz w:val="14"/>
                <w:szCs w:val="14"/>
              </w:rPr>
            </w:pPr>
            <w:r>
              <w:rPr>
                <w:sz w:val="14"/>
                <w:szCs w:val="14"/>
              </w:rPr>
              <w:t>53</w:t>
            </w:r>
          </w:p>
        </w:tc>
        <w:tc>
          <w:tcPr>
            <w:tcW w:w="1134" w:type="dxa"/>
            <w:tcBorders>
              <w:bottom w:val="single" w:sz="8" w:space="0" w:color="0070AD" w:themeColor="accent1"/>
            </w:tcBorders>
            <w:shd w:val="clear" w:color="auto" w:fill="auto"/>
            <w:vAlign w:val="center"/>
          </w:tcPr>
          <w:p w14:paraId="229A0BF2" w14:textId="77777777" w:rsidR="006D233D" w:rsidRPr="005359A0" w:rsidRDefault="006D233D" w:rsidP="006D233D">
            <w:pPr>
              <w:keepNext/>
              <w:jc w:val="center"/>
              <w:rPr>
                <w:rFonts w:cs="Arial"/>
                <w:sz w:val="14"/>
                <w:szCs w:val="14"/>
              </w:rPr>
            </w:pPr>
          </w:p>
        </w:tc>
      </w:tr>
      <w:tr w:rsidR="00583861" w:rsidRPr="005359A0" w14:paraId="3C74841D" w14:textId="77777777" w:rsidTr="001A6047">
        <w:trPr>
          <w:trHeight w:val="227"/>
          <w:jc w:val="center"/>
        </w:trPr>
        <w:tc>
          <w:tcPr>
            <w:tcW w:w="5998" w:type="dxa"/>
            <w:tcBorders>
              <w:top w:val="single" w:sz="8" w:space="0" w:color="30849B"/>
              <w:bottom w:val="single" w:sz="8" w:space="0" w:color="30849B"/>
            </w:tcBorders>
            <w:vAlign w:val="center"/>
          </w:tcPr>
          <w:p w14:paraId="60162D25" w14:textId="77777777" w:rsidR="00583861" w:rsidRPr="005359A0" w:rsidRDefault="00583861" w:rsidP="00583861">
            <w:pPr>
              <w:keepNext/>
              <w:ind w:left="149"/>
              <w:rPr>
                <w:rFonts w:cs="Arial"/>
                <w:sz w:val="14"/>
                <w:szCs w:val="14"/>
              </w:rPr>
            </w:pPr>
            <w:r>
              <w:rPr>
                <w:sz w:val="14"/>
                <w:szCs w:val="14"/>
              </w:rPr>
              <w:t>Average number of shares outstanding</w:t>
            </w:r>
          </w:p>
        </w:tc>
        <w:tc>
          <w:tcPr>
            <w:tcW w:w="1474" w:type="dxa"/>
            <w:tcBorders>
              <w:top w:val="single" w:sz="8" w:space="0" w:color="30849B"/>
              <w:bottom w:val="single" w:sz="8" w:space="0" w:color="30849B"/>
            </w:tcBorders>
            <w:shd w:val="clear" w:color="auto" w:fill="auto"/>
            <w:vAlign w:val="center"/>
          </w:tcPr>
          <w:p w14:paraId="4DCEDC40" w14:textId="77777777" w:rsidR="00583861" w:rsidRPr="005359A0" w:rsidRDefault="00583861" w:rsidP="00583861">
            <w:pPr>
              <w:keepNext/>
              <w:jc w:val="center"/>
              <w:rPr>
                <w:rFonts w:cs="Arial"/>
                <w:sz w:val="14"/>
                <w:szCs w:val="14"/>
              </w:rPr>
            </w:pPr>
            <w:r>
              <w:rPr>
                <w:sz w:val="14"/>
                <w:szCs w:val="14"/>
              </w:rPr>
              <w:t>168,057,561</w:t>
            </w:r>
          </w:p>
        </w:tc>
        <w:tc>
          <w:tcPr>
            <w:tcW w:w="1474" w:type="dxa"/>
            <w:tcBorders>
              <w:top w:val="single" w:sz="8" w:space="0" w:color="30849B"/>
              <w:bottom w:val="single" w:sz="8" w:space="0" w:color="30849B"/>
            </w:tcBorders>
            <w:shd w:val="clear" w:color="auto" w:fill="BBE7FF" w:themeFill="accent1" w:themeFillTint="33"/>
            <w:vAlign w:val="center"/>
          </w:tcPr>
          <w:p w14:paraId="13E46E1A" w14:textId="77777777" w:rsidR="00583861" w:rsidRPr="005359A0" w:rsidRDefault="00583861" w:rsidP="00583861">
            <w:pPr>
              <w:keepNext/>
              <w:jc w:val="center"/>
              <w:rPr>
                <w:rFonts w:cs="Arial"/>
                <w:sz w:val="14"/>
                <w:szCs w:val="14"/>
              </w:rPr>
            </w:pPr>
            <w:r>
              <w:rPr>
                <w:sz w:val="14"/>
                <w:szCs w:val="14"/>
              </w:rPr>
              <w:t>167,088,363</w:t>
            </w:r>
          </w:p>
        </w:tc>
        <w:tc>
          <w:tcPr>
            <w:tcW w:w="1134" w:type="dxa"/>
            <w:tcBorders>
              <w:top w:val="single" w:sz="8" w:space="0" w:color="30849B"/>
              <w:bottom w:val="single" w:sz="8" w:space="0" w:color="30849B"/>
            </w:tcBorders>
            <w:shd w:val="clear" w:color="auto" w:fill="auto"/>
            <w:vAlign w:val="center"/>
          </w:tcPr>
          <w:p w14:paraId="3D608FAC" w14:textId="77777777" w:rsidR="00583861" w:rsidRPr="005359A0" w:rsidRDefault="00583861" w:rsidP="00583861">
            <w:pPr>
              <w:keepNext/>
              <w:jc w:val="center"/>
              <w:rPr>
                <w:rFonts w:cs="Arial"/>
                <w:sz w:val="14"/>
                <w:szCs w:val="14"/>
              </w:rPr>
            </w:pPr>
          </w:p>
        </w:tc>
      </w:tr>
      <w:tr w:rsidR="006D233D" w:rsidRPr="005359A0" w14:paraId="3DCF1EB5" w14:textId="77777777" w:rsidTr="001A6047">
        <w:trPr>
          <w:trHeight w:val="227"/>
          <w:jc w:val="center"/>
        </w:trPr>
        <w:tc>
          <w:tcPr>
            <w:tcW w:w="5998" w:type="dxa"/>
            <w:tcBorders>
              <w:top w:val="single" w:sz="8" w:space="0" w:color="30849B"/>
              <w:bottom w:val="single" w:sz="8" w:space="0" w:color="30849B"/>
            </w:tcBorders>
            <w:vAlign w:val="center"/>
          </w:tcPr>
          <w:p w14:paraId="5CFD2313" w14:textId="77777777" w:rsidR="006D233D" w:rsidRPr="005359A0" w:rsidRDefault="006D233D" w:rsidP="006D233D">
            <w:pPr>
              <w:keepNext/>
              <w:ind w:left="175"/>
              <w:rPr>
                <w:rFonts w:cs="Arial"/>
                <w:b/>
                <w:color w:val="0070AD" w:themeColor="accent1"/>
                <w:sz w:val="14"/>
                <w:szCs w:val="14"/>
              </w:rPr>
            </w:pPr>
            <w:r>
              <w:rPr>
                <w:b/>
                <w:color w:val="0070AD" w:themeColor="accent1"/>
                <w:sz w:val="14"/>
                <w:szCs w:val="14"/>
              </w:rPr>
              <w:t xml:space="preserve">Impact of the transitional tax expense </w:t>
            </w:r>
            <w:r>
              <w:rPr>
                <w:i/>
                <w:color w:val="0070AD" w:themeColor="accent1"/>
                <w:sz w:val="14"/>
                <w:szCs w:val="14"/>
              </w:rPr>
              <w:t>(in euros)</w:t>
            </w:r>
          </w:p>
        </w:tc>
        <w:tc>
          <w:tcPr>
            <w:tcW w:w="1474" w:type="dxa"/>
            <w:tcBorders>
              <w:top w:val="single" w:sz="8" w:space="0" w:color="30849B"/>
              <w:bottom w:val="single" w:sz="8" w:space="0" w:color="30849B"/>
            </w:tcBorders>
            <w:shd w:val="clear" w:color="auto" w:fill="auto"/>
            <w:vAlign w:val="center"/>
          </w:tcPr>
          <w:p w14:paraId="7637883C"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w:t>
            </w:r>
          </w:p>
        </w:tc>
        <w:tc>
          <w:tcPr>
            <w:tcW w:w="1474" w:type="dxa"/>
            <w:tcBorders>
              <w:top w:val="single" w:sz="8" w:space="0" w:color="30849B"/>
              <w:bottom w:val="single" w:sz="8" w:space="0" w:color="30849B"/>
            </w:tcBorders>
            <w:shd w:val="clear" w:color="auto" w:fill="BBE7FF" w:themeFill="accent1" w:themeFillTint="33"/>
            <w:vAlign w:val="center"/>
          </w:tcPr>
          <w:p w14:paraId="4B725B0F" w14:textId="77777777" w:rsidR="006D233D" w:rsidRPr="005359A0" w:rsidRDefault="00583861" w:rsidP="006D233D">
            <w:pPr>
              <w:keepNext/>
              <w:ind w:left="-170" w:right="397"/>
              <w:jc w:val="right"/>
              <w:rPr>
                <w:rFonts w:cs="Arial"/>
                <w:b/>
                <w:color w:val="0070AD" w:themeColor="accent1"/>
                <w:sz w:val="14"/>
                <w:szCs w:val="14"/>
              </w:rPr>
            </w:pPr>
            <w:r>
              <w:rPr>
                <w:b/>
                <w:color w:val="0070AD" w:themeColor="accent1"/>
                <w:sz w:val="14"/>
                <w:szCs w:val="14"/>
              </w:rPr>
              <w:t>0.32</w:t>
            </w:r>
          </w:p>
        </w:tc>
        <w:tc>
          <w:tcPr>
            <w:tcW w:w="1134" w:type="dxa"/>
            <w:tcBorders>
              <w:top w:val="single" w:sz="8" w:space="0" w:color="30849B"/>
              <w:bottom w:val="single" w:sz="8" w:space="0" w:color="30849B"/>
            </w:tcBorders>
            <w:shd w:val="clear" w:color="auto" w:fill="auto"/>
            <w:vAlign w:val="center"/>
          </w:tcPr>
          <w:p w14:paraId="7D1C32A0" w14:textId="77777777" w:rsidR="006D233D" w:rsidRPr="005359A0" w:rsidRDefault="006D233D" w:rsidP="006D233D">
            <w:pPr>
              <w:keepNext/>
              <w:jc w:val="center"/>
              <w:rPr>
                <w:rFonts w:cs="Arial"/>
                <w:b/>
                <w:color w:val="0070AD" w:themeColor="accent1"/>
                <w:sz w:val="14"/>
                <w:szCs w:val="14"/>
              </w:rPr>
            </w:pPr>
          </w:p>
        </w:tc>
      </w:tr>
      <w:tr w:rsidR="006D233D" w:rsidRPr="005359A0" w14:paraId="03F0ACCB" w14:textId="77777777" w:rsidTr="001A6047">
        <w:trPr>
          <w:trHeight w:val="227"/>
          <w:jc w:val="center"/>
        </w:trPr>
        <w:tc>
          <w:tcPr>
            <w:tcW w:w="5998" w:type="dxa"/>
            <w:tcBorders>
              <w:top w:val="single" w:sz="8" w:space="0" w:color="30849B"/>
              <w:bottom w:val="single" w:sz="8" w:space="0" w:color="30849B"/>
            </w:tcBorders>
            <w:vAlign w:val="center"/>
          </w:tcPr>
          <w:p w14:paraId="4DD9E5E3" w14:textId="77777777" w:rsidR="006D233D" w:rsidRPr="005359A0" w:rsidRDefault="006D233D" w:rsidP="006D233D">
            <w:pPr>
              <w:keepNext/>
              <w:rPr>
                <w:rFonts w:cs="Arial"/>
                <w:b/>
                <w:color w:val="0070AD" w:themeColor="accent1"/>
                <w:sz w:val="14"/>
                <w:szCs w:val="14"/>
              </w:rPr>
            </w:pPr>
            <w:r>
              <w:rPr>
                <w:b/>
                <w:color w:val="0070AD" w:themeColor="accent1"/>
                <w:sz w:val="14"/>
                <w:szCs w:val="14"/>
              </w:rPr>
              <w:t xml:space="preserve">Normalized earnings per share – excluding the transitional tax expense </w:t>
            </w:r>
            <w:r>
              <w:rPr>
                <w:i/>
                <w:color w:val="0070AD" w:themeColor="accent1"/>
                <w:sz w:val="14"/>
                <w:szCs w:val="14"/>
              </w:rPr>
              <w:t>(in euros)</w:t>
            </w:r>
          </w:p>
        </w:tc>
        <w:tc>
          <w:tcPr>
            <w:tcW w:w="1474" w:type="dxa"/>
            <w:tcBorders>
              <w:top w:val="single" w:sz="8" w:space="0" w:color="30849B"/>
              <w:bottom w:val="single" w:sz="8" w:space="0" w:color="30849B"/>
            </w:tcBorders>
            <w:shd w:val="clear" w:color="auto" w:fill="auto"/>
            <w:vAlign w:val="center"/>
          </w:tcPr>
          <w:p w14:paraId="3B551107"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6.22</w:t>
            </w:r>
          </w:p>
        </w:tc>
        <w:tc>
          <w:tcPr>
            <w:tcW w:w="1474" w:type="dxa"/>
            <w:tcBorders>
              <w:top w:val="single" w:sz="8" w:space="0" w:color="30849B"/>
              <w:bottom w:val="single" w:sz="8" w:space="0" w:color="30849B"/>
            </w:tcBorders>
            <w:shd w:val="clear" w:color="auto" w:fill="BBE7FF" w:themeFill="accent1" w:themeFillTint="33"/>
            <w:vAlign w:val="center"/>
          </w:tcPr>
          <w:p w14:paraId="497B1208" w14:textId="77777777" w:rsidR="006D233D" w:rsidRPr="005359A0" w:rsidRDefault="006D233D" w:rsidP="006D233D">
            <w:pPr>
              <w:keepNext/>
              <w:ind w:left="-170" w:right="397"/>
              <w:jc w:val="right"/>
              <w:rPr>
                <w:rFonts w:cs="Arial"/>
                <w:b/>
                <w:color w:val="0070AD" w:themeColor="accent1"/>
                <w:sz w:val="14"/>
                <w:szCs w:val="14"/>
              </w:rPr>
            </w:pPr>
            <w:r>
              <w:rPr>
                <w:b/>
                <w:color w:val="0070AD" w:themeColor="accent1"/>
                <w:sz w:val="14"/>
                <w:szCs w:val="14"/>
              </w:rPr>
              <w:t>6.06</w:t>
            </w:r>
          </w:p>
        </w:tc>
        <w:tc>
          <w:tcPr>
            <w:tcW w:w="1134" w:type="dxa"/>
            <w:tcBorders>
              <w:top w:val="single" w:sz="8" w:space="0" w:color="30849B"/>
              <w:bottom w:val="single" w:sz="8" w:space="0" w:color="30849B"/>
            </w:tcBorders>
            <w:shd w:val="clear" w:color="auto" w:fill="auto"/>
            <w:vAlign w:val="center"/>
          </w:tcPr>
          <w:p w14:paraId="116FAA9B" w14:textId="77777777" w:rsidR="006D233D" w:rsidRPr="005359A0" w:rsidRDefault="00583861" w:rsidP="006D233D">
            <w:pPr>
              <w:keepNext/>
              <w:jc w:val="center"/>
              <w:rPr>
                <w:rFonts w:cs="Arial"/>
                <w:b/>
                <w:color w:val="0070AD" w:themeColor="accent1"/>
                <w:sz w:val="14"/>
                <w:szCs w:val="14"/>
              </w:rPr>
            </w:pPr>
            <w:r>
              <w:rPr>
                <w:b/>
                <w:color w:val="0070AD" w:themeColor="accent1"/>
                <w:sz w:val="14"/>
                <w:szCs w:val="14"/>
              </w:rPr>
              <w:t>-3%</w:t>
            </w:r>
          </w:p>
        </w:tc>
      </w:tr>
    </w:tbl>
    <w:p w14:paraId="432188DD" w14:textId="77777777" w:rsidR="00D608EA" w:rsidRPr="005359A0" w:rsidRDefault="00D608EA" w:rsidP="00EF29AB">
      <w:pPr>
        <w:spacing w:before="120" w:after="120"/>
        <w:rPr>
          <w:rFonts w:cs="Arial"/>
          <w:b/>
          <w:caps/>
        </w:rPr>
      </w:pPr>
    </w:p>
    <w:p w14:paraId="788C6B10" w14:textId="77777777" w:rsidR="003E11DB" w:rsidRPr="005359A0" w:rsidRDefault="003E11DB" w:rsidP="003E11DB">
      <w:pPr>
        <w:pStyle w:val="Heading1"/>
      </w:pPr>
      <w:r>
        <w:t xml:space="preserve">CHANGE IN CASH AND CASH EQUIVALENTS AND ORGANIC FREE CASH FLOW </w:t>
      </w:r>
    </w:p>
    <w:tbl>
      <w:tblPr>
        <w:tblW w:w="4843" w:type="pct"/>
        <w:jc w:val="center"/>
        <w:tblCellMar>
          <w:left w:w="0" w:type="dxa"/>
          <w:right w:w="0" w:type="dxa"/>
        </w:tblCellMar>
        <w:tblLook w:val="04A0" w:firstRow="1" w:lastRow="0" w:firstColumn="1" w:lastColumn="0" w:noHBand="0" w:noVBand="1"/>
      </w:tblPr>
      <w:tblGrid>
        <w:gridCol w:w="6124"/>
        <w:gridCol w:w="1870"/>
        <w:gridCol w:w="1868"/>
      </w:tblGrid>
      <w:tr w:rsidR="003E11DB" w:rsidRPr="005359A0" w14:paraId="61567CB2" w14:textId="77777777" w:rsidTr="006D233D">
        <w:trPr>
          <w:trHeight w:val="227"/>
          <w:jc w:val="center"/>
        </w:trPr>
        <w:tc>
          <w:tcPr>
            <w:tcW w:w="3105" w:type="pct"/>
            <w:tcBorders>
              <w:top w:val="nil"/>
              <w:left w:val="nil"/>
              <w:bottom w:val="single" w:sz="8" w:space="0" w:color="0070AD" w:themeColor="accent1"/>
              <w:right w:val="nil"/>
            </w:tcBorders>
            <w:tcMar>
              <w:top w:w="28" w:type="dxa"/>
              <w:left w:w="28" w:type="dxa"/>
              <w:bottom w:w="28" w:type="dxa"/>
              <w:right w:w="28" w:type="dxa"/>
            </w:tcMar>
            <w:vAlign w:val="center"/>
            <w:hideMark/>
          </w:tcPr>
          <w:p w14:paraId="3DF42A6A" w14:textId="77777777" w:rsidR="003E11DB" w:rsidRPr="005359A0" w:rsidRDefault="003E11DB" w:rsidP="00354252">
            <w:pPr>
              <w:keepNext/>
              <w:jc w:val="center"/>
              <w:rPr>
                <w:rFonts w:cs="Arial"/>
                <w:sz w:val="14"/>
                <w:szCs w:val="12"/>
              </w:rPr>
            </w:pPr>
            <w:r>
              <w:rPr>
                <w:i/>
                <w:iCs/>
                <w:sz w:val="14"/>
                <w:szCs w:val="12"/>
              </w:rPr>
              <w:t>(In millions of euros)</w:t>
            </w:r>
          </w:p>
        </w:tc>
        <w:tc>
          <w:tcPr>
            <w:tcW w:w="948" w:type="pct"/>
            <w:tcBorders>
              <w:top w:val="nil"/>
              <w:left w:val="nil"/>
              <w:bottom w:val="single" w:sz="8" w:space="0" w:color="0070AD" w:themeColor="accent1"/>
              <w:right w:val="nil"/>
            </w:tcBorders>
            <w:tcMar>
              <w:top w:w="28" w:type="dxa"/>
              <w:left w:w="28" w:type="dxa"/>
              <w:bottom w:w="28" w:type="dxa"/>
              <w:right w:w="28" w:type="dxa"/>
            </w:tcMar>
            <w:vAlign w:val="center"/>
            <w:hideMark/>
          </w:tcPr>
          <w:p w14:paraId="5B0C0A09" w14:textId="77777777" w:rsidR="003E11DB" w:rsidRPr="005359A0" w:rsidRDefault="00EB7381" w:rsidP="00354252">
            <w:pPr>
              <w:keepNext/>
              <w:jc w:val="center"/>
              <w:rPr>
                <w:rFonts w:cs="Arial"/>
                <w:b/>
                <w:bCs/>
                <w:sz w:val="14"/>
                <w:szCs w:val="12"/>
              </w:rPr>
            </w:pPr>
            <w:r>
              <w:rPr>
                <w:b/>
                <w:bCs/>
                <w:sz w:val="14"/>
                <w:szCs w:val="12"/>
              </w:rPr>
              <w:t>2017</w:t>
            </w:r>
          </w:p>
        </w:tc>
        <w:tc>
          <w:tcPr>
            <w:tcW w:w="947" w:type="pct"/>
            <w:tcBorders>
              <w:top w:val="nil"/>
              <w:left w:val="nil"/>
              <w:bottom w:val="single" w:sz="8" w:space="0" w:color="0070AD" w:themeColor="accent1"/>
              <w:right w:val="nil"/>
            </w:tcBorders>
            <w:shd w:val="clear" w:color="auto" w:fill="BBE7FF" w:themeFill="accent1" w:themeFillTint="33"/>
            <w:tcMar>
              <w:top w:w="28" w:type="dxa"/>
              <w:left w:w="28" w:type="dxa"/>
              <w:bottom w:w="28" w:type="dxa"/>
              <w:right w:w="28" w:type="dxa"/>
            </w:tcMar>
            <w:vAlign w:val="center"/>
            <w:hideMark/>
          </w:tcPr>
          <w:p w14:paraId="77E9D9D3" w14:textId="77777777" w:rsidR="003E11DB" w:rsidRPr="005359A0" w:rsidRDefault="00EB7381" w:rsidP="00354252">
            <w:pPr>
              <w:keepNext/>
              <w:jc w:val="center"/>
              <w:rPr>
                <w:rFonts w:cs="Arial"/>
                <w:sz w:val="14"/>
                <w:szCs w:val="12"/>
              </w:rPr>
            </w:pPr>
            <w:r>
              <w:rPr>
                <w:b/>
                <w:bCs/>
                <w:sz w:val="14"/>
                <w:szCs w:val="12"/>
              </w:rPr>
              <w:t>2018</w:t>
            </w:r>
          </w:p>
        </w:tc>
      </w:tr>
      <w:tr w:rsidR="006D233D" w:rsidRPr="005359A0" w14:paraId="62D5973C" w14:textId="77777777" w:rsidTr="006D233D">
        <w:trPr>
          <w:trHeight w:val="170"/>
          <w:jc w:val="center"/>
        </w:trPr>
        <w:tc>
          <w:tcPr>
            <w:tcW w:w="3105" w:type="pct"/>
            <w:tcBorders>
              <w:top w:val="single" w:sz="8" w:space="0" w:color="0070AD" w:themeColor="accent1"/>
              <w:left w:val="nil"/>
              <w:bottom w:val="single" w:sz="8" w:space="0" w:color="0070AD" w:themeColor="accent1"/>
              <w:right w:val="nil"/>
            </w:tcBorders>
            <w:tcMar>
              <w:top w:w="28" w:type="dxa"/>
              <w:left w:w="28" w:type="dxa"/>
              <w:bottom w:w="28" w:type="dxa"/>
              <w:right w:w="28" w:type="dxa"/>
            </w:tcMar>
            <w:vAlign w:val="center"/>
            <w:hideMark/>
          </w:tcPr>
          <w:p w14:paraId="4DFA9B0B" w14:textId="77777777" w:rsidR="006D233D" w:rsidRPr="005359A0" w:rsidRDefault="006D233D" w:rsidP="006D233D">
            <w:pPr>
              <w:keepNext/>
              <w:ind w:left="114"/>
              <w:rPr>
                <w:rFonts w:cs="Arial"/>
                <w:b/>
                <w:bCs/>
                <w:iCs/>
                <w:color w:val="0070AD" w:themeColor="accent1"/>
                <w:sz w:val="14"/>
                <w:szCs w:val="12"/>
              </w:rPr>
            </w:pPr>
            <w:r>
              <w:rPr>
                <w:b/>
                <w:bCs/>
                <w:iCs/>
                <w:color w:val="0070AD" w:themeColor="accent1"/>
                <w:sz w:val="14"/>
                <w:szCs w:val="12"/>
              </w:rPr>
              <w:t>Cash flow from operations</w:t>
            </w:r>
          </w:p>
        </w:tc>
        <w:tc>
          <w:tcPr>
            <w:tcW w:w="948" w:type="pct"/>
            <w:tcBorders>
              <w:top w:val="single" w:sz="8" w:space="0" w:color="0070AD" w:themeColor="accent1"/>
              <w:left w:val="nil"/>
              <w:bottom w:val="single" w:sz="8" w:space="0" w:color="0070AD" w:themeColor="accent1"/>
              <w:right w:val="nil"/>
            </w:tcBorders>
            <w:shd w:val="clear" w:color="auto" w:fill="auto"/>
            <w:tcMar>
              <w:top w:w="28" w:type="dxa"/>
              <w:left w:w="28" w:type="dxa"/>
              <w:bottom w:w="28" w:type="dxa"/>
              <w:right w:w="28" w:type="dxa"/>
            </w:tcMar>
            <w:vAlign w:val="center"/>
            <w:hideMark/>
          </w:tcPr>
          <w:p w14:paraId="221AE1CB" w14:textId="77777777" w:rsidR="006D233D" w:rsidRPr="005359A0" w:rsidRDefault="006D233D" w:rsidP="006D233D">
            <w:pPr>
              <w:keepNext/>
              <w:ind w:right="538"/>
              <w:jc w:val="right"/>
              <w:rPr>
                <w:rFonts w:cs="Arial"/>
                <w:b/>
                <w:bCs/>
                <w:color w:val="0070AD" w:themeColor="accent1"/>
                <w:sz w:val="14"/>
                <w:szCs w:val="12"/>
              </w:rPr>
            </w:pPr>
            <w:r>
              <w:rPr>
                <w:b/>
                <w:bCs/>
                <w:color w:val="0070AD" w:themeColor="accent1"/>
                <w:sz w:val="14"/>
                <w:szCs w:val="12"/>
              </w:rPr>
              <w:t>1,330</w:t>
            </w:r>
          </w:p>
        </w:tc>
        <w:tc>
          <w:tcPr>
            <w:tcW w:w="947" w:type="pct"/>
            <w:tcBorders>
              <w:top w:val="single" w:sz="8" w:space="0" w:color="0070AD" w:themeColor="accent1"/>
              <w:left w:val="nil"/>
              <w:bottom w:val="single" w:sz="8" w:space="0" w:color="0070AD" w:themeColor="accent1"/>
              <w:right w:val="nil"/>
            </w:tcBorders>
            <w:shd w:val="clear" w:color="auto" w:fill="BBE7FF" w:themeFill="accent1" w:themeFillTint="33"/>
            <w:tcMar>
              <w:top w:w="28" w:type="dxa"/>
              <w:left w:w="28" w:type="dxa"/>
              <w:bottom w:w="28" w:type="dxa"/>
              <w:right w:w="28" w:type="dxa"/>
            </w:tcMar>
            <w:vAlign w:val="center"/>
            <w:hideMark/>
          </w:tcPr>
          <w:p w14:paraId="7C54F8B1" w14:textId="77777777" w:rsidR="006D233D" w:rsidRPr="005359A0" w:rsidRDefault="006D233D" w:rsidP="006D233D">
            <w:pPr>
              <w:keepNext/>
              <w:ind w:right="538"/>
              <w:jc w:val="right"/>
              <w:rPr>
                <w:rFonts w:cs="Arial"/>
                <w:b/>
                <w:bCs/>
                <w:color w:val="0070AD" w:themeColor="accent1"/>
                <w:sz w:val="14"/>
                <w:szCs w:val="12"/>
              </w:rPr>
            </w:pPr>
            <w:r>
              <w:rPr>
                <w:b/>
                <w:bCs/>
                <w:color w:val="0070AD" w:themeColor="accent1"/>
                <w:sz w:val="14"/>
                <w:szCs w:val="12"/>
              </w:rPr>
              <w:t>1,396</w:t>
            </w:r>
          </w:p>
        </w:tc>
      </w:tr>
      <w:tr w:rsidR="006D233D" w:rsidRPr="005359A0" w14:paraId="6FC7A2A0" w14:textId="77777777" w:rsidTr="006D233D">
        <w:trPr>
          <w:trHeight w:val="170"/>
          <w:jc w:val="center"/>
        </w:trPr>
        <w:tc>
          <w:tcPr>
            <w:tcW w:w="3105" w:type="pct"/>
            <w:tcBorders>
              <w:top w:val="single" w:sz="8" w:space="0" w:color="0070AD" w:themeColor="accent1"/>
              <w:left w:val="nil"/>
              <w:right w:val="nil"/>
            </w:tcBorders>
            <w:tcMar>
              <w:top w:w="28" w:type="dxa"/>
              <w:left w:w="28" w:type="dxa"/>
              <w:bottom w:w="28" w:type="dxa"/>
              <w:right w:w="28" w:type="dxa"/>
            </w:tcMar>
            <w:vAlign w:val="center"/>
            <w:hideMark/>
          </w:tcPr>
          <w:p w14:paraId="3717B93B" w14:textId="77777777" w:rsidR="006D233D" w:rsidRPr="005359A0" w:rsidRDefault="006D233D" w:rsidP="006D233D">
            <w:pPr>
              <w:keepNext/>
              <w:ind w:left="256"/>
              <w:rPr>
                <w:rFonts w:cs="Arial"/>
                <w:bCs/>
                <w:sz w:val="14"/>
                <w:szCs w:val="12"/>
              </w:rPr>
            </w:pPr>
            <w:r>
              <w:rPr>
                <w:bCs/>
                <w:sz w:val="14"/>
                <w:szCs w:val="12"/>
              </w:rPr>
              <w:t>Acquisitions of property, plant and equipment and intangible assets, net of disposals</w:t>
            </w:r>
          </w:p>
        </w:tc>
        <w:tc>
          <w:tcPr>
            <w:tcW w:w="948" w:type="pct"/>
            <w:tcBorders>
              <w:top w:val="single" w:sz="8" w:space="0" w:color="0070AD" w:themeColor="accent1"/>
              <w:left w:val="nil"/>
              <w:right w:val="nil"/>
            </w:tcBorders>
            <w:shd w:val="clear" w:color="auto" w:fill="auto"/>
            <w:tcMar>
              <w:top w:w="28" w:type="dxa"/>
              <w:left w:w="28" w:type="dxa"/>
              <w:bottom w:w="28" w:type="dxa"/>
              <w:right w:w="28" w:type="dxa"/>
            </w:tcMar>
            <w:vAlign w:val="center"/>
            <w:hideMark/>
          </w:tcPr>
          <w:p w14:paraId="2429DD82" w14:textId="77777777" w:rsidR="006D233D" w:rsidRPr="005359A0" w:rsidRDefault="006D233D" w:rsidP="006D233D">
            <w:pPr>
              <w:keepNext/>
              <w:ind w:right="538"/>
              <w:jc w:val="right"/>
              <w:rPr>
                <w:rFonts w:cs="Arial"/>
                <w:sz w:val="14"/>
                <w:szCs w:val="12"/>
              </w:rPr>
            </w:pPr>
            <w:r>
              <w:rPr>
                <w:bCs/>
                <w:sz w:val="14"/>
                <w:szCs w:val="12"/>
              </w:rPr>
              <w:t>(226)</w:t>
            </w:r>
          </w:p>
        </w:tc>
        <w:tc>
          <w:tcPr>
            <w:tcW w:w="947" w:type="pct"/>
            <w:tcBorders>
              <w:top w:val="single" w:sz="8" w:space="0" w:color="0070AD" w:themeColor="accent1"/>
              <w:left w:val="nil"/>
              <w:right w:val="nil"/>
            </w:tcBorders>
            <w:shd w:val="clear" w:color="auto" w:fill="BBE7FF" w:themeFill="accent1" w:themeFillTint="33"/>
            <w:tcMar>
              <w:top w:w="28" w:type="dxa"/>
              <w:left w:w="28" w:type="dxa"/>
              <w:bottom w:w="28" w:type="dxa"/>
              <w:right w:w="28" w:type="dxa"/>
            </w:tcMar>
            <w:vAlign w:val="center"/>
            <w:hideMark/>
          </w:tcPr>
          <w:p w14:paraId="75238C3B" w14:textId="77777777" w:rsidR="006D233D" w:rsidRPr="005359A0" w:rsidRDefault="006D233D" w:rsidP="006D233D">
            <w:pPr>
              <w:keepNext/>
              <w:ind w:right="538"/>
              <w:jc w:val="right"/>
              <w:rPr>
                <w:rFonts w:cs="Arial"/>
                <w:sz w:val="14"/>
                <w:szCs w:val="12"/>
              </w:rPr>
            </w:pPr>
            <w:r>
              <w:rPr>
                <w:bCs/>
                <w:sz w:val="14"/>
                <w:szCs w:val="12"/>
              </w:rPr>
              <w:t>(229)</w:t>
            </w:r>
          </w:p>
        </w:tc>
      </w:tr>
      <w:tr w:rsidR="006D233D" w:rsidRPr="005359A0" w14:paraId="572BFD0D" w14:textId="77777777" w:rsidTr="006D233D">
        <w:trPr>
          <w:trHeight w:val="170"/>
          <w:jc w:val="center"/>
        </w:trPr>
        <w:tc>
          <w:tcPr>
            <w:tcW w:w="3105" w:type="pct"/>
            <w:tcBorders>
              <w:top w:val="nil"/>
              <w:left w:val="nil"/>
              <w:bottom w:val="single" w:sz="8" w:space="0" w:color="30849B"/>
              <w:right w:val="nil"/>
            </w:tcBorders>
            <w:tcMar>
              <w:top w:w="28" w:type="dxa"/>
              <w:left w:w="28" w:type="dxa"/>
              <w:bottom w:w="28" w:type="dxa"/>
              <w:right w:w="28" w:type="dxa"/>
            </w:tcMar>
            <w:vAlign w:val="center"/>
            <w:hideMark/>
          </w:tcPr>
          <w:p w14:paraId="58B6C33E" w14:textId="77777777" w:rsidR="006D233D" w:rsidRPr="005359A0" w:rsidRDefault="006D233D" w:rsidP="006D233D">
            <w:pPr>
              <w:keepNext/>
              <w:ind w:left="256"/>
              <w:rPr>
                <w:rFonts w:cs="Arial"/>
                <w:sz w:val="14"/>
                <w:szCs w:val="12"/>
              </w:rPr>
            </w:pPr>
            <w:r>
              <w:rPr>
                <w:bCs/>
                <w:sz w:val="14"/>
                <w:szCs w:val="12"/>
              </w:rPr>
              <w:t>Net interest cost</w:t>
            </w:r>
          </w:p>
        </w:tc>
        <w:tc>
          <w:tcPr>
            <w:tcW w:w="948" w:type="pct"/>
            <w:tcBorders>
              <w:top w:val="nil"/>
              <w:left w:val="nil"/>
              <w:bottom w:val="single" w:sz="8" w:space="0" w:color="30849B"/>
              <w:right w:val="nil"/>
            </w:tcBorders>
            <w:shd w:val="clear" w:color="auto" w:fill="auto"/>
            <w:tcMar>
              <w:top w:w="28" w:type="dxa"/>
              <w:left w:w="28" w:type="dxa"/>
              <w:bottom w:w="28" w:type="dxa"/>
              <w:right w:w="28" w:type="dxa"/>
            </w:tcMar>
            <w:vAlign w:val="center"/>
            <w:hideMark/>
          </w:tcPr>
          <w:p w14:paraId="766D09BF" w14:textId="77777777" w:rsidR="006D233D" w:rsidRPr="005359A0" w:rsidRDefault="006D233D" w:rsidP="006D233D">
            <w:pPr>
              <w:keepNext/>
              <w:ind w:right="538"/>
              <w:jc w:val="right"/>
              <w:rPr>
                <w:rFonts w:cs="Arial"/>
                <w:sz w:val="14"/>
                <w:szCs w:val="12"/>
              </w:rPr>
            </w:pPr>
            <w:r>
              <w:rPr>
                <w:bCs/>
                <w:sz w:val="14"/>
                <w:szCs w:val="12"/>
              </w:rPr>
              <w:t>(24)</w:t>
            </w:r>
          </w:p>
        </w:tc>
        <w:tc>
          <w:tcPr>
            <w:tcW w:w="947" w:type="pct"/>
            <w:tcBorders>
              <w:top w:val="nil"/>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501BD7A0" w14:textId="77777777" w:rsidR="006D233D" w:rsidRPr="005359A0" w:rsidRDefault="006D233D" w:rsidP="006D233D">
            <w:pPr>
              <w:keepNext/>
              <w:ind w:right="538"/>
              <w:jc w:val="right"/>
              <w:rPr>
                <w:rFonts w:cs="Arial"/>
                <w:sz w:val="14"/>
                <w:szCs w:val="12"/>
              </w:rPr>
            </w:pPr>
            <w:r>
              <w:rPr>
                <w:bCs/>
                <w:sz w:val="14"/>
                <w:szCs w:val="12"/>
              </w:rPr>
              <w:t>(7)</w:t>
            </w:r>
          </w:p>
        </w:tc>
      </w:tr>
      <w:tr w:rsidR="006D233D" w:rsidRPr="005359A0" w14:paraId="58D5F0B8" w14:textId="77777777" w:rsidTr="006D233D">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4D97B317" w14:textId="77777777" w:rsidR="006D233D" w:rsidRPr="005359A0" w:rsidRDefault="006D233D" w:rsidP="006D233D">
            <w:pPr>
              <w:keepNext/>
              <w:ind w:left="114"/>
              <w:rPr>
                <w:rFonts w:cs="Arial"/>
                <w:b/>
                <w:caps/>
                <w:color w:val="0070AD" w:themeColor="accent1"/>
                <w:sz w:val="14"/>
                <w:szCs w:val="14"/>
              </w:rPr>
            </w:pPr>
            <w:r>
              <w:rPr>
                <w:b/>
                <w:caps/>
                <w:color w:val="0070AD" w:themeColor="accent1"/>
                <w:sz w:val="14"/>
                <w:szCs w:val="14"/>
              </w:rPr>
              <w:t>Organic Free Cash Flow</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4FBE4B40" w14:textId="77777777" w:rsidR="006D233D" w:rsidRPr="005359A0" w:rsidRDefault="006D233D" w:rsidP="006D233D">
            <w:pPr>
              <w:keepNext/>
              <w:ind w:right="538"/>
              <w:jc w:val="right"/>
              <w:rPr>
                <w:rFonts w:cs="Arial"/>
                <w:b/>
                <w:bCs/>
                <w:iCs/>
                <w:color w:val="0070AD" w:themeColor="accent1"/>
                <w:sz w:val="14"/>
                <w:szCs w:val="12"/>
              </w:rPr>
            </w:pPr>
            <w:r>
              <w:rPr>
                <w:b/>
                <w:bCs/>
                <w:iCs/>
                <w:color w:val="0070AD" w:themeColor="accent1"/>
                <w:sz w:val="14"/>
                <w:szCs w:val="12"/>
              </w:rPr>
              <w:t>1,080</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5259C48B" w14:textId="77777777" w:rsidR="006D233D" w:rsidRPr="005359A0" w:rsidRDefault="006D233D" w:rsidP="006D233D">
            <w:pPr>
              <w:keepNext/>
              <w:ind w:right="538"/>
              <w:jc w:val="right"/>
              <w:rPr>
                <w:rFonts w:cs="Arial"/>
                <w:b/>
                <w:bCs/>
                <w:iCs/>
                <w:color w:val="FF0000"/>
                <w:sz w:val="14"/>
                <w:szCs w:val="12"/>
              </w:rPr>
            </w:pPr>
            <w:r>
              <w:rPr>
                <w:b/>
                <w:bCs/>
                <w:iCs/>
                <w:color w:val="0070AD" w:themeColor="accent1"/>
                <w:sz w:val="14"/>
                <w:szCs w:val="12"/>
              </w:rPr>
              <w:t>1,160</w:t>
            </w:r>
          </w:p>
        </w:tc>
      </w:tr>
      <w:tr w:rsidR="006D233D" w:rsidRPr="005359A0" w14:paraId="336437C2" w14:textId="77777777" w:rsidTr="006D233D">
        <w:trPr>
          <w:trHeight w:val="170"/>
          <w:jc w:val="center"/>
        </w:trPr>
        <w:tc>
          <w:tcPr>
            <w:tcW w:w="3105" w:type="pct"/>
            <w:tcBorders>
              <w:top w:val="single" w:sz="8" w:space="0" w:color="30849B"/>
              <w:left w:val="nil"/>
              <w:right w:val="nil"/>
            </w:tcBorders>
            <w:tcMar>
              <w:top w:w="28" w:type="dxa"/>
              <w:left w:w="28" w:type="dxa"/>
              <w:bottom w:w="28" w:type="dxa"/>
              <w:right w:w="28" w:type="dxa"/>
            </w:tcMar>
            <w:vAlign w:val="center"/>
          </w:tcPr>
          <w:p w14:paraId="2280B616" w14:textId="77777777" w:rsidR="006D233D" w:rsidRPr="005359A0" w:rsidRDefault="006D233D" w:rsidP="006D233D">
            <w:pPr>
              <w:keepNext/>
              <w:ind w:left="256"/>
              <w:rPr>
                <w:rFonts w:cs="Arial"/>
                <w:bCs/>
                <w:sz w:val="14"/>
                <w:szCs w:val="12"/>
              </w:rPr>
            </w:pPr>
            <w:r>
              <w:rPr>
                <w:bCs/>
                <w:sz w:val="14"/>
                <w:szCs w:val="12"/>
              </w:rPr>
              <w:t>Other cash flows from (used in) investing and financing activities</w:t>
            </w:r>
          </w:p>
        </w:tc>
        <w:tc>
          <w:tcPr>
            <w:tcW w:w="948" w:type="pct"/>
            <w:tcBorders>
              <w:top w:val="single" w:sz="8" w:space="0" w:color="30849B"/>
              <w:left w:val="nil"/>
              <w:right w:val="nil"/>
            </w:tcBorders>
            <w:shd w:val="clear" w:color="auto" w:fill="auto"/>
            <w:tcMar>
              <w:top w:w="28" w:type="dxa"/>
              <w:left w:w="28" w:type="dxa"/>
              <w:bottom w:w="28" w:type="dxa"/>
              <w:right w:w="28" w:type="dxa"/>
            </w:tcMar>
            <w:vAlign w:val="center"/>
          </w:tcPr>
          <w:p w14:paraId="3ED62B68" w14:textId="77777777" w:rsidR="006D233D" w:rsidRPr="005359A0" w:rsidRDefault="006D233D" w:rsidP="006D233D">
            <w:pPr>
              <w:keepNext/>
              <w:ind w:right="538"/>
              <w:jc w:val="right"/>
              <w:rPr>
                <w:rFonts w:cs="Arial"/>
                <w:bCs/>
                <w:sz w:val="14"/>
                <w:szCs w:val="12"/>
              </w:rPr>
            </w:pPr>
            <w:r>
              <w:rPr>
                <w:bCs/>
                <w:sz w:val="14"/>
                <w:szCs w:val="12"/>
              </w:rPr>
              <w:t>(871)</w:t>
            </w:r>
          </w:p>
        </w:tc>
        <w:tc>
          <w:tcPr>
            <w:tcW w:w="947" w:type="pct"/>
            <w:tcBorders>
              <w:top w:val="single" w:sz="8" w:space="0" w:color="30849B"/>
              <w:left w:val="nil"/>
              <w:right w:val="nil"/>
            </w:tcBorders>
            <w:shd w:val="clear" w:color="auto" w:fill="BBE7FF" w:themeFill="accent1" w:themeFillTint="33"/>
            <w:tcMar>
              <w:top w:w="28" w:type="dxa"/>
              <w:left w:w="28" w:type="dxa"/>
              <w:bottom w:w="28" w:type="dxa"/>
              <w:right w:w="28" w:type="dxa"/>
            </w:tcMar>
            <w:vAlign w:val="center"/>
          </w:tcPr>
          <w:p w14:paraId="394BFE36" w14:textId="77777777" w:rsidR="006D233D" w:rsidRPr="005359A0" w:rsidRDefault="006D233D" w:rsidP="006D233D">
            <w:pPr>
              <w:keepNext/>
              <w:ind w:right="538"/>
              <w:jc w:val="right"/>
              <w:rPr>
                <w:rFonts w:cs="Arial"/>
                <w:bCs/>
                <w:color w:val="FF0000"/>
                <w:sz w:val="14"/>
                <w:szCs w:val="12"/>
              </w:rPr>
            </w:pPr>
            <w:r>
              <w:rPr>
                <w:bCs/>
                <w:sz w:val="14"/>
                <w:szCs w:val="12"/>
              </w:rPr>
              <w:t>(1,103)</w:t>
            </w:r>
          </w:p>
        </w:tc>
      </w:tr>
      <w:tr w:rsidR="006D233D" w:rsidRPr="005359A0" w14:paraId="231905B2" w14:textId="77777777" w:rsidTr="006D233D">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26BBD4A9" w14:textId="77777777" w:rsidR="006D233D" w:rsidRPr="005359A0" w:rsidRDefault="006D233D" w:rsidP="006D233D">
            <w:pPr>
              <w:keepNext/>
              <w:ind w:left="114"/>
              <w:rPr>
                <w:rFonts w:cs="Arial"/>
                <w:b/>
                <w:bCs/>
                <w:iCs/>
                <w:color w:val="0070AD" w:themeColor="accent1"/>
                <w:sz w:val="14"/>
                <w:szCs w:val="12"/>
              </w:rPr>
            </w:pPr>
            <w:r>
              <w:rPr>
                <w:b/>
                <w:bCs/>
                <w:iCs/>
                <w:color w:val="0070AD" w:themeColor="accent1"/>
                <w:sz w:val="14"/>
                <w:szCs w:val="12"/>
              </w:rPr>
              <w:t>Increase (decrease) in cash and cash equivalents</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0EDA204E" w14:textId="77777777" w:rsidR="006D233D" w:rsidRPr="005359A0" w:rsidRDefault="006D233D" w:rsidP="006D233D">
            <w:pPr>
              <w:keepNext/>
              <w:ind w:right="538"/>
              <w:jc w:val="right"/>
              <w:rPr>
                <w:rFonts w:cs="Arial"/>
                <w:b/>
                <w:bCs/>
                <w:iCs/>
                <w:color w:val="0070AD" w:themeColor="accent1"/>
                <w:sz w:val="14"/>
                <w:szCs w:val="12"/>
              </w:rPr>
            </w:pPr>
            <w:r>
              <w:rPr>
                <w:b/>
                <w:bCs/>
                <w:iCs/>
                <w:color w:val="0070AD" w:themeColor="accent1"/>
                <w:sz w:val="14"/>
                <w:szCs w:val="12"/>
              </w:rPr>
              <w:t>209</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6115F9B2" w14:textId="77777777" w:rsidR="006D233D" w:rsidRPr="005359A0" w:rsidRDefault="00F0642C" w:rsidP="006D233D">
            <w:pPr>
              <w:keepNext/>
              <w:ind w:right="538"/>
              <w:jc w:val="right"/>
              <w:rPr>
                <w:rFonts w:cs="Arial"/>
                <w:b/>
                <w:bCs/>
                <w:iCs/>
                <w:color w:val="FF0000"/>
                <w:sz w:val="14"/>
                <w:szCs w:val="12"/>
              </w:rPr>
            </w:pPr>
            <w:r>
              <w:rPr>
                <w:b/>
                <w:bCs/>
                <w:iCs/>
                <w:color w:val="0070AD" w:themeColor="accent1"/>
                <w:sz w:val="14"/>
                <w:szCs w:val="12"/>
              </w:rPr>
              <w:t>57</w:t>
            </w:r>
          </w:p>
        </w:tc>
      </w:tr>
      <w:tr w:rsidR="006D233D" w:rsidRPr="005359A0" w14:paraId="22FCF433" w14:textId="77777777" w:rsidTr="006D233D">
        <w:trPr>
          <w:trHeight w:val="170"/>
          <w:jc w:val="center"/>
        </w:trPr>
        <w:tc>
          <w:tcPr>
            <w:tcW w:w="3105" w:type="pct"/>
            <w:tcBorders>
              <w:top w:val="single" w:sz="8" w:space="0" w:color="30849B"/>
              <w:left w:val="nil"/>
              <w:bottom w:val="single" w:sz="8" w:space="0" w:color="0070AD" w:themeColor="accent1"/>
              <w:right w:val="nil"/>
            </w:tcBorders>
            <w:tcMar>
              <w:top w:w="28" w:type="dxa"/>
              <w:left w:w="28" w:type="dxa"/>
              <w:bottom w:w="28" w:type="dxa"/>
              <w:right w:w="28" w:type="dxa"/>
            </w:tcMar>
            <w:vAlign w:val="center"/>
          </w:tcPr>
          <w:p w14:paraId="11FC43F3" w14:textId="77777777" w:rsidR="006D233D" w:rsidRPr="005359A0" w:rsidRDefault="006D233D" w:rsidP="006D233D">
            <w:pPr>
              <w:keepNext/>
              <w:ind w:left="256"/>
              <w:rPr>
                <w:rFonts w:cs="Arial"/>
                <w:bCs/>
                <w:sz w:val="14"/>
                <w:szCs w:val="12"/>
              </w:rPr>
            </w:pPr>
            <w:r>
              <w:rPr>
                <w:bCs/>
                <w:sz w:val="14"/>
                <w:szCs w:val="12"/>
              </w:rPr>
              <w:t>Effect of exchange rate fluctuations</w:t>
            </w:r>
          </w:p>
        </w:tc>
        <w:tc>
          <w:tcPr>
            <w:tcW w:w="948" w:type="pct"/>
            <w:tcBorders>
              <w:top w:val="single" w:sz="8" w:space="0" w:color="30849B"/>
              <w:left w:val="nil"/>
              <w:bottom w:val="single" w:sz="8" w:space="0" w:color="0070AD" w:themeColor="accent1"/>
              <w:right w:val="nil"/>
            </w:tcBorders>
            <w:shd w:val="clear" w:color="auto" w:fill="auto"/>
            <w:tcMar>
              <w:top w:w="28" w:type="dxa"/>
              <w:left w:w="28" w:type="dxa"/>
              <w:bottom w:w="28" w:type="dxa"/>
              <w:right w:w="28" w:type="dxa"/>
            </w:tcMar>
            <w:vAlign w:val="center"/>
          </w:tcPr>
          <w:p w14:paraId="15C7834B" w14:textId="77777777" w:rsidR="006D233D" w:rsidRPr="005359A0" w:rsidRDefault="006D233D" w:rsidP="006D233D">
            <w:pPr>
              <w:keepNext/>
              <w:ind w:right="538"/>
              <w:jc w:val="right"/>
              <w:rPr>
                <w:rFonts w:cs="Arial"/>
                <w:bCs/>
                <w:sz w:val="14"/>
                <w:szCs w:val="12"/>
              </w:rPr>
            </w:pPr>
            <w:r>
              <w:rPr>
                <w:bCs/>
                <w:sz w:val="14"/>
                <w:szCs w:val="12"/>
              </w:rPr>
              <w:t>(91)</w:t>
            </w:r>
          </w:p>
        </w:tc>
        <w:tc>
          <w:tcPr>
            <w:tcW w:w="947" w:type="pct"/>
            <w:tcBorders>
              <w:top w:val="single" w:sz="8" w:space="0" w:color="30849B"/>
              <w:left w:val="nil"/>
              <w:bottom w:val="single" w:sz="8" w:space="0" w:color="0070AD" w:themeColor="accent1"/>
              <w:right w:val="nil"/>
            </w:tcBorders>
            <w:shd w:val="clear" w:color="auto" w:fill="BBE7FF" w:themeFill="accent1" w:themeFillTint="33"/>
            <w:tcMar>
              <w:top w:w="28" w:type="dxa"/>
              <w:left w:w="28" w:type="dxa"/>
              <w:bottom w:w="28" w:type="dxa"/>
              <w:right w:w="28" w:type="dxa"/>
            </w:tcMar>
            <w:vAlign w:val="center"/>
          </w:tcPr>
          <w:p w14:paraId="220488B3" w14:textId="77777777" w:rsidR="006D233D" w:rsidRPr="005359A0" w:rsidRDefault="006D233D" w:rsidP="006D233D">
            <w:pPr>
              <w:keepNext/>
              <w:ind w:right="538"/>
              <w:jc w:val="right"/>
              <w:rPr>
                <w:rFonts w:cs="Arial"/>
                <w:bCs/>
                <w:color w:val="FF0000"/>
                <w:sz w:val="14"/>
                <w:szCs w:val="12"/>
              </w:rPr>
            </w:pPr>
            <w:r>
              <w:rPr>
                <w:bCs/>
                <w:sz w:val="14"/>
                <w:szCs w:val="12"/>
              </w:rPr>
              <w:t>(41)</w:t>
            </w:r>
          </w:p>
        </w:tc>
      </w:tr>
      <w:tr w:rsidR="006D233D" w:rsidRPr="005359A0" w14:paraId="1528DD10" w14:textId="77777777" w:rsidTr="006D233D">
        <w:trPr>
          <w:trHeight w:val="170"/>
          <w:jc w:val="center"/>
        </w:trPr>
        <w:tc>
          <w:tcPr>
            <w:tcW w:w="3105" w:type="pct"/>
            <w:tcBorders>
              <w:top w:val="single" w:sz="8" w:space="0" w:color="0070AD" w:themeColor="accent1"/>
              <w:left w:val="nil"/>
              <w:right w:val="nil"/>
            </w:tcBorders>
            <w:tcMar>
              <w:top w:w="28" w:type="dxa"/>
              <w:left w:w="28" w:type="dxa"/>
              <w:bottom w:w="28" w:type="dxa"/>
              <w:right w:w="28" w:type="dxa"/>
            </w:tcMar>
            <w:vAlign w:val="center"/>
          </w:tcPr>
          <w:p w14:paraId="5D3112B4" w14:textId="77777777" w:rsidR="006D233D" w:rsidRPr="005359A0" w:rsidRDefault="006D233D" w:rsidP="006D233D">
            <w:pPr>
              <w:keepNext/>
              <w:ind w:left="114"/>
              <w:rPr>
                <w:rFonts w:cs="Arial"/>
                <w:b/>
                <w:bCs/>
                <w:iCs/>
                <w:color w:val="0070AD" w:themeColor="accent1"/>
                <w:sz w:val="14"/>
                <w:szCs w:val="12"/>
              </w:rPr>
            </w:pPr>
            <w:r>
              <w:rPr>
                <w:b/>
                <w:bCs/>
                <w:iCs/>
                <w:color w:val="0070AD" w:themeColor="accent1"/>
                <w:sz w:val="14"/>
                <w:szCs w:val="12"/>
              </w:rPr>
              <w:t>Opening cash and cash equivalents, net of bank overdraft</w:t>
            </w:r>
          </w:p>
        </w:tc>
        <w:tc>
          <w:tcPr>
            <w:tcW w:w="948" w:type="pct"/>
            <w:tcBorders>
              <w:top w:val="single" w:sz="8" w:space="0" w:color="0070AD" w:themeColor="accent1"/>
              <w:left w:val="nil"/>
              <w:right w:val="nil"/>
            </w:tcBorders>
            <w:shd w:val="clear" w:color="auto" w:fill="auto"/>
            <w:tcMar>
              <w:top w:w="28" w:type="dxa"/>
              <w:left w:w="28" w:type="dxa"/>
              <w:bottom w:w="28" w:type="dxa"/>
              <w:right w:w="28" w:type="dxa"/>
            </w:tcMar>
            <w:vAlign w:val="center"/>
          </w:tcPr>
          <w:p w14:paraId="3EA77CDA" w14:textId="77777777" w:rsidR="006D233D" w:rsidRPr="005359A0" w:rsidRDefault="006D233D" w:rsidP="006D233D">
            <w:pPr>
              <w:keepNext/>
              <w:ind w:right="538"/>
              <w:jc w:val="right"/>
              <w:rPr>
                <w:rFonts w:cs="Arial"/>
                <w:b/>
                <w:bCs/>
                <w:color w:val="0070AD" w:themeColor="accent1"/>
                <w:sz w:val="14"/>
                <w:szCs w:val="12"/>
              </w:rPr>
            </w:pPr>
            <w:r>
              <w:rPr>
                <w:b/>
                <w:bCs/>
                <w:color w:val="0070AD" w:themeColor="accent1"/>
                <w:sz w:val="14"/>
                <w:szCs w:val="12"/>
              </w:rPr>
              <w:t>1,870</w:t>
            </w:r>
          </w:p>
        </w:tc>
        <w:tc>
          <w:tcPr>
            <w:tcW w:w="947" w:type="pct"/>
            <w:tcBorders>
              <w:top w:val="single" w:sz="8" w:space="0" w:color="0070AD" w:themeColor="accent1"/>
              <w:left w:val="nil"/>
              <w:right w:val="nil"/>
            </w:tcBorders>
            <w:shd w:val="clear" w:color="auto" w:fill="BBE7FF" w:themeFill="accent1" w:themeFillTint="33"/>
            <w:tcMar>
              <w:top w:w="28" w:type="dxa"/>
              <w:left w:w="28" w:type="dxa"/>
              <w:bottom w:w="28" w:type="dxa"/>
              <w:right w:w="28" w:type="dxa"/>
            </w:tcMar>
            <w:vAlign w:val="center"/>
          </w:tcPr>
          <w:p w14:paraId="3A6D7B88" w14:textId="77777777" w:rsidR="006D233D" w:rsidRPr="005359A0" w:rsidRDefault="006D233D" w:rsidP="006D233D">
            <w:pPr>
              <w:keepNext/>
              <w:ind w:right="538"/>
              <w:jc w:val="right"/>
              <w:rPr>
                <w:rFonts w:cs="Arial"/>
                <w:b/>
                <w:bCs/>
                <w:color w:val="0070AD" w:themeColor="accent1"/>
                <w:sz w:val="14"/>
                <w:szCs w:val="12"/>
              </w:rPr>
            </w:pPr>
            <w:r>
              <w:rPr>
                <w:b/>
                <w:bCs/>
                <w:color w:val="0070AD" w:themeColor="accent1"/>
                <w:sz w:val="14"/>
                <w:szCs w:val="12"/>
              </w:rPr>
              <w:t>1,988</w:t>
            </w:r>
          </w:p>
        </w:tc>
      </w:tr>
      <w:tr w:rsidR="006D233D" w:rsidRPr="005359A0" w14:paraId="1DC6D431" w14:textId="77777777" w:rsidTr="006D233D">
        <w:trPr>
          <w:trHeight w:val="170"/>
          <w:jc w:val="center"/>
        </w:trPr>
        <w:tc>
          <w:tcPr>
            <w:tcW w:w="3105" w:type="pct"/>
            <w:tcBorders>
              <w:left w:val="nil"/>
              <w:bottom w:val="single" w:sz="8" w:space="0" w:color="0070AD" w:themeColor="accent1"/>
              <w:right w:val="nil"/>
            </w:tcBorders>
            <w:tcMar>
              <w:top w:w="28" w:type="dxa"/>
              <w:left w:w="28" w:type="dxa"/>
              <w:bottom w:w="28" w:type="dxa"/>
              <w:right w:w="28" w:type="dxa"/>
            </w:tcMar>
            <w:vAlign w:val="center"/>
          </w:tcPr>
          <w:p w14:paraId="5BB55B52" w14:textId="77777777" w:rsidR="006D233D" w:rsidRPr="005359A0" w:rsidRDefault="006D233D" w:rsidP="006D233D">
            <w:pPr>
              <w:keepNext/>
              <w:ind w:left="114"/>
              <w:rPr>
                <w:rFonts w:cs="Arial"/>
                <w:color w:val="0070AD" w:themeColor="accent1"/>
                <w:sz w:val="14"/>
                <w:szCs w:val="12"/>
              </w:rPr>
            </w:pPr>
            <w:r>
              <w:rPr>
                <w:b/>
                <w:bCs/>
                <w:iCs/>
                <w:color w:val="0070AD" w:themeColor="accent1"/>
                <w:sz w:val="14"/>
                <w:szCs w:val="12"/>
              </w:rPr>
              <w:t>Closing cash and cash equivalents, net of bank overdraft</w:t>
            </w:r>
          </w:p>
        </w:tc>
        <w:tc>
          <w:tcPr>
            <w:tcW w:w="948" w:type="pct"/>
            <w:tcBorders>
              <w:left w:val="nil"/>
              <w:bottom w:val="single" w:sz="8" w:space="0" w:color="0070AD" w:themeColor="accent1"/>
              <w:right w:val="nil"/>
            </w:tcBorders>
            <w:shd w:val="clear" w:color="auto" w:fill="auto"/>
            <w:tcMar>
              <w:top w:w="28" w:type="dxa"/>
              <w:left w:w="28" w:type="dxa"/>
              <w:bottom w:w="28" w:type="dxa"/>
              <w:right w:w="28" w:type="dxa"/>
            </w:tcMar>
            <w:vAlign w:val="center"/>
          </w:tcPr>
          <w:p w14:paraId="577D2E95" w14:textId="77777777" w:rsidR="006D233D" w:rsidRPr="005359A0" w:rsidRDefault="006D233D" w:rsidP="006D233D">
            <w:pPr>
              <w:keepNext/>
              <w:ind w:right="538"/>
              <w:jc w:val="right"/>
              <w:rPr>
                <w:rFonts w:cs="Arial"/>
                <w:color w:val="0070AD" w:themeColor="accent1"/>
                <w:sz w:val="14"/>
                <w:szCs w:val="12"/>
              </w:rPr>
            </w:pPr>
            <w:r>
              <w:rPr>
                <w:b/>
                <w:bCs/>
                <w:color w:val="0070AD" w:themeColor="accent1"/>
                <w:sz w:val="14"/>
                <w:szCs w:val="12"/>
              </w:rPr>
              <w:t>1,988</w:t>
            </w:r>
          </w:p>
        </w:tc>
        <w:tc>
          <w:tcPr>
            <w:tcW w:w="947" w:type="pct"/>
            <w:tcBorders>
              <w:left w:val="nil"/>
              <w:bottom w:val="single" w:sz="8" w:space="0" w:color="0070AD" w:themeColor="accent1"/>
              <w:right w:val="nil"/>
            </w:tcBorders>
            <w:shd w:val="clear" w:color="auto" w:fill="BBE7FF" w:themeFill="accent1" w:themeFillTint="33"/>
            <w:tcMar>
              <w:top w:w="28" w:type="dxa"/>
              <w:left w:w="28" w:type="dxa"/>
              <w:bottom w:w="28" w:type="dxa"/>
              <w:right w:w="28" w:type="dxa"/>
            </w:tcMar>
            <w:vAlign w:val="center"/>
          </w:tcPr>
          <w:p w14:paraId="7870E324" w14:textId="77777777" w:rsidR="006D233D" w:rsidRPr="005359A0" w:rsidRDefault="00F0642C" w:rsidP="006D233D">
            <w:pPr>
              <w:keepNext/>
              <w:ind w:right="538"/>
              <w:jc w:val="right"/>
              <w:rPr>
                <w:rFonts w:cs="Arial"/>
                <w:color w:val="FF0000"/>
                <w:sz w:val="14"/>
                <w:szCs w:val="12"/>
              </w:rPr>
            </w:pPr>
            <w:r>
              <w:rPr>
                <w:b/>
                <w:bCs/>
                <w:color w:val="0070AD" w:themeColor="accent1"/>
                <w:sz w:val="14"/>
                <w:szCs w:val="12"/>
              </w:rPr>
              <w:t>2,004</w:t>
            </w:r>
          </w:p>
        </w:tc>
      </w:tr>
    </w:tbl>
    <w:p w14:paraId="6FC715DE" w14:textId="77777777" w:rsidR="003E11DB" w:rsidRPr="005359A0" w:rsidRDefault="003E11DB" w:rsidP="003E11DB">
      <w:pPr>
        <w:spacing w:before="120" w:after="120"/>
        <w:rPr>
          <w:rFonts w:cs="Arial"/>
          <w:b/>
          <w:caps/>
        </w:rPr>
      </w:pPr>
    </w:p>
    <w:p w14:paraId="439EDD16" w14:textId="77777777" w:rsidR="003E11DB" w:rsidRPr="005359A0" w:rsidRDefault="003E11DB" w:rsidP="003E11DB">
      <w:pPr>
        <w:pStyle w:val="Heading1"/>
      </w:pPr>
      <w:r>
        <w:t>NET DEBT</w:t>
      </w:r>
    </w:p>
    <w:tbl>
      <w:tblPr>
        <w:tblW w:w="4843" w:type="pct"/>
        <w:jc w:val="center"/>
        <w:tblCellMar>
          <w:left w:w="0" w:type="dxa"/>
          <w:right w:w="0" w:type="dxa"/>
        </w:tblCellMar>
        <w:tblLook w:val="04A0" w:firstRow="1" w:lastRow="0" w:firstColumn="1" w:lastColumn="0" w:noHBand="0" w:noVBand="1"/>
      </w:tblPr>
      <w:tblGrid>
        <w:gridCol w:w="6124"/>
        <w:gridCol w:w="1870"/>
        <w:gridCol w:w="1868"/>
      </w:tblGrid>
      <w:tr w:rsidR="003E11DB" w:rsidRPr="005359A0" w14:paraId="5ADEDDE8" w14:textId="77777777" w:rsidTr="0044085D">
        <w:trPr>
          <w:trHeight w:val="283"/>
          <w:jc w:val="center"/>
        </w:trPr>
        <w:tc>
          <w:tcPr>
            <w:tcW w:w="3105" w:type="pct"/>
            <w:tcBorders>
              <w:top w:val="nil"/>
              <w:left w:val="nil"/>
              <w:bottom w:val="single" w:sz="8" w:space="0" w:color="0070AD" w:themeColor="accent1"/>
              <w:right w:val="nil"/>
            </w:tcBorders>
            <w:tcMar>
              <w:top w:w="28" w:type="dxa"/>
              <w:left w:w="28" w:type="dxa"/>
              <w:bottom w:w="28" w:type="dxa"/>
              <w:right w:w="28" w:type="dxa"/>
            </w:tcMar>
            <w:vAlign w:val="center"/>
            <w:hideMark/>
          </w:tcPr>
          <w:p w14:paraId="40945D26" w14:textId="77777777" w:rsidR="003E11DB" w:rsidRPr="005359A0" w:rsidRDefault="003E11DB" w:rsidP="00354252">
            <w:pPr>
              <w:keepNext/>
              <w:keepLines/>
              <w:jc w:val="center"/>
              <w:rPr>
                <w:rFonts w:cs="Arial"/>
                <w:sz w:val="14"/>
                <w:szCs w:val="12"/>
              </w:rPr>
            </w:pPr>
            <w:r>
              <w:rPr>
                <w:i/>
                <w:iCs/>
                <w:sz w:val="14"/>
                <w:szCs w:val="12"/>
              </w:rPr>
              <w:t>(In millions of euros)</w:t>
            </w:r>
          </w:p>
        </w:tc>
        <w:tc>
          <w:tcPr>
            <w:tcW w:w="948" w:type="pct"/>
            <w:tcBorders>
              <w:top w:val="nil"/>
              <w:left w:val="nil"/>
              <w:bottom w:val="single" w:sz="8" w:space="0" w:color="0070AD" w:themeColor="accent1"/>
              <w:right w:val="nil"/>
            </w:tcBorders>
            <w:tcMar>
              <w:top w:w="28" w:type="dxa"/>
              <w:left w:w="28" w:type="dxa"/>
              <w:bottom w:w="28" w:type="dxa"/>
              <w:right w:w="28" w:type="dxa"/>
            </w:tcMar>
            <w:vAlign w:val="center"/>
            <w:hideMark/>
          </w:tcPr>
          <w:p w14:paraId="16C65193" w14:textId="77777777" w:rsidR="003E11DB" w:rsidRPr="005359A0" w:rsidRDefault="003E11DB" w:rsidP="00354252">
            <w:pPr>
              <w:keepNext/>
              <w:keepLines/>
              <w:jc w:val="center"/>
              <w:rPr>
                <w:rFonts w:cs="Arial"/>
                <w:b/>
                <w:bCs/>
                <w:sz w:val="14"/>
                <w:szCs w:val="12"/>
              </w:rPr>
            </w:pPr>
            <w:r>
              <w:rPr>
                <w:b/>
                <w:bCs/>
                <w:sz w:val="14"/>
                <w:szCs w:val="12"/>
              </w:rPr>
              <w:t>12/31/17</w:t>
            </w:r>
          </w:p>
        </w:tc>
        <w:tc>
          <w:tcPr>
            <w:tcW w:w="947" w:type="pct"/>
            <w:tcBorders>
              <w:top w:val="nil"/>
              <w:left w:val="nil"/>
              <w:bottom w:val="single" w:sz="8" w:space="0" w:color="0070AD" w:themeColor="accent1"/>
              <w:right w:val="nil"/>
            </w:tcBorders>
            <w:shd w:val="clear" w:color="auto" w:fill="BBE7FF" w:themeFill="accent1" w:themeFillTint="33"/>
            <w:tcMar>
              <w:top w:w="28" w:type="dxa"/>
              <w:left w:w="28" w:type="dxa"/>
              <w:bottom w:w="28" w:type="dxa"/>
              <w:right w:w="28" w:type="dxa"/>
            </w:tcMar>
            <w:vAlign w:val="center"/>
            <w:hideMark/>
          </w:tcPr>
          <w:p w14:paraId="513434EA" w14:textId="77777777" w:rsidR="003E11DB" w:rsidRPr="005359A0" w:rsidRDefault="003E11DB" w:rsidP="00354252">
            <w:pPr>
              <w:keepNext/>
              <w:keepLines/>
              <w:jc w:val="center"/>
              <w:rPr>
                <w:rFonts w:cs="Arial"/>
                <w:sz w:val="14"/>
                <w:szCs w:val="12"/>
              </w:rPr>
            </w:pPr>
            <w:r>
              <w:rPr>
                <w:b/>
                <w:bCs/>
                <w:sz w:val="14"/>
                <w:szCs w:val="12"/>
              </w:rPr>
              <w:t>12/31/18</w:t>
            </w:r>
          </w:p>
        </w:tc>
      </w:tr>
      <w:tr w:rsidR="006D233D" w:rsidRPr="005359A0" w14:paraId="495D9607" w14:textId="77777777" w:rsidTr="0044085D">
        <w:trPr>
          <w:trHeight w:val="170"/>
          <w:jc w:val="center"/>
        </w:trPr>
        <w:tc>
          <w:tcPr>
            <w:tcW w:w="3105" w:type="pct"/>
            <w:tcBorders>
              <w:top w:val="single" w:sz="8" w:space="0" w:color="0070AD" w:themeColor="accent1"/>
              <w:left w:val="nil"/>
              <w:right w:val="nil"/>
            </w:tcBorders>
            <w:tcMar>
              <w:top w:w="28" w:type="dxa"/>
              <w:left w:w="28" w:type="dxa"/>
              <w:bottom w:w="28" w:type="dxa"/>
              <w:right w:w="28" w:type="dxa"/>
            </w:tcMar>
            <w:vAlign w:val="center"/>
            <w:hideMark/>
          </w:tcPr>
          <w:p w14:paraId="32F3F283" w14:textId="77777777" w:rsidR="006D233D" w:rsidRPr="005359A0" w:rsidRDefault="006D233D" w:rsidP="006D233D">
            <w:pPr>
              <w:keepNext/>
              <w:keepLines/>
              <w:ind w:left="256"/>
              <w:rPr>
                <w:rFonts w:cs="Arial"/>
                <w:bCs/>
                <w:sz w:val="14"/>
                <w:szCs w:val="12"/>
              </w:rPr>
            </w:pPr>
            <w:r>
              <w:rPr>
                <w:sz w:val="14"/>
                <w:szCs w:val="12"/>
              </w:rPr>
              <w:t>Cash and cash equivalents</w:t>
            </w:r>
          </w:p>
        </w:tc>
        <w:tc>
          <w:tcPr>
            <w:tcW w:w="948" w:type="pct"/>
            <w:tcBorders>
              <w:top w:val="single" w:sz="8" w:space="0" w:color="0070AD" w:themeColor="accent1"/>
              <w:left w:val="nil"/>
              <w:right w:val="nil"/>
            </w:tcBorders>
            <w:shd w:val="clear" w:color="auto" w:fill="auto"/>
            <w:tcMar>
              <w:top w:w="28" w:type="dxa"/>
              <w:left w:w="28" w:type="dxa"/>
              <w:bottom w:w="28" w:type="dxa"/>
              <w:right w:w="28" w:type="dxa"/>
            </w:tcMar>
            <w:vAlign w:val="center"/>
            <w:hideMark/>
          </w:tcPr>
          <w:p w14:paraId="53AB4E46" w14:textId="77777777" w:rsidR="006D233D" w:rsidRPr="005359A0" w:rsidRDefault="006D233D" w:rsidP="006D233D">
            <w:pPr>
              <w:keepNext/>
              <w:keepLines/>
              <w:ind w:right="538"/>
              <w:jc w:val="right"/>
              <w:rPr>
                <w:rFonts w:cs="Arial"/>
                <w:sz w:val="14"/>
                <w:szCs w:val="12"/>
              </w:rPr>
            </w:pPr>
            <w:r>
              <w:rPr>
                <w:bCs/>
                <w:sz w:val="14"/>
                <w:szCs w:val="12"/>
              </w:rPr>
              <w:t>1,988</w:t>
            </w:r>
          </w:p>
        </w:tc>
        <w:tc>
          <w:tcPr>
            <w:tcW w:w="947" w:type="pct"/>
            <w:tcBorders>
              <w:top w:val="single" w:sz="8" w:space="0" w:color="0070AD" w:themeColor="accent1"/>
              <w:left w:val="nil"/>
              <w:right w:val="nil"/>
            </w:tcBorders>
            <w:shd w:val="clear" w:color="auto" w:fill="BBE7FF" w:themeFill="accent1" w:themeFillTint="33"/>
            <w:tcMar>
              <w:top w:w="28" w:type="dxa"/>
              <w:left w:w="28" w:type="dxa"/>
              <w:bottom w:w="28" w:type="dxa"/>
              <w:right w:w="28" w:type="dxa"/>
            </w:tcMar>
            <w:vAlign w:val="center"/>
            <w:hideMark/>
          </w:tcPr>
          <w:p w14:paraId="6DE6C698" w14:textId="77777777" w:rsidR="006D233D" w:rsidRPr="005359A0" w:rsidRDefault="00F0642C" w:rsidP="006D233D">
            <w:pPr>
              <w:keepNext/>
              <w:keepLines/>
              <w:ind w:right="538"/>
              <w:jc w:val="right"/>
              <w:rPr>
                <w:rFonts w:cs="Arial"/>
                <w:sz w:val="14"/>
                <w:szCs w:val="12"/>
              </w:rPr>
            </w:pPr>
            <w:r>
              <w:rPr>
                <w:bCs/>
                <w:sz w:val="14"/>
                <w:szCs w:val="12"/>
              </w:rPr>
              <w:t>2,006</w:t>
            </w:r>
          </w:p>
        </w:tc>
      </w:tr>
      <w:tr w:rsidR="006D233D" w:rsidRPr="005359A0" w14:paraId="64136042" w14:textId="77777777" w:rsidTr="0044085D">
        <w:trPr>
          <w:trHeight w:val="170"/>
          <w:jc w:val="center"/>
        </w:trPr>
        <w:tc>
          <w:tcPr>
            <w:tcW w:w="3105" w:type="pct"/>
            <w:tcBorders>
              <w:top w:val="nil"/>
              <w:left w:val="nil"/>
              <w:right w:val="nil"/>
            </w:tcBorders>
            <w:tcMar>
              <w:top w:w="28" w:type="dxa"/>
              <w:left w:w="28" w:type="dxa"/>
              <w:bottom w:w="28" w:type="dxa"/>
              <w:right w:w="28" w:type="dxa"/>
            </w:tcMar>
            <w:vAlign w:val="center"/>
            <w:hideMark/>
          </w:tcPr>
          <w:p w14:paraId="26515818" w14:textId="77777777" w:rsidR="006D233D" w:rsidRPr="005359A0" w:rsidRDefault="006D233D" w:rsidP="006D233D">
            <w:pPr>
              <w:keepNext/>
              <w:keepLines/>
              <w:ind w:left="256"/>
              <w:rPr>
                <w:rFonts w:cs="Arial"/>
                <w:sz w:val="14"/>
                <w:szCs w:val="12"/>
              </w:rPr>
            </w:pPr>
            <w:r>
              <w:rPr>
                <w:bCs/>
                <w:sz w:val="14"/>
                <w:szCs w:val="12"/>
              </w:rPr>
              <w:t>Bank overdrafts</w:t>
            </w:r>
          </w:p>
        </w:tc>
        <w:tc>
          <w:tcPr>
            <w:tcW w:w="948" w:type="pct"/>
            <w:tcBorders>
              <w:top w:val="nil"/>
              <w:left w:val="nil"/>
              <w:right w:val="nil"/>
            </w:tcBorders>
            <w:shd w:val="clear" w:color="auto" w:fill="auto"/>
            <w:tcMar>
              <w:top w:w="28" w:type="dxa"/>
              <w:left w:w="28" w:type="dxa"/>
              <w:bottom w:w="28" w:type="dxa"/>
              <w:right w:w="28" w:type="dxa"/>
            </w:tcMar>
            <w:vAlign w:val="center"/>
            <w:hideMark/>
          </w:tcPr>
          <w:p w14:paraId="19AD6A7C" w14:textId="77777777" w:rsidR="006D233D" w:rsidRPr="005359A0" w:rsidRDefault="006D233D" w:rsidP="006D233D">
            <w:pPr>
              <w:keepNext/>
              <w:keepLines/>
              <w:ind w:right="538"/>
              <w:jc w:val="right"/>
              <w:rPr>
                <w:rFonts w:cs="Arial"/>
                <w:sz w:val="14"/>
                <w:szCs w:val="12"/>
              </w:rPr>
            </w:pPr>
            <w:r>
              <w:rPr>
                <w:bCs/>
                <w:sz w:val="14"/>
                <w:szCs w:val="12"/>
              </w:rPr>
              <w:t>-</w:t>
            </w:r>
          </w:p>
        </w:tc>
        <w:tc>
          <w:tcPr>
            <w:tcW w:w="947" w:type="pct"/>
            <w:tcBorders>
              <w:top w:val="nil"/>
              <w:left w:val="nil"/>
              <w:right w:val="nil"/>
            </w:tcBorders>
            <w:shd w:val="clear" w:color="auto" w:fill="BBE7FF" w:themeFill="accent1" w:themeFillTint="33"/>
            <w:tcMar>
              <w:top w:w="28" w:type="dxa"/>
              <w:left w:w="28" w:type="dxa"/>
              <w:bottom w:w="28" w:type="dxa"/>
              <w:right w:w="28" w:type="dxa"/>
            </w:tcMar>
            <w:vAlign w:val="center"/>
            <w:hideMark/>
          </w:tcPr>
          <w:p w14:paraId="2CDAE1C0" w14:textId="77777777" w:rsidR="006D233D" w:rsidRPr="005359A0" w:rsidRDefault="00F0642C" w:rsidP="006D233D">
            <w:pPr>
              <w:keepNext/>
              <w:keepLines/>
              <w:ind w:right="538"/>
              <w:jc w:val="right"/>
              <w:rPr>
                <w:rFonts w:cs="Arial"/>
                <w:sz w:val="14"/>
                <w:szCs w:val="12"/>
              </w:rPr>
            </w:pPr>
            <w:r>
              <w:rPr>
                <w:bCs/>
                <w:sz w:val="14"/>
                <w:szCs w:val="12"/>
              </w:rPr>
              <w:t>(2)</w:t>
            </w:r>
          </w:p>
        </w:tc>
      </w:tr>
      <w:tr w:rsidR="006D233D" w:rsidRPr="005359A0" w14:paraId="698CE00E" w14:textId="77777777" w:rsidTr="0044085D">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5660B830" w14:textId="77777777" w:rsidR="006D233D" w:rsidRPr="005359A0" w:rsidRDefault="006D233D" w:rsidP="006D233D">
            <w:pPr>
              <w:keepNext/>
              <w:ind w:left="114"/>
              <w:rPr>
                <w:rFonts w:cs="Arial"/>
                <w:b/>
                <w:bCs/>
                <w:iCs/>
                <w:color w:val="0070AD" w:themeColor="accent1"/>
                <w:sz w:val="14"/>
                <w:szCs w:val="12"/>
              </w:rPr>
            </w:pPr>
            <w:r>
              <w:rPr>
                <w:b/>
                <w:bCs/>
                <w:iCs/>
                <w:color w:val="0070AD" w:themeColor="accent1"/>
                <w:sz w:val="14"/>
                <w:szCs w:val="12"/>
              </w:rPr>
              <w:t xml:space="preserve">Cash and cash equivalents, net of bank overdraft </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5786FF13" w14:textId="77777777" w:rsidR="006D233D" w:rsidRPr="005359A0" w:rsidRDefault="006D233D" w:rsidP="006D233D">
            <w:pPr>
              <w:keepNext/>
              <w:ind w:right="538"/>
              <w:jc w:val="right"/>
              <w:rPr>
                <w:rFonts w:cs="Arial"/>
                <w:b/>
                <w:bCs/>
                <w:iCs/>
                <w:color w:val="0070AD" w:themeColor="accent1"/>
                <w:sz w:val="14"/>
                <w:szCs w:val="12"/>
              </w:rPr>
            </w:pPr>
            <w:r>
              <w:rPr>
                <w:b/>
                <w:bCs/>
                <w:iCs/>
                <w:color w:val="0070AD" w:themeColor="accent1"/>
                <w:sz w:val="14"/>
                <w:szCs w:val="12"/>
              </w:rPr>
              <w:t>1,988</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70F45C7B" w14:textId="77777777" w:rsidR="006D233D" w:rsidRPr="005359A0" w:rsidRDefault="00F0642C" w:rsidP="006D233D">
            <w:pPr>
              <w:keepNext/>
              <w:ind w:right="538"/>
              <w:jc w:val="right"/>
              <w:rPr>
                <w:rFonts w:cs="Arial"/>
                <w:b/>
                <w:bCs/>
                <w:iCs/>
                <w:color w:val="0070AD" w:themeColor="accent1"/>
                <w:sz w:val="14"/>
                <w:szCs w:val="12"/>
              </w:rPr>
            </w:pPr>
            <w:r>
              <w:rPr>
                <w:b/>
                <w:bCs/>
                <w:iCs/>
                <w:color w:val="0070AD" w:themeColor="accent1"/>
                <w:sz w:val="14"/>
                <w:szCs w:val="12"/>
              </w:rPr>
              <w:t>2,004</w:t>
            </w:r>
          </w:p>
        </w:tc>
      </w:tr>
      <w:tr w:rsidR="006D233D" w:rsidRPr="005359A0" w14:paraId="579E637B" w14:textId="77777777" w:rsidTr="0044085D">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tcPr>
          <w:p w14:paraId="5C7C5F36" w14:textId="77777777" w:rsidR="006D233D" w:rsidRPr="005359A0" w:rsidRDefault="006D233D" w:rsidP="006D233D">
            <w:pPr>
              <w:keepNext/>
              <w:ind w:left="114"/>
              <w:rPr>
                <w:rFonts w:cs="Arial"/>
                <w:b/>
                <w:bCs/>
                <w:iCs/>
                <w:color w:val="0070AD" w:themeColor="accent1"/>
                <w:sz w:val="14"/>
                <w:szCs w:val="12"/>
              </w:rPr>
            </w:pPr>
            <w:r>
              <w:rPr>
                <w:b/>
                <w:bCs/>
                <w:iCs/>
                <w:color w:val="0070AD" w:themeColor="accent1"/>
                <w:sz w:val="14"/>
                <w:szCs w:val="12"/>
              </w:rPr>
              <w:t>Cash management assets</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tcPr>
          <w:p w14:paraId="2A5D8A90" w14:textId="77777777" w:rsidR="006D233D" w:rsidRPr="005359A0" w:rsidRDefault="006D233D" w:rsidP="006D233D">
            <w:pPr>
              <w:keepNext/>
              <w:ind w:right="538"/>
              <w:jc w:val="right"/>
              <w:rPr>
                <w:rFonts w:cs="Arial"/>
                <w:b/>
                <w:bCs/>
                <w:iCs/>
                <w:color w:val="0070AD" w:themeColor="accent1"/>
                <w:sz w:val="14"/>
                <w:szCs w:val="12"/>
              </w:rPr>
            </w:pPr>
            <w:r>
              <w:rPr>
                <w:b/>
                <w:bCs/>
                <w:iCs/>
                <w:color w:val="0070AD" w:themeColor="accent1"/>
                <w:sz w:val="14"/>
                <w:szCs w:val="12"/>
              </w:rPr>
              <w:t>168</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tcPr>
          <w:p w14:paraId="61997806" w14:textId="77777777" w:rsidR="006D233D" w:rsidRPr="005359A0" w:rsidRDefault="00F0642C" w:rsidP="006D233D">
            <w:pPr>
              <w:keepNext/>
              <w:ind w:right="538"/>
              <w:jc w:val="right"/>
              <w:rPr>
                <w:rFonts w:cs="Arial"/>
                <w:b/>
                <w:bCs/>
                <w:iCs/>
                <w:color w:val="0070AD" w:themeColor="accent1"/>
                <w:sz w:val="14"/>
                <w:szCs w:val="12"/>
              </w:rPr>
            </w:pPr>
            <w:r>
              <w:rPr>
                <w:b/>
                <w:bCs/>
                <w:iCs/>
                <w:color w:val="0070AD" w:themeColor="accent1"/>
                <w:sz w:val="14"/>
                <w:szCs w:val="12"/>
              </w:rPr>
              <w:t>183</w:t>
            </w:r>
          </w:p>
        </w:tc>
      </w:tr>
      <w:tr w:rsidR="006D233D" w:rsidRPr="005359A0" w14:paraId="4F4AA4FA" w14:textId="77777777" w:rsidTr="0044085D">
        <w:trPr>
          <w:trHeight w:val="170"/>
          <w:jc w:val="center"/>
        </w:trPr>
        <w:tc>
          <w:tcPr>
            <w:tcW w:w="3105" w:type="pct"/>
            <w:tcBorders>
              <w:top w:val="single" w:sz="8" w:space="0" w:color="30849B"/>
              <w:left w:val="nil"/>
              <w:right w:val="nil"/>
            </w:tcBorders>
            <w:tcMar>
              <w:top w:w="28" w:type="dxa"/>
              <w:left w:w="28" w:type="dxa"/>
              <w:bottom w:w="28" w:type="dxa"/>
              <w:right w:w="28" w:type="dxa"/>
            </w:tcMar>
            <w:vAlign w:val="center"/>
            <w:hideMark/>
          </w:tcPr>
          <w:p w14:paraId="725B55B3" w14:textId="77777777" w:rsidR="006D233D" w:rsidRPr="005359A0" w:rsidRDefault="006D233D" w:rsidP="006D233D">
            <w:pPr>
              <w:keepNext/>
              <w:keepLines/>
              <w:ind w:left="256"/>
              <w:rPr>
                <w:rFonts w:cs="Arial"/>
                <w:bCs/>
                <w:sz w:val="14"/>
                <w:szCs w:val="12"/>
              </w:rPr>
            </w:pPr>
            <w:r>
              <w:rPr>
                <w:sz w:val="14"/>
                <w:szCs w:val="12"/>
              </w:rPr>
              <w:t>Long-term borrowings</w:t>
            </w:r>
          </w:p>
        </w:tc>
        <w:tc>
          <w:tcPr>
            <w:tcW w:w="948" w:type="pct"/>
            <w:tcBorders>
              <w:top w:val="single" w:sz="8" w:space="0" w:color="30849B"/>
              <w:left w:val="nil"/>
              <w:right w:val="nil"/>
            </w:tcBorders>
            <w:shd w:val="clear" w:color="auto" w:fill="auto"/>
            <w:tcMar>
              <w:top w:w="28" w:type="dxa"/>
              <w:left w:w="28" w:type="dxa"/>
              <w:bottom w:w="28" w:type="dxa"/>
              <w:right w:w="28" w:type="dxa"/>
            </w:tcMar>
            <w:vAlign w:val="center"/>
            <w:hideMark/>
          </w:tcPr>
          <w:p w14:paraId="34F3A312" w14:textId="77777777" w:rsidR="006D233D" w:rsidRPr="005359A0" w:rsidRDefault="006D233D" w:rsidP="006D233D">
            <w:pPr>
              <w:keepNext/>
              <w:keepLines/>
              <w:ind w:right="538"/>
              <w:jc w:val="right"/>
              <w:rPr>
                <w:rFonts w:cs="Arial"/>
                <w:sz w:val="14"/>
                <w:szCs w:val="12"/>
              </w:rPr>
            </w:pPr>
            <w:r>
              <w:rPr>
                <w:bCs/>
                <w:sz w:val="14"/>
                <w:szCs w:val="12"/>
              </w:rPr>
              <w:t>(2,783)</w:t>
            </w:r>
          </w:p>
        </w:tc>
        <w:tc>
          <w:tcPr>
            <w:tcW w:w="947" w:type="pct"/>
            <w:tcBorders>
              <w:top w:val="single" w:sz="8" w:space="0" w:color="30849B"/>
              <w:left w:val="nil"/>
              <w:right w:val="nil"/>
            </w:tcBorders>
            <w:shd w:val="clear" w:color="auto" w:fill="BBE7FF" w:themeFill="accent1" w:themeFillTint="33"/>
            <w:tcMar>
              <w:top w:w="28" w:type="dxa"/>
              <w:left w:w="28" w:type="dxa"/>
              <w:bottom w:w="28" w:type="dxa"/>
              <w:right w:w="28" w:type="dxa"/>
            </w:tcMar>
            <w:vAlign w:val="center"/>
            <w:hideMark/>
          </w:tcPr>
          <w:p w14:paraId="01C3CAE0" w14:textId="77777777" w:rsidR="006D233D" w:rsidRPr="005359A0" w:rsidRDefault="006D233D" w:rsidP="006D233D">
            <w:pPr>
              <w:keepNext/>
              <w:keepLines/>
              <w:ind w:right="538"/>
              <w:jc w:val="right"/>
              <w:rPr>
                <w:rFonts w:cs="Arial"/>
                <w:sz w:val="14"/>
                <w:szCs w:val="12"/>
              </w:rPr>
            </w:pPr>
            <w:r>
              <w:rPr>
                <w:bCs/>
                <w:sz w:val="14"/>
                <w:szCs w:val="12"/>
              </w:rPr>
              <w:t>(3,274)</w:t>
            </w:r>
          </w:p>
        </w:tc>
      </w:tr>
      <w:tr w:rsidR="006D233D" w:rsidRPr="005359A0" w14:paraId="366710C1" w14:textId="77777777" w:rsidTr="0044085D">
        <w:trPr>
          <w:trHeight w:val="170"/>
          <w:jc w:val="center"/>
        </w:trPr>
        <w:tc>
          <w:tcPr>
            <w:tcW w:w="3105" w:type="pct"/>
            <w:tcBorders>
              <w:top w:val="nil"/>
              <w:left w:val="nil"/>
              <w:right w:val="nil"/>
            </w:tcBorders>
            <w:tcMar>
              <w:top w:w="28" w:type="dxa"/>
              <w:left w:w="28" w:type="dxa"/>
              <w:bottom w:w="28" w:type="dxa"/>
              <w:right w:w="28" w:type="dxa"/>
            </w:tcMar>
            <w:vAlign w:val="center"/>
          </w:tcPr>
          <w:p w14:paraId="7DA7EE19" w14:textId="77777777" w:rsidR="006D233D" w:rsidRPr="005359A0" w:rsidRDefault="006D233D" w:rsidP="006D233D">
            <w:pPr>
              <w:keepNext/>
              <w:keepLines/>
              <w:ind w:left="256"/>
              <w:rPr>
                <w:rFonts w:cs="Arial"/>
                <w:bCs/>
                <w:sz w:val="14"/>
                <w:szCs w:val="12"/>
              </w:rPr>
            </w:pPr>
            <w:r>
              <w:rPr>
                <w:bCs/>
                <w:sz w:val="14"/>
                <w:szCs w:val="12"/>
              </w:rPr>
              <w:t>Short-term borrowings and bank overdrafts</w:t>
            </w:r>
          </w:p>
        </w:tc>
        <w:tc>
          <w:tcPr>
            <w:tcW w:w="948" w:type="pct"/>
            <w:tcBorders>
              <w:top w:val="nil"/>
              <w:left w:val="nil"/>
              <w:right w:val="nil"/>
            </w:tcBorders>
            <w:shd w:val="clear" w:color="auto" w:fill="auto"/>
            <w:tcMar>
              <w:top w:w="28" w:type="dxa"/>
              <w:left w:w="28" w:type="dxa"/>
              <w:bottom w:w="28" w:type="dxa"/>
              <w:right w:w="28" w:type="dxa"/>
            </w:tcMar>
            <w:vAlign w:val="center"/>
          </w:tcPr>
          <w:p w14:paraId="2E663FC7" w14:textId="77777777" w:rsidR="006D233D" w:rsidRPr="005359A0" w:rsidRDefault="006D233D" w:rsidP="006D233D">
            <w:pPr>
              <w:keepNext/>
              <w:keepLines/>
              <w:ind w:right="538"/>
              <w:jc w:val="right"/>
              <w:rPr>
                <w:rFonts w:cs="Arial"/>
                <w:bCs/>
                <w:sz w:val="14"/>
                <w:szCs w:val="12"/>
              </w:rPr>
            </w:pPr>
            <w:r>
              <w:rPr>
                <w:bCs/>
                <w:sz w:val="14"/>
                <w:szCs w:val="12"/>
              </w:rPr>
              <w:t>(589)</w:t>
            </w:r>
          </w:p>
        </w:tc>
        <w:tc>
          <w:tcPr>
            <w:tcW w:w="947" w:type="pct"/>
            <w:tcBorders>
              <w:top w:val="nil"/>
              <w:left w:val="nil"/>
              <w:right w:val="nil"/>
            </w:tcBorders>
            <w:shd w:val="clear" w:color="auto" w:fill="BBE7FF" w:themeFill="accent1" w:themeFillTint="33"/>
            <w:tcMar>
              <w:top w:w="28" w:type="dxa"/>
              <w:left w:w="28" w:type="dxa"/>
              <w:bottom w:w="28" w:type="dxa"/>
              <w:right w:w="28" w:type="dxa"/>
            </w:tcMar>
            <w:vAlign w:val="center"/>
          </w:tcPr>
          <w:p w14:paraId="23A9712A" w14:textId="77777777" w:rsidR="006D233D" w:rsidRPr="005359A0" w:rsidRDefault="006D233D" w:rsidP="006D233D">
            <w:pPr>
              <w:keepNext/>
              <w:keepLines/>
              <w:ind w:right="538"/>
              <w:jc w:val="right"/>
              <w:rPr>
                <w:rFonts w:cs="Arial"/>
                <w:bCs/>
                <w:sz w:val="14"/>
                <w:szCs w:val="12"/>
              </w:rPr>
            </w:pPr>
            <w:r>
              <w:rPr>
                <w:bCs/>
                <w:sz w:val="14"/>
                <w:szCs w:val="12"/>
              </w:rPr>
              <w:t>(83)</w:t>
            </w:r>
          </w:p>
        </w:tc>
      </w:tr>
      <w:tr w:rsidR="006D233D" w:rsidRPr="005359A0" w14:paraId="31C5E4E8" w14:textId="77777777" w:rsidTr="0044085D">
        <w:trPr>
          <w:trHeight w:val="170"/>
          <w:jc w:val="center"/>
        </w:trPr>
        <w:tc>
          <w:tcPr>
            <w:tcW w:w="3105" w:type="pct"/>
            <w:tcBorders>
              <w:top w:val="nil"/>
              <w:left w:val="nil"/>
              <w:right w:val="nil"/>
            </w:tcBorders>
            <w:tcMar>
              <w:top w:w="28" w:type="dxa"/>
              <w:left w:w="28" w:type="dxa"/>
              <w:bottom w:w="28" w:type="dxa"/>
              <w:right w:w="28" w:type="dxa"/>
            </w:tcMar>
            <w:vAlign w:val="center"/>
            <w:hideMark/>
          </w:tcPr>
          <w:p w14:paraId="2AFA944E" w14:textId="77777777" w:rsidR="006D233D" w:rsidRPr="005359A0" w:rsidRDefault="006D233D" w:rsidP="006D233D">
            <w:pPr>
              <w:keepNext/>
              <w:keepLines/>
              <w:ind w:left="256"/>
              <w:rPr>
                <w:rFonts w:cs="Arial"/>
                <w:sz w:val="14"/>
                <w:szCs w:val="12"/>
              </w:rPr>
            </w:pPr>
            <w:r>
              <w:rPr>
                <w:bCs/>
                <w:sz w:val="14"/>
                <w:szCs w:val="12"/>
              </w:rPr>
              <w:t>(-) Bank overdrafts</w:t>
            </w:r>
          </w:p>
        </w:tc>
        <w:tc>
          <w:tcPr>
            <w:tcW w:w="948" w:type="pct"/>
            <w:tcBorders>
              <w:top w:val="nil"/>
              <w:left w:val="nil"/>
              <w:right w:val="nil"/>
            </w:tcBorders>
            <w:shd w:val="clear" w:color="auto" w:fill="auto"/>
            <w:tcMar>
              <w:top w:w="28" w:type="dxa"/>
              <w:left w:w="28" w:type="dxa"/>
              <w:bottom w:w="28" w:type="dxa"/>
              <w:right w:w="28" w:type="dxa"/>
            </w:tcMar>
            <w:vAlign w:val="center"/>
            <w:hideMark/>
          </w:tcPr>
          <w:p w14:paraId="6A184628" w14:textId="77777777" w:rsidR="006D233D" w:rsidRPr="005359A0" w:rsidRDefault="006D233D" w:rsidP="006D233D">
            <w:pPr>
              <w:keepNext/>
              <w:keepLines/>
              <w:ind w:right="538"/>
              <w:jc w:val="right"/>
              <w:rPr>
                <w:rFonts w:cs="Arial"/>
                <w:sz w:val="14"/>
                <w:szCs w:val="12"/>
              </w:rPr>
            </w:pPr>
            <w:r>
              <w:rPr>
                <w:bCs/>
                <w:sz w:val="14"/>
                <w:szCs w:val="12"/>
              </w:rPr>
              <w:t>-</w:t>
            </w:r>
          </w:p>
        </w:tc>
        <w:tc>
          <w:tcPr>
            <w:tcW w:w="947" w:type="pct"/>
            <w:tcBorders>
              <w:top w:val="nil"/>
              <w:left w:val="nil"/>
              <w:right w:val="nil"/>
            </w:tcBorders>
            <w:shd w:val="clear" w:color="auto" w:fill="BBE7FF" w:themeFill="accent1" w:themeFillTint="33"/>
            <w:tcMar>
              <w:top w:w="28" w:type="dxa"/>
              <w:left w:w="28" w:type="dxa"/>
              <w:bottom w:w="28" w:type="dxa"/>
              <w:right w:w="28" w:type="dxa"/>
            </w:tcMar>
            <w:vAlign w:val="center"/>
            <w:hideMark/>
          </w:tcPr>
          <w:p w14:paraId="404853DC" w14:textId="77777777" w:rsidR="006D233D" w:rsidRPr="005359A0" w:rsidRDefault="00F0642C" w:rsidP="006D233D">
            <w:pPr>
              <w:keepNext/>
              <w:keepLines/>
              <w:ind w:right="538"/>
              <w:jc w:val="right"/>
              <w:rPr>
                <w:rFonts w:cs="Arial"/>
                <w:sz w:val="14"/>
                <w:szCs w:val="12"/>
              </w:rPr>
            </w:pPr>
            <w:r>
              <w:rPr>
                <w:bCs/>
                <w:sz w:val="14"/>
                <w:szCs w:val="12"/>
              </w:rPr>
              <w:t>2</w:t>
            </w:r>
          </w:p>
        </w:tc>
      </w:tr>
      <w:tr w:rsidR="006D233D" w:rsidRPr="005359A0" w14:paraId="4F6BEA1D" w14:textId="77777777" w:rsidTr="0044085D">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0FEB64C9" w14:textId="77777777" w:rsidR="006D233D" w:rsidRPr="005359A0" w:rsidRDefault="006D233D" w:rsidP="006D233D">
            <w:pPr>
              <w:keepNext/>
              <w:ind w:left="114"/>
              <w:rPr>
                <w:rFonts w:cs="Arial"/>
                <w:b/>
                <w:bCs/>
                <w:iCs/>
                <w:color w:val="0070AD" w:themeColor="accent1"/>
                <w:sz w:val="14"/>
                <w:szCs w:val="12"/>
              </w:rPr>
            </w:pPr>
            <w:r>
              <w:rPr>
                <w:b/>
                <w:bCs/>
                <w:iCs/>
                <w:color w:val="0070AD" w:themeColor="accent1"/>
                <w:sz w:val="14"/>
                <w:szCs w:val="12"/>
              </w:rPr>
              <w:t>Borrowings, excluding bank overdrafts</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548637F4" w14:textId="77777777" w:rsidR="006D233D" w:rsidRPr="005359A0" w:rsidRDefault="006D233D" w:rsidP="006D233D">
            <w:pPr>
              <w:keepNext/>
              <w:ind w:right="538"/>
              <w:jc w:val="right"/>
              <w:rPr>
                <w:rFonts w:cs="Arial"/>
                <w:b/>
                <w:bCs/>
                <w:iCs/>
                <w:color w:val="0070AD" w:themeColor="accent1"/>
                <w:sz w:val="14"/>
                <w:szCs w:val="12"/>
              </w:rPr>
            </w:pPr>
            <w:r>
              <w:rPr>
                <w:b/>
                <w:bCs/>
                <w:iCs/>
                <w:color w:val="0070AD" w:themeColor="accent1"/>
                <w:sz w:val="14"/>
                <w:szCs w:val="12"/>
              </w:rPr>
              <w:t>(3,372)</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3C1D69AD" w14:textId="77777777" w:rsidR="006D233D" w:rsidRPr="005359A0" w:rsidRDefault="006D233D" w:rsidP="006D233D">
            <w:pPr>
              <w:keepNext/>
              <w:ind w:right="538"/>
              <w:jc w:val="right"/>
              <w:rPr>
                <w:rFonts w:cs="Arial"/>
                <w:b/>
                <w:bCs/>
                <w:iCs/>
                <w:color w:val="0070AD" w:themeColor="accent1"/>
                <w:sz w:val="14"/>
                <w:szCs w:val="12"/>
              </w:rPr>
            </w:pPr>
            <w:r>
              <w:rPr>
                <w:b/>
                <w:bCs/>
                <w:iCs/>
                <w:color w:val="0070AD" w:themeColor="accent1"/>
                <w:sz w:val="14"/>
                <w:szCs w:val="12"/>
              </w:rPr>
              <w:t>(3,355)</w:t>
            </w:r>
          </w:p>
        </w:tc>
      </w:tr>
      <w:tr w:rsidR="006D233D" w:rsidRPr="005359A0" w14:paraId="2611DEA3" w14:textId="77777777" w:rsidTr="0044085D">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7A013352" w14:textId="77777777" w:rsidR="006D233D" w:rsidRPr="005359A0" w:rsidRDefault="006D233D" w:rsidP="006D233D">
            <w:pPr>
              <w:keepNext/>
              <w:ind w:left="114"/>
              <w:rPr>
                <w:rFonts w:cs="Arial"/>
                <w:b/>
                <w:bCs/>
                <w:iCs/>
                <w:color w:val="0070AD" w:themeColor="accent1"/>
                <w:sz w:val="14"/>
                <w:szCs w:val="12"/>
              </w:rPr>
            </w:pPr>
            <w:r>
              <w:rPr>
                <w:b/>
                <w:bCs/>
                <w:iCs/>
                <w:color w:val="0070AD" w:themeColor="accent1"/>
                <w:sz w:val="14"/>
                <w:szCs w:val="12"/>
              </w:rPr>
              <w:t>Derivative instruments</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1B1ADA5C" w14:textId="77777777" w:rsidR="006D233D" w:rsidRPr="005359A0" w:rsidRDefault="006D233D" w:rsidP="006D233D">
            <w:pPr>
              <w:keepNext/>
              <w:ind w:right="538"/>
              <w:jc w:val="right"/>
              <w:rPr>
                <w:rFonts w:cs="Arial"/>
                <w:b/>
                <w:bCs/>
                <w:iCs/>
                <w:color w:val="0070AD" w:themeColor="accent1"/>
                <w:sz w:val="14"/>
                <w:szCs w:val="12"/>
              </w:rPr>
            </w:pPr>
            <w:r>
              <w:rPr>
                <w:b/>
                <w:bCs/>
                <w:iCs/>
                <w:color w:val="0070AD" w:themeColor="accent1"/>
                <w:sz w:val="14"/>
                <w:szCs w:val="12"/>
              </w:rPr>
              <w:t>7</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7037C1C7" w14:textId="77777777" w:rsidR="006D233D" w:rsidRPr="005359A0" w:rsidRDefault="00F0642C" w:rsidP="006D233D">
            <w:pPr>
              <w:keepNext/>
              <w:ind w:right="538"/>
              <w:jc w:val="right"/>
              <w:rPr>
                <w:rFonts w:cs="Arial"/>
                <w:b/>
                <w:bCs/>
                <w:iCs/>
                <w:color w:val="0070AD" w:themeColor="accent1"/>
                <w:sz w:val="14"/>
                <w:szCs w:val="12"/>
              </w:rPr>
            </w:pPr>
            <w:r>
              <w:rPr>
                <w:b/>
                <w:bCs/>
                <w:iCs/>
                <w:color w:val="0070AD" w:themeColor="accent1"/>
                <w:sz w:val="14"/>
                <w:szCs w:val="12"/>
              </w:rPr>
              <w:t>(16)</w:t>
            </w:r>
          </w:p>
        </w:tc>
      </w:tr>
      <w:tr w:rsidR="006D233D" w:rsidRPr="002B7B57" w14:paraId="36F044C4" w14:textId="77777777" w:rsidTr="0044085D">
        <w:trPr>
          <w:trHeight w:val="170"/>
          <w:jc w:val="center"/>
        </w:trPr>
        <w:tc>
          <w:tcPr>
            <w:tcW w:w="3105" w:type="pct"/>
            <w:tcBorders>
              <w:top w:val="single" w:sz="8" w:space="0" w:color="30849B"/>
              <w:left w:val="nil"/>
              <w:bottom w:val="single" w:sz="8" w:space="0" w:color="30849B"/>
              <w:right w:val="nil"/>
            </w:tcBorders>
            <w:tcMar>
              <w:top w:w="28" w:type="dxa"/>
              <w:left w:w="28" w:type="dxa"/>
              <w:bottom w:w="28" w:type="dxa"/>
              <w:right w:w="28" w:type="dxa"/>
            </w:tcMar>
            <w:vAlign w:val="center"/>
            <w:hideMark/>
          </w:tcPr>
          <w:p w14:paraId="1696EA0F" w14:textId="77777777" w:rsidR="006D233D" w:rsidRPr="005359A0" w:rsidRDefault="006D233D" w:rsidP="006D233D">
            <w:pPr>
              <w:keepNext/>
              <w:ind w:left="114"/>
              <w:rPr>
                <w:rFonts w:cs="Arial"/>
                <w:b/>
                <w:bCs/>
                <w:iCs/>
                <w:caps/>
                <w:color w:val="0070AD" w:themeColor="accent1"/>
                <w:sz w:val="14"/>
                <w:szCs w:val="12"/>
              </w:rPr>
            </w:pPr>
            <w:r>
              <w:rPr>
                <w:b/>
                <w:bCs/>
                <w:iCs/>
                <w:caps/>
                <w:color w:val="0070AD" w:themeColor="accent1"/>
                <w:sz w:val="14"/>
                <w:szCs w:val="12"/>
              </w:rPr>
              <w:t>Net cash and cash equivalents / (Net debt)</w:t>
            </w:r>
          </w:p>
        </w:tc>
        <w:tc>
          <w:tcPr>
            <w:tcW w:w="948" w:type="pct"/>
            <w:tcBorders>
              <w:top w:val="single" w:sz="8" w:space="0" w:color="30849B"/>
              <w:left w:val="nil"/>
              <w:bottom w:val="single" w:sz="8" w:space="0" w:color="30849B"/>
              <w:right w:val="nil"/>
            </w:tcBorders>
            <w:shd w:val="clear" w:color="auto" w:fill="auto"/>
            <w:tcMar>
              <w:top w:w="28" w:type="dxa"/>
              <w:left w:w="28" w:type="dxa"/>
              <w:bottom w:w="28" w:type="dxa"/>
              <w:right w:w="28" w:type="dxa"/>
            </w:tcMar>
            <w:vAlign w:val="center"/>
            <w:hideMark/>
          </w:tcPr>
          <w:p w14:paraId="369E08EF" w14:textId="77777777" w:rsidR="006D233D" w:rsidRPr="005359A0" w:rsidRDefault="006D233D" w:rsidP="006D233D">
            <w:pPr>
              <w:keepNext/>
              <w:ind w:right="538"/>
              <w:jc w:val="right"/>
              <w:rPr>
                <w:rFonts w:cs="Arial"/>
                <w:b/>
                <w:bCs/>
                <w:iCs/>
                <w:color w:val="0070AD" w:themeColor="accent1"/>
                <w:sz w:val="14"/>
                <w:szCs w:val="12"/>
              </w:rPr>
            </w:pPr>
            <w:r>
              <w:rPr>
                <w:b/>
                <w:bCs/>
                <w:iCs/>
                <w:color w:val="0070AD" w:themeColor="accent1"/>
                <w:sz w:val="14"/>
                <w:szCs w:val="12"/>
              </w:rPr>
              <w:t>(1,209)</w:t>
            </w:r>
          </w:p>
        </w:tc>
        <w:tc>
          <w:tcPr>
            <w:tcW w:w="947" w:type="pct"/>
            <w:tcBorders>
              <w:top w:val="single" w:sz="8" w:space="0" w:color="30849B"/>
              <w:left w:val="nil"/>
              <w:bottom w:val="single" w:sz="8" w:space="0" w:color="30849B"/>
              <w:right w:val="nil"/>
            </w:tcBorders>
            <w:shd w:val="clear" w:color="auto" w:fill="BBE7FF" w:themeFill="accent1" w:themeFillTint="33"/>
            <w:tcMar>
              <w:top w:w="28" w:type="dxa"/>
              <w:left w:w="28" w:type="dxa"/>
              <w:bottom w:w="28" w:type="dxa"/>
              <w:right w:w="28" w:type="dxa"/>
            </w:tcMar>
            <w:vAlign w:val="center"/>
            <w:hideMark/>
          </w:tcPr>
          <w:p w14:paraId="67C9773D" w14:textId="77777777" w:rsidR="006D233D" w:rsidRPr="00F0642C" w:rsidRDefault="006D233D" w:rsidP="006D233D">
            <w:pPr>
              <w:keepNext/>
              <w:ind w:right="538"/>
              <w:jc w:val="right"/>
              <w:rPr>
                <w:rFonts w:cs="Arial"/>
                <w:b/>
                <w:bCs/>
                <w:iCs/>
                <w:color w:val="0070AD" w:themeColor="accent1"/>
                <w:sz w:val="14"/>
                <w:szCs w:val="12"/>
              </w:rPr>
            </w:pPr>
            <w:r>
              <w:rPr>
                <w:b/>
                <w:bCs/>
                <w:iCs/>
                <w:color w:val="0070AD" w:themeColor="accent1"/>
                <w:sz w:val="14"/>
                <w:szCs w:val="12"/>
              </w:rPr>
              <w:t>(1,184)</w:t>
            </w:r>
          </w:p>
        </w:tc>
      </w:tr>
      <w:bookmarkEnd w:id="40"/>
    </w:tbl>
    <w:p w14:paraId="3A8AD25E" w14:textId="77777777" w:rsidR="00F96B8D" w:rsidRPr="002B7B57" w:rsidRDefault="00F96B8D" w:rsidP="00F96B8D">
      <w:pPr>
        <w:spacing w:before="120" w:after="120"/>
        <w:rPr>
          <w:rFonts w:cs="Arial"/>
          <w:b/>
          <w:sz w:val="16"/>
        </w:rPr>
        <w:sectPr w:rsidR="00F96B8D" w:rsidRPr="002B7B57" w:rsidSect="00A15CD4">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051" w:right="862" w:bottom="862" w:left="862" w:header="567" w:footer="519" w:gutter="0"/>
          <w:cols w:space="720"/>
          <w:titlePg/>
          <w:docGrid w:linePitch="272"/>
        </w:sectPr>
      </w:pPr>
    </w:p>
    <w:p w14:paraId="7AB53EB4" w14:textId="77777777" w:rsidR="0044085D" w:rsidRPr="002B7B57" w:rsidRDefault="0044085D" w:rsidP="0044085D">
      <w:pPr>
        <w:spacing w:before="120" w:after="120"/>
        <w:rPr>
          <w:rFonts w:cs="Arial"/>
          <w:b/>
          <w:caps/>
        </w:rPr>
      </w:pPr>
    </w:p>
    <w:p w14:paraId="16338870" w14:textId="77777777" w:rsidR="00BE44F1" w:rsidRDefault="00BE44F1" w:rsidP="003E11DB">
      <w:pPr>
        <w:spacing w:before="120" w:after="120"/>
        <w:rPr>
          <w:sz w:val="12"/>
        </w:rPr>
      </w:pPr>
    </w:p>
    <w:p w14:paraId="5205ECB4" w14:textId="77777777" w:rsidR="0044085D" w:rsidRDefault="0044085D" w:rsidP="003E11DB">
      <w:pPr>
        <w:spacing w:before="120" w:after="120"/>
        <w:rPr>
          <w:sz w:val="12"/>
        </w:rPr>
      </w:pPr>
    </w:p>
    <w:sectPr w:rsidR="0044085D" w:rsidSect="00306E96">
      <w:headerReference w:type="first" r:id="rId21"/>
      <w:type w:val="continuous"/>
      <w:pgSz w:w="11906" w:h="16838" w:code="9"/>
      <w:pgMar w:top="862" w:right="862" w:bottom="862" w:left="86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631E1" w14:textId="77777777" w:rsidR="009564C7" w:rsidRDefault="009564C7">
      <w:r>
        <w:separator/>
      </w:r>
    </w:p>
    <w:p w14:paraId="58146A6A" w14:textId="77777777" w:rsidR="009564C7" w:rsidRDefault="009564C7"/>
    <w:p w14:paraId="22435102" w14:textId="77777777" w:rsidR="009564C7" w:rsidRDefault="009564C7" w:rsidP="00C91770"/>
  </w:endnote>
  <w:endnote w:type="continuationSeparator" w:id="0">
    <w:p w14:paraId="658C3487" w14:textId="77777777" w:rsidR="009564C7" w:rsidRDefault="009564C7">
      <w:r>
        <w:continuationSeparator/>
      </w:r>
    </w:p>
    <w:p w14:paraId="4EC7FDD4" w14:textId="77777777" w:rsidR="009564C7" w:rsidRDefault="009564C7"/>
    <w:p w14:paraId="69617F3C" w14:textId="77777777" w:rsidR="009564C7" w:rsidRDefault="009564C7" w:rsidP="00C91770"/>
  </w:endnote>
  <w:endnote w:type="continuationNotice" w:id="1">
    <w:p w14:paraId="2E785566" w14:textId="77777777" w:rsidR="009564C7" w:rsidRDefault="009564C7"/>
    <w:p w14:paraId="5970F38F" w14:textId="77777777" w:rsidR="009564C7" w:rsidRDefault="009564C7"/>
    <w:p w14:paraId="5D3C960E" w14:textId="77777777" w:rsidR="009564C7" w:rsidRDefault="009564C7" w:rsidP="00C91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E6E3" w14:textId="77777777" w:rsidR="00647C46" w:rsidRDefault="00647C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1A58AD" w14:textId="77777777" w:rsidR="00647C46" w:rsidRDefault="00647C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CCC4" w14:textId="5CB6654B" w:rsidR="00647C46" w:rsidRPr="0009520E" w:rsidRDefault="00647C46" w:rsidP="00F96B8D">
    <w:pPr>
      <w:pStyle w:val="Footer"/>
      <w:framePr w:wrap="around" w:vAnchor="text" w:hAnchor="margin" w:xAlign="right" w:y="154"/>
      <w:rPr>
        <w:rStyle w:val="PageNumber"/>
        <w:rFonts w:ascii="Verdana" w:hAnsi="Verdana" w:cs="Arial"/>
        <w:sz w:val="14"/>
        <w:szCs w:val="16"/>
      </w:rPr>
    </w:pPr>
    <w:r w:rsidRPr="0009520E">
      <w:rPr>
        <w:rStyle w:val="PageNumber"/>
        <w:rFonts w:ascii="Verdana" w:hAnsi="Verdana"/>
      </w:rPr>
      <w:fldChar w:fldCharType="begin"/>
    </w:r>
    <w:r w:rsidRPr="0009520E">
      <w:rPr>
        <w:rStyle w:val="PageNumber"/>
        <w:rFonts w:ascii="Verdana" w:hAnsi="Verdana"/>
      </w:rPr>
      <w:instrText xml:space="preserve">PAGE  </w:instrText>
    </w:r>
    <w:r w:rsidRPr="0009520E">
      <w:rPr>
        <w:rStyle w:val="PageNumber"/>
        <w:rFonts w:ascii="Verdana" w:hAnsi="Verdana"/>
      </w:rPr>
      <w:fldChar w:fldCharType="separate"/>
    </w:r>
    <w:r>
      <w:rPr>
        <w:rStyle w:val="PageNumber"/>
        <w:rFonts w:ascii="Verdana" w:hAnsi="Verdana"/>
        <w:noProof/>
      </w:rPr>
      <w:t>6</w:t>
    </w:r>
    <w:r w:rsidRPr="0009520E">
      <w:rPr>
        <w:rStyle w:val="PageNumber"/>
        <w:rFonts w:ascii="Verdana" w:hAnsi="Verdana"/>
      </w:rPr>
      <w:fldChar w:fldCharType="end"/>
    </w:r>
  </w:p>
  <w:p w14:paraId="1B7E3401" w14:textId="77777777" w:rsidR="00647C46" w:rsidRDefault="00647C46">
    <w:pPr>
      <w:pStyle w:val="Footer"/>
      <w:ind w:right="360"/>
    </w:pPr>
    <w:r>
      <w:rPr>
        <w:noProof/>
        <w:color w:val="00264A"/>
        <w:sz w:val="10"/>
        <w:lang w:val="fr-FR"/>
      </w:rPr>
      <mc:AlternateContent>
        <mc:Choice Requires="wps">
          <w:drawing>
            <wp:anchor distT="0" distB="0" distL="114300" distR="114300" simplePos="0" relativeHeight="251659264" behindDoc="0" locked="0" layoutInCell="1" allowOverlap="1" wp14:anchorId="3939C240" wp14:editId="77DDD37C">
              <wp:simplePos x="0" y="0"/>
              <wp:positionH relativeFrom="column">
                <wp:posOffset>-125339</wp:posOffset>
              </wp:positionH>
              <wp:positionV relativeFrom="page">
                <wp:posOffset>10255348</wp:posOffset>
              </wp:positionV>
              <wp:extent cx="2296160" cy="254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2296160" cy="2546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3F8B67" w14:textId="77777777" w:rsidR="00647C46" w:rsidRPr="00010417" w:rsidRDefault="00647C46" w:rsidP="00010417">
                          <w:pPr>
                            <w:rPr>
                              <w:szCs w:val="18"/>
                            </w:rPr>
                          </w:pPr>
                          <w:r>
                            <w:rPr>
                              <w:i/>
                              <w:sz w:val="16"/>
                              <w:szCs w:val="16"/>
                            </w:rPr>
                            <w:t>Capgemini 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9C240" id="_x0000_t202" coordsize="21600,21600" o:spt="202" path="m,l,21600r21600,l21600,xe">
              <v:stroke joinstyle="miter"/>
              <v:path gradientshapeok="t" o:connecttype="rect"/>
            </v:shapetype>
            <v:shape id="Text Box 3" o:spid="_x0000_s1026" type="#_x0000_t202" style="position:absolute;left:0;text-align:left;margin-left:-9.85pt;margin-top:807.5pt;width:180.8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" filled="f" stroked="f">
              <v:textbox>
                <w:txbxContent>
                  <w:p w14:paraId="683F8B67" w14:textId="77777777" w:rsidR="00647C46" w:rsidRPr="00010417" w:rsidRDefault="00647C46" w:rsidP="00010417">
                    <w:pPr>
                      <w:rPr>
                        <w:szCs w:val="18"/>
                      </w:rPr>
                    </w:pPr>
                    <w:r>
                      <w:rPr>
                        <w:i/>
                        <w:sz w:val="16"/>
                        <w:szCs w:val="16"/>
                      </w:rPr>
                      <w:t>Capgemini Press Release</w:t>
                    </w:r>
                  </w:p>
                </w:txbxContent>
              </v:textbox>
              <w10:wrap anchory="page"/>
            </v:shape>
          </w:pict>
        </mc:Fallback>
      </mc:AlternateConten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02E4" w14:textId="77777777" w:rsidR="00647C46" w:rsidRDefault="00647C46" w:rsidP="00EF29AB">
    <w:pPr>
      <w:pStyle w:val="Footer"/>
      <w:ind w:right="360"/>
    </w:pPr>
    <w:r>
      <w:rPr>
        <w:noProof/>
        <w:color w:val="00264A"/>
        <w:sz w:val="10"/>
        <w:lang w:val="fr-FR"/>
      </w:rPr>
      <mc:AlternateContent>
        <mc:Choice Requires="wps">
          <w:drawing>
            <wp:anchor distT="0" distB="0" distL="114300" distR="114300" simplePos="0" relativeHeight="251660288" behindDoc="0" locked="0" layoutInCell="1" allowOverlap="1" wp14:anchorId="563DFB0C" wp14:editId="22D4E649">
              <wp:simplePos x="0" y="0"/>
              <wp:positionH relativeFrom="column">
                <wp:posOffset>-125339</wp:posOffset>
              </wp:positionH>
              <wp:positionV relativeFrom="page">
                <wp:posOffset>10253980</wp:posOffset>
              </wp:positionV>
              <wp:extent cx="2296800" cy="255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296800" cy="255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1769F" w14:textId="77777777" w:rsidR="00647C46" w:rsidRPr="00010417" w:rsidRDefault="00647C46" w:rsidP="00EF29AB">
                          <w:pPr>
                            <w:rPr>
                              <w:szCs w:val="18"/>
                            </w:rPr>
                          </w:pPr>
                          <w:r>
                            <w:rPr>
                              <w:i/>
                              <w:sz w:val="16"/>
                              <w:szCs w:val="16"/>
                            </w:rPr>
                            <w:t>Capgemini 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DFB0C" id="_x0000_t202" coordsize="21600,21600" o:spt="202" path="m,l,21600r21600,l21600,xe">
              <v:stroke joinstyle="miter"/>
              <v:path gradientshapeok="t" o:connecttype="rect"/>
            </v:shapetype>
            <v:shape id="Text Box 18" o:spid="_x0000_s1027" type="#_x0000_t202" style="position:absolute;left:0;text-align:left;margin-left:-9.85pt;margin-top:807.4pt;width:180.8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" filled="f" stroked="f">
              <v:textbox>
                <w:txbxContent>
                  <w:p w14:paraId="2151769F" w14:textId="77777777" w:rsidR="00647C46" w:rsidRPr="00010417" w:rsidRDefault="00647C46" w:rsidP="00EF29AB">
                    <w:pPr>
                      <w:rPr>
                        <w:szCs w:val="18"/>
                      </w:rPr>
                    </w:pPr>
                    <w:r>
                      <w:rPr>
                        <w:i/>
                        <w:sz w:val="16"/>
                        <w:szCs w:val="16"/>
                      </w:rPr>
                      <w:t>Capgemini Press Release</w:t>
                    </w:r>
                  </w:p>
                </w:txbxContent>
              </v:textbox>
              <w10:wrap anchory="page"/>
            </v:shape>
          </w:pict>
        </mc:Fallback>
      </mc:AlternateContent>
    </w:r>
    <w:r>
      <w:tab/>
    </w:r>
    <w:r>
      <w:tab/>
    </w:r>
  </w:p>
  <w:p w14:paraId="34FDA8F0" w14:textId="234D4D17" w:rsidR="00647C46" w:rsidRPr="0009520E" w:rsidRDefault="00647C46" w:rsidP="00F96B8D">
    <w:pPr>
      <w:pStyle w:val="Footer"/>
      <w:framePr w:wrap="around" w:vAnchor="text" w:hAnchor="margin" w:xAlign="right" w:y="154" w:anchorLock="1"/>
      <w:rPr>
        <w:rStyle w:val="PageNumber"/>
        <w:rFonts w:ascii="Verdana" w:hAnsi="Verdana" w:cs="Arial"/>
        <w:sz w:val="14"/>
        <w:szCs w:val="16"/>
      </w:rPr>
    </w:pPr>
    <w:r w:rsidRPr="0009520E">
      <w:rPr>
        <w:rStyle w:val="PageNumber"/>
        <w:rFonts w:ascii="Verdana" w:hAnsi="Verdana"/>
      </w:rPr>
      <w:fldChar w:fldCharType="begin"/>
    </w:r>
    <w:r w:rsidRPr="0009520E">
      <w:rPr>
        <w:rStyle w:val="PageNumber"/>
        <w:rFonts w:ascii="Verdana" w:hAnsi="Verdana"/>
      </w:rPr>
      <w:instrText xml:space="preserve">PAGE  </w:instrText>
    </w:r>
    <w:r w:rsidRPr="0009520E">
      <w:rPr>
        <w:rStyle w:val="PageNumber"/>
        <w:rFonts w:ascii="Verdana" w:hAnsi="Verdana"/>
      </w:rPr>
      <w:fldChar w:fldCharType="separate"/>
    </w:r>
    <w:r>
      <w:rPr>
        <w:rStyle w:val="PageNumber"/>
        <w:rFonts w:ascii="Verdana" w:hAnsi="Verdana"/>
        <w:noProof/>
      </w:rPr>
      <w:t>1</w:t>
    </w:r>
    <w:r w:rsidRPr="0009520E">
      <w:rPr>
        <w:rStyle w:val="PageNumber"/>
        <w:rFonts w:ascii="Verdana" w:hAnsi="Verdana"/>
      </w:rPr>
      <w:fldChar w:fldCharType="end"/>
    </w:r>
  </w:p>
  <w:p w14:paraId="0246DD4D" w14:textId="77777777" w:rsidR="00647C46" w:rsidRPr="00E6675F" w:rsidRDefault="0064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BE374" w14:textId="77777777" w:rsidR="009564C7" w:rsidRDefault="009564C7" w:rsidP="002B7B57">
      <w:pPr>
        <w:widowControl w:val="0"/>
      </w:pPr>
      <w:r>
        <w:separator/>
      </w:r>
    </w:p>
  </w:footnote>
  <w:footnote w:type="continuationSeparator" w:id="0">
    <w:p w14:paraId="2DA2742F" w14:textId="77777777" w:rsidR="009564C7" w:rsidRDefault="009564C7">
      <w:r>
        <w:continuationSeparator/>
      </w:r>
    </w:p>
    <w:p w14:paraId="4C5006E4" w14:textId="77777777" w:rsidR="009564C7" w:rsidRDefault="009564C7"/>
    <w:p w14:paraId="35252E2C" w14:textId="77777777" w:rsidR="009564C7" w:rsidRDefault="009564C7" w:rsidP="00C91770"/>
  </w:footnote>
  <w:footnote w:type="continuationNotice" w:id="1">
    <w:p w14:paraId="5285C2B2" w14:textId="77777777" w:rsidR="009564C7" w:rsidRDefault="009564C7"/>
    <w:p w14:paraId="708B04D9" w14:textId="77777777" w:rsidR="009564C7" w:rsidRDefault="009564C7"/>
    <w:p w14:paraId="2045DF09" w14:textId="77777777" w:rsidR="009564C7" w:rsidRDefault="009564C7" w:rsidP="00C91770"/>
  </w:footnote>
  <w:footnote w:id="2">
    <w:p w14:paraId="5C9339B6" w14:textId="77777777" w:rsidR="00647C46" w:rsidRDefault="00647C46">
      <w:pPr>
        <w:pStyle w:val="FootnoteText"/>
      </w:pPr>
      <w:r>
        <w:rPr>
          <w:rStyle w:val="FootnoteReference"/>
        </w:rPr>
        <w:t>*</w:t>
      </w:r>
      <w:r>
        <w:t xml:space="preserve"> The terms and Alternative Performance Measures marked with an (</w:t>
      </w:r>
      <w:r w:rsidRPr="00073D01">
        <w:rPr>
          <w:vertAlign w:val="superscript"/>
        </w:rPr>
        <w:t>*</w:t>
      </w:r>
      <w:r>
        <w:t>) are defined and/or reconciled in the appendix to this press release.</w:t>
      </w:r>
    </w:p>
  </w:footnote>
  <w:footnote w:id="3">
    <w:p w14:paraId="1719E7FE" w14:textId="77777777" w:rsidR="00647C46" w:rsidRDefault="00647C46">
      <w:pPr>
        <w:pStyle w:val="FootnoteText"/>
      </w:pPr>
      <w:r>
        <w:rPr>
          <w:rStyle w:val="FootnoteReference"/>
        </w:rPr>
        <w:footnoteRef/>
      </w:r>
      <w:r>
        <w:t xml:space="preserve"> Audit procedures on the consolidated financial statements have been completed. The auditors are in the process of issuing their report. </w:t>
      </w:r>
    </w:p>
  </w:footnote>
  <w:footnote w:id="4">
    <w:p w14:paraId="57E5ABD3" w14:textId="32CA0FAC" w:rsidR="00647C46" w:rsidRDefault="00647C46" w:rsidP="005165BB">
      <w:pPr>
        <w:pStyle w:val="FootnoteText"/>
      </w:pPr>
      <w:r>
        <w:rPr>
          <w:rStyle w:val="FootnoteReference"/>
        </w:rPr>
        <w:footnoteRef/>
      </w:r>
      <w:r>
        <w:t xml:space="preserve"> Excluding a €53 million expense recognized in 2018 due to the transitional impact of </w:t>
      </w:r>
      <w:r w:rsidR="00FC2D75">
        <w:t xml:space="preserve">the </w:t>
      </w:r>
      <w:r>
        <w:t>tax reform in the U.S.</w:t>
      </w:r>
    </w:p>
  </w:footnote>
  <w:footnote w:id="5">
    <w:p w14:paraId="5597FB33" w14:textId="78A3CD74" w:rsidR="00647C46" w:rsidRPr="00BE7C0F" w:rsidRDefault="00647C46">
      <w:pPr>
        <w:pStyle w:val="FootnoteText"/>
      </w:pPr>
      <w:r>
        <w:rPr>
          <w:rStyle w:val="FootnoteReference"/>
        </w:rPr>
        <w:footnoteRef/>
      </w:r>
      <w:r>
        <w:t xml:space="preserve"> See details in appendix.</w:t>
      </w:r>
    </w:p>
  </w:footnote>
  <w:footnote w:id="6">
    <w:p w14:paraId="05CF6D72" w14:textId="77777777" w:rsidR="00647C46" w:rsidRPr="003063B1" w:rsidRDefault="00647C46" w:rsidP="001A6FC8">
      <w:pPr>
        <w:pStyle w:val="FootnoteText"/>
      </w:pPr>
      <w:r>
        <w:rPr>
          <w:rStyle w:val="FootnoteReference"/>
        </w:rPr>
        <w:footnoteRef/>
      </w:r>
      <w:r>
        <w:t xml:space="preserve"> Note that in the appendix, certain totals may not equal the sum of amounts due to rounding adjustments.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517A" w14:textId="77777777" w:rsidR="00647C46" w:rsidRDefault="0064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2EFF" w14:textId="77777777" w:rsidR="00647C46" w:rsidRDefault="00647C46" w:rsidP="009F4601">
    <w:pPr>
      <w:pStyle w:val="Header"/>
      <w:jc w:val="right"/>
    </w:pPr>
    <w:r>
      <w:rPr>
        <w:noProof/>
        <w:lang w:val="fr-FR"/>
      </w:rPr>
      <w:drawing>
        <wp:anchor distT="0" distB="0" distL="114300" distR="114300" simplePos="0" relativeHeight="251661312" behindDoc="0" locked="0" layoutInCell="1" allowOverlap="1" wp14:anchorId="1592507B" wp14:editId="29263130">
          <wp:simplePos x="0" y="0"/>
          <wp:positionH relativeFrom="margin">
            <wp:posOffset>6118225</wp:posOffset>
          </wp:positionH>
          <wp:positionV relativeFrom="paragraph">
            <wp:posOffset>-191135</wp:posOffset>
          </wp:positionV>
          <wp:extent cx="347345" cy="323215"/>
          <wp:effectExtent l="0" t="0" r="0" b="635"/>
          <wp:wrapNone/>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240C" w14:textId="77777777" w:rsidR="00647C46" w:rsidRDefault="00647C46">
    <w:pPr>
      <w:pStyle w:val="Header"/>
    </w:pPr>
    <w:r>
      <w:rPr>
        <w:noProof/>
        <w:lang w:val="fr-FR"/>
      </w:rPr>
      <w:drawing>
        <wp:inline distT="0" distB="0" distL="0" distR="0" wp14:anchorId="14072BC5" wp14:editId="7226D172">
          <wp:extent cx="1792605" cy="433070"/>
          <wp:effectExtent l="0" t="0" r="0" b="5080"/>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3058DE8A" w14:textId="77777777" w:rsidR="00647C46" w:rsidRDefault="00647C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B225" w14:textId="77777777" w:rsidR="00647C46" w:rsidRDefault="00647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3C0"/>
    <w:multiLevelType w:val="hybridMultilevel"/>
    <w:tmpl w:val="5876FA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3F86204"/>
    <w:multiLevelType w:val="hybridMultilevel"/>
    <w:tmpl w:val="49243EB4"/>
    <w:lvl w:ilvl="0" w:tplc="340ABAF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F2A4A"/>
    <w:multiLevelType w:val="hybridMultilevel"/>
    <w:tmpl w:val="DF8EF4CE"/>
    <w:lvl w:ilvl="0" w:tplc="349A3E92">
      <w:start w:val="1"/>
      <w:numFmt w:val="bullet"/>
      <w:lvlText w:val="●"/>
      <w:lvlJc w:val="left"/>
      <w:pPr>
        <w:ind w:left="1004" w:hanging="360"/>
      </w:pPr>
      <w:rPr>
        <w:rFonts w:ascii="Verdana" w:hAnsi="Verdana" w:hint="default"/>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88037A1"/>
    <w:multiLevelType w:val="hybridMultilevel"/>
    <w:tmpl w:val="CD3CF4E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D5AFC"/>
    <w:multiLevelType w:val="hybridMultilevel"/>
    <w:tmpl w:val="68841DBA"/>
    <w:lvl w:ilvl="0" w:tplc="38C07090">
      <w:numFmt w:val="bullet"/>
      <w:lvlText w:val="-"/>
      <w:lvlJc w:val="left"/>
      <w:pPr>
        <w:tabs>
          <w:tab w:val="num" w:pos="1776"/>
        </w:tabs>
        <w:ind w:left="1776" w:hanging="360"/>
      </w:pPr>
      <w:rPr>
        <w:rFonts w:ascii="Arial" w:eastAsia="Times New Roman" w:hAnsi="Arial" w:cs="Arial"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0A1F7D0A"/>
    <w:multiLevelType w:val="hybridMultilevel"/>
    <w:tmpl w:val="106C6CDA"/>
    <w:lvl w:ilvl="0" w:tplc="6E9CEF18">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CD4F8F"/>
    <w:multiLevelType w:val="hybridMultilevel"/>
    <w:tmpl w:val="15CA3BBC"/>
    <w:lvl w:ilvl="0" w:tplc="A7A63A5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AB3E20"/>
    <w:multiLevelType w:val="hybridMultilevel"/>
    <w:tmpl w:val="5268DF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C2420"/>
    <w:multiLevelType w:val="hybridMultilevel"/>
    <w:tmpl w:val="F1A61BC2"/>
    <w:lvl w:ilvl="0" w:tplc="8B46A0D0">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BA37EF"/>
    <w:multiLevelType w:val="hybridMultilevel"/>
    <w:tmpl w:val="028C3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2A27FC"/>
    <w:multiLevelType w:val="hybridMultilevel"/>
    <w:tmpl w:val="6F7A07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45EFD"/>
    <w:multiLevelType w:val="hybridMultilevel"/>
    <w:tmpl w:val="F9FA820A"/>
    <w:lvl w:ilvl="0" w:tplc="040C0001">
      <w:start w:val="1"/>
      <w:numFmt w:val="bullet"/>
      <w:lvlText w:val=""/>
      <w:lvlJc w:val="left"/>
      <w:pPr>
        <w:tabs>
          <w:tab w:val="num" w:pos="720"/>
        </w:tabs>
        <w:ind w:left="720" w:hanging="360"/>
      </w:pPr>
      <w:rPr>
        <w:rFonts w:ascii="Symbol" w:hAnsi="Symbol" w:hint="default"/>
      </w:rPr>
    </w:lvl>
    <w:lvl w:ilvl="1" w:tplc="6E786FF4">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970561"/>
    <w:multiLevelType w:val="multilevel"/>
    <w:tmpl w:val="9E8273F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824B13"/>
    <w:multiLevelType w:val="hybridMultilevel"/>
    <w:tmpl w:val="DD209F0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96A2D"/>
    <w:multiLevelType w:val="hybridMultilevel"/>
    <w:tmpl w:val="4ACAB272"/>
    <w:lvl w:ilvl="0" w:tplc="593230D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52181"/>
    <w:multiLevelType w:val="hybridMultilevel"/>
    <w:tmpl w:val="257416DE"/>
    <w:lvl w:ilvl="0" w:tplc="B770FAF2">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E87839"/>
    <w:multiLevelType w:val="hybridMultilevel"/>
    <w:tmpl w:val="CE4E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33F86"/>
    <w:multiLevelType w:val="hybridMultilevel"/>
    <w:tmpl w:val="9C120A12"/>
    <w:lvl w:ilvl="0" w:tplc="C08A0762">
      <w:numFmt w:val="bullet"/>
      <w:lvlText w:val="•"/>
      <w:lvlJc w:val="left"/>
      <w:pPr>
        <w:ind w:left="705" w:hanging="705"/>
      </w:pPr>
      <w:rPr>
        <w:rFonts w:ascii="Verdana" w:eastAsia="Times New Roman" w:hAnsi="Verdan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E85D65"/>
    <w:multiLevelType w:val="hybridMultilevel"/>
    <w:tmpl w:val="66067E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B7A8C"/>
    <w:multiLevelType w:val="hybridMultilevel"/>
    <w:tmpl w:val="5EAA1628"/>
    <w:lvl w:ilvl="0" w:tplc="FD74067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BC15EB"/>
    <w:multiLevelType w:val="hybridMultilevel"/>
    <w:tmpl w:val="24CC07D0"/>
    <w:lvl w:ilvl="0" w:tplc="2096A200">
      <w:start w:val="1"/>
      <w:numFmt w:val="bullet"/>
      <w:lvlText w:val="●"/>
      <w:lvlJc w:val="left"/>
      <w:pPr>
        <w:ind w:left="284" w:hanging="284"/>
      </w:pPr>
      <w:rPr>
        <w:rFonts w:ascii="Verdana" w:hAnsi="Verdana" w:hint="default"/>
        <w:sz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3A080BC2"/>
    <w:multiLevelType w:val="hybridMultilevel"/>
    <w:tmpl w:val="97028E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B31EEF"/>
    <w:multiLevelType w:val="hybridMultilevel"/>
    <w:tmpl w:val="E02E0068"/>
    <w:lvl w:ilvl="0" w:tplc="340ABAF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F313F0"/>
    <w:multiLevelType w:val="hybridMultilevel"/>
    <w:tmpl w:val="3386F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96351A"/>
    <w:multiLevelType w:val="hybridMultilevel"/>
    <w:tmpl w:val="CA16224E"/>
    <w:lvl w:ilvl="0" w:tplc="BD506158">
      <w:start w:val="2000"/>
      <w:numFmt w:val="bullet"/>
      <w:lvlText w:val=""/>
      <w:lvlJc w:val="left"/>
      <w:pPr>
        <w:tabs>
          <w:tab w:val="num" w:pos="1260"/>
        </w:tabs>
        <w:ind w:left="1260" w:hanging="360"/>
      </w:pPr>
      <w:rPr>
        <w:rFonts w:ascii="Wingdings" w:eastAsia="Times New Roman" w:hAnsi="Wingdings" w:cs="Aria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4AFC5713"/>
    <w:multiLevelType w:val="hybridMultilevel"/>
    <w:tmpl w:val="5E1CD49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16AF8"/>
    <w:multiLevelType w:val="hybridMultilevel"/>
    <w:tmpl w:val="22404F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9A5FBF"/>
    <w:multiLevelType w:val="hybridMultilevel"/>
    <w:tmpl w:val="EB26AAB2"/>
    <w:lvl w:ilvl="0" w:tplc="148206FE">
      <w:start w:val="1"/>
      <w:numFmt w:val="bullet"/>
      <w:lvlText w:val=""/>
      <w:lvlJc w:val="left"/>
      <w:pPr>
        <w:tabs>
          <w:tab w:val="num" w:pos="700"/>
        </w:tabs>
        <w:ind w:left="700" w:hanging="360"/>
      </w:pPr>
      <w:rPr>
        <w:rFonts w:ascii="Wingdings" w:hAnsi="Wingdings"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6E3D30"/>
    <w:multiLevelType w:val="hybridMultilevel"/>
    <w:tmpl w:val="26B0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A7ADC"/>
    <w:multiLevelType w:val="hybridMultilevel"/>
    <w:tmpl w:val="28E06A2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AF0776"/>
    <w:multiLevelType w:val="hybridMultilevel"/>
    <w:tmpl w:val="CA6C467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D456D6B"/>
    <w:multiLevelType w:val="hybridMultilevel"/>
    <w:tmpl w:val="B38813D0"/>
    <w:lvl w:ilvl="0" w:tplc="CECA95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7B0A0F"/>
    <w:multiLevelType w:val="hybridMultilevel"/>
    <w:tmpl w:val="31FC07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60B958F4"/>
    <w:multiLevelType w:val="hybridMultilevel"/>
    <w:tmpl w:val="717642A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F147D8"/>
    <w:multiLevelType w:val="hybridMultilevel"/>
    <w:tmpl w:val="BFCEC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1C4A34"/>
    <w:multiLevelType w:val="hybridMultilevel"/>
    <w:tmpl w:val="C178C538"/>
    <w:lvl w:ilvl="0" w:tplc="38C07090">
      <w:numFmt w:val="bullet"/>
      <w:lvlText w:val="-"/>
      <w:lvlJc w:val="left"/>
      <w:pPr>
        <w:tabs>
          <w:tab w:val="num" w:pos="1776"/>
        </w:tabs>
        <w:ind w:left="1776" w:hanging="360"/>
      </w:pPr>
      <w:rPr>
        <w:rFonts w:ascii="Arial" w:eastAsia="Times New Roman" w:hAnsi="Arial" w:cs="Arial"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CB0399"/>
    <w:multiLevelType w:val="hybridMultilevel"/>
    <w:tmpl w:val="D0725982"/>
    <w:lvl w:ilvl="0" w:tplc="779E8AF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DF6A9C"/>
    <w:multiLevelType w:val="hybridMultilevel"/>
    <w:tmpl w:val="ACBE6266"/>
    <w:lvl w:ilvl="0" w:tplc="38C07090">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75109"/>
    <w:multiLevelType w:val="hybridMultilevel"/>
    <w:tmpl w:val="D68075C4"/>
    <w:lvl w:ilvl="0" w:tplc="DB560C9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5E2412"/>
    <w:multiLevelType w:val="hybridMultilevel"/>
    <w:tmpl w:val="201A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CE631B"/>
    <w:multiLevelType w:val="hybridMultilevel"/>
    <w:tmpl w:val="BE4010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0B42C8"/>
    <w:multiLevelType w:val="hybridMultilevel"/>
    <w:tmpl w:val="257416DE"/>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A0128D"/>
    <w:multiLevelType w:val="multilevel"/>
    <w:tmpl w:val="EB26AAB2"/>
    <w:lvl w:ilvl="0">
      <w:start w:val="1"/>
      <w:numFmt w:val="bullet"/>
      <w:lvlText w:val=""/>
      <w:lvlJc w:val="left"/>
      <w:pPr>
        <w:tabs>
          <w:tab w:val="num" w:pos="700"/>
        </w:tabs>
        <w:ind w:left="70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2D185C"/>
    <w:multiLevelType w:val="hybridMultilevel"/>
    <w:tmpl w:val="572A414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061A60"/>
    <w:multiLevelType w:val="multilevel"/>
    <w:tmpl w:val="DD209F0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84503F"/>
    <w:multiLevelType w:val="hybridMultilevel"/>
    <w:tmpl w:val="9E8273F0"/>
    <w:lvl w:ilvl="0" w:tplc="593230D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D0532"/>
    <w:multiLevelType w:val="hybridMultilevel"/>
    <w:tmpl w:val="FB44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F7A26"/>
    <w:multiLevelType w:val="hybridMultilevel"/>
    <w:tmpl w:val="8AD2FB9E"/>
    <w:lvl w:ilvl="0" w:tplc="2096A200">
      <w:start w:val="1"/>
      <w:numFmt w:val="bullet"/>
      <w:lvlText w:val="●"/>
      <w:lvlJc w:val="left"/>
      <w:pPr>
        <w:ind w:left="284" w:hanging="284"/>
      </w:pPr>
      <w:rPr>
        <w:rFonts w:ascii="Verdana" w:hAnsi="Verdana"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18"/>
  </w:num>
  <w:num w:numId="4">
    <w:abstractNumId w:val="43"/>
  </w:num>
  <w:num w:numId="5">
    <w:abstractNumId w:val="25"/>
  </w:num>
  <w:num w:numId="6">
    <w:abstractNumId w:val="38"/>
  </w:num>
  <w:num w:numId="7">
    <w:abstractNumId w:val="15"/>
  </w:num>
  <w:num w:numId="8">
    <w:abstractNumId w:val="29"/>
  </w:num>
  <w:num w:numId="9">
    <w:abstractNumId w:val="41"/>
  </w:num>
  <w:num w:numId="10">
    <w:abstractNumId w:val="14"/>
  </w:num>
  <w:num w:numId="11">
    <w:abstractNumId w:val="45"/>
  </w:num>
  <w:num w:numId="12">
    <w:abstractNumId w:val="12"/>
  </w:num>
  <w:num w:numId="13">
    <w:abstractNumId w:val="7"/>
  </w:num>
  <w:num w:numId="14">
    <w:abstractNumId w:val="3"/>
  </w:num>
  <w:num w:numId="15">
    <w:abstractNumId w:val="11"/>
  </w:num>
  <w:num w:numId="16">
    <w:abstractNumId w:val="26"/>
  </w:num>
  <w:num w:numId="17">
    <w:abstractNumId w:val="21"/>
  </w:num>
  <w:num w:numId="18">
    <w:abstractNumId w:val="40"/>
  </w:num>
  <w:num w:numId="19">
    <w:abstractNumId w:val="10"/>
  </w:num>
  <w:num w:numId="20">
    <w:abstractNumId w:val="44"/>
  </w:num>
  <w:num w:numId="21">
    <w:abstractNumId w:val="4"/>
  </w:num>
  <w:num w:numId="22">
    <w:abstractNumId w:val="42"/>
  </w:num>
  <w:num w:numId="23">
    <w:abstractNumId w:val="35"/>
  </w:num>
  <w:num w:numId="24">
    <w:abstractNumId w:val="36"/>
  </w:num>
  <w:num w:numId="25">
    <w:abstractNumId w:val="37"/>
  </w:num>
  <w:num w:numId="26">
    <w:abstractNumId w:val="23"/>
  </w:num>
  <w:num w:numId="27">
    <w:abstractNumId w:val="9"/>
  </w:num>
  <w:num w:numId="28">
    <w:abstractNumId w:val="6"/>
  </w:num>
  <w:num w:numId="29">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8"/>
  </w:num>
  <w:num w:numId="33">
    <w:abstractNumId w:val="1"/>
  </w:num>
  <w:num w:numId="34">
    <w:abstractNumId w:val="22"/>
  </w:num>
  <w:num w:numId="3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0"/>
  </w:num>
  <w:num w:numId="39">
    <w:abstractNumId w:val="24"/>
  </w:num>
  <w:num w:numId="40">
    <w:abstractNumId w:val="33"/>
  </w:num>
  <w:num w:numId="41">
    <w:abstractNumId w:val="34"/>
  </w:num>
  <w:num w:numId="42">
    <w:abstractNumId w:val="39"/>
  </w:num>
  <w:num w:numId="43">
    <w:abstractNumId w:val="17"/>
  </w:num>
  <w:num w:numId="44">
    <w:abstractNumId w:val="16"/>
  </w:num>
  <w:num w:numId="45">
    <w:abstractNumId w:val="46"/>
  </w:num>
  <w:num w:numId="46">
    <w:abstractNumId w:val="0"/>
  </w:num>
  <w:num w:numId="47">
    <w:abstractNumId w:val="2"/>
  </w:num>
  <w:num w:numId="48">
    <w:abstractNumId w:val="20"/>
  </w:num>
  <w:num w:numId="49">
    <w:abstractNumId w:val="47"/>
  </w:num>
  <w:num w:numId="5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2C"/>
    <w:rsid w:val="000008CF"/>
    <w:rsid w:val="000013E5"/>
    <w:rsid w:val="00002160"/>
    <w:rsid w:val="00002F48"/>
    <w:rsid w:val="00005657"/>
    <w:rsid w:val="00005700"/>
    <w:rsid w:val="0000600D"/>
    <w:rsid w:val="0000605F"/>
    <w:rsid w:val="00006A5D"/>
    <w:rsid w:val="00007043"/>
    <w:rsid w:val="00007A97"/>
    <w:rsid w:val="00007F1E"/>
    <w:rsid w:val="00010369"/>
    <w:rsid w:val="00010417"/>
    <w:rsid w:val="000106A4"/>
    <w:rsid w:val="000110AA"/>
    <w:rsid w:val="0001211B"/>
    <w:rsid w:val="0001284F"/>
    <w:rsid w:val="000129A6"/>
    <w:rsid w:val="00012A4D"/>
    <w:rsid w:val="0001310F"/>
    <w:rsid w:val="0001349B"/>
    <w:rsid w:val="0001448D"/>
    <w:rsid w:val="0001572C"/>
    <w:rsid w:val="00020BDC"/>
    <w:rsid w:val="00021680"/>
    <w:rsid w:val="00022570"/>
    <w:rsid w:val="00023280"/>
    <w:rsid w:val="0002359E"/>
    <w:rsid w:val="0002371B"/>
    <w:rsid w:val="00024606"/>
    <w:rsid w:val="000246CC"/>
    <w:rsid w:val="000266E7"/>
    <w:rsid w:val="00026A88"/>
    <w:rsid w:val="00026F09"/>
    <w:rsid w:val="00027664"/>
    <w:rsid w:val="00027A8B"/>
    <w:rsid w:val="00030A83"/>
    <w:rsid w:val="00031101"/>
    <w:rsid w:val="0003575D"/>
    <w:rsid w:val="0003794C"/>
    <w:rsid w:val="00037D16"/>
    <w:rsid w:val="000401AA"/>
    <w:rsid w:val="00040D16"/>
    <w:rsid w:val="00040E37"/>
    <w:rsid w:val="0004139E"/>
    <w:rsid w:val="00043B67"/>
    <w:rsid w:val="00043FFD"/>
    <w:rsid w:val="00044068"/>
    <w:rsid w:val="00044809"/>
    <w:rsid w:val="00044977"/>
    <w:rsid w:val="00047157"/>
    <w:rsid w:val="00047659"/>
    <w:rsid w:val="00047F9D"/>
    <w:rsid w:val="000515D9"/>
    <w:rsid w:val="00052163"/>
    <w:rsid w:val="0005278D"/>
    <w:rsid w:val="000539A9"/>
    <w:rsid w:val="000552F0"/>
    <w:rsid w:val="000555A2"/>
    <w:rsid w:val="00056128"/>
    <w:rsid w:val="00060705"/>
    <w:rsid w:val="00060B70"/>
    <w:rsid w:val="000622BE"/>
    <w:rsid w:val="000623BA"/>
    <w:rsid w:val="00063171"/>
    <w:rsid w:val="0006362E"/>
    <w:rsid w:val="00063A81"/>
    <w:rsid w:val="00063CF0"/>
    <w:rsid w:val="00063EB4"/>
    <w:rsid w:val="0006575C"/>
    <w:rsid w:val="00065E6B"/>
    <w:rsid w:val="00067848"/>
    <w:rsid w:val="00067DF6"/>
    <w:rsid w:val="00070BDD"/>
    <w:rsid w:val="00071971"/>
    <w:rsid w:val="000720E0"/>
    <w:rsid w:val="000720EA"/>
    <w:rsid w:val="00073A99"/>
    <w:rsid w:val="00073D01"/>
    <w:rsid w:val="00074612"/>
    <w:rsid w:val="000762F7"/>
    <w:rsid w:val="00076B47"/>
    <w:rsid w:val="00076B5A"/>
    <w:rsid w:val="00077811"/>
    <w:rsid w:val="00077D0A"/>
    <w:rsid w:val="00077F24"/>
    <w:rsid w:val="00080C64"/>
    <w:rsid w:val="00081583"/>
    <w:rsid w:val="000816DB"/>
    <w:rsid w:val="000820F8"/>
    <w:rsid w:val="00084FC2"/>
    <w:rsid w:val="0008520D"/>
    <w:rsid w:val="00086C01"/>
    <w:rsid w:val="00086D61"/>
    <w:rsid w:val="000870D1"/>
    <w:rsid w:val="00091EB1"/>
    <w:rsid w:val="00091F48"/>
    <w:rsid w:val="00093DD5"/>
    <w:rsid w:val="00093FDD"/>
    <w:rsid w:val="00094BD0"/>
    <w:rsid w:val="0009520E"/>
    <w:rsid w:val="0009536B"/>
    <w:rsid w:val="000957AF"/>
    <w:rsid w:val="0009608C"/>
    <w:rsid w:val="00096391"/>
    <w:rsid w:val="00097632"/>
    <w:rsid w:val="00097D52"/>
    <w:rsid w:val="00097F1E"/>
    <w:rsid w:val="000A05E9"/>
    <w:rsid w:val="000A132F"/>
    <w:rsid w:val="000A1C13"/>
    <w:rsid w:val="000A31FA"/>
    <w:rsid w:val="000A3815"/>
    <w:rsid w:val="000A3DED"/>
    <w:rsid w:val="000A4542"/>
    <w:rsid w:val="000A45BF"/>
    <w:rsid w:val="000A4826"/>
    <w:rsid w:val="000A4F0D"/>
    <w:rsid w:val="000A6C40"/>
    <w:rsid w:val="000A71B7"/>
    <w:rsid w:val="000A7BCA"/>
    <w:rsid w:val="000B0637"/>
    <w:rsid w:val="000B143F"/>
    <w:rsid w:val="000B17B2"/>
    <w:rsid w:val="000B26C9"/>
    <w:rsid w:val="000B291B"/>
    <w:rsid w:val="000B2BAC"/>
    <w:rsid w:val="000B2D1D"/>
    <w:rsid w:val="000B3357"/>
    <w:rsid w:val="000B33EF"/>
    <w:rsid w:val="000B33F8"/>
    <w:rsid w:val="000B5426"/>
    <w:rsid w:val="000B5D02"/>
    <w:rsid w:val="000B5F23"/>
    <w:rsid w:val="000B67AC"/>
    <w:rsid w:val="000C0B96"/>
    <w:rsid w:val="000C157F"/>
    <w:rsid w:val="000C3A40"/>
    <w:rsid w:val="000C3D4E"/>
    <w:rsid w:val="000C3E69"/>
    <w:rsid w:val="000C61DC"/>
    <w:rsid w:val="000C64A4"/>
    <w:rsid w:val="000C65DC"/>
    <w:rsid w:val="000C68F8"/>
    <w:rsid w:val="000C6EE7"/>
    <w:rsid w:val="000C7100"/>
    <w:rsid w:val="000C7E46"/>
    <w:rsid w:val="000D24BB"/>
    <w:rsid w:val="000D453D"/>
    <w:rsid w:val="000D4B99"/>
    <w:rsid w:val="000D5917"/>
    <w:rsid w:val="000D5A2B"/>
    <w:rsid w:val="000D66DD"/>
    <w:rsid w:val="000D6A1C"/>
    <w:rsid w:val="000D7569"/>
    <w:rsid w:val="000E045C"/>
    <w:rsid w:val="000E1094"/>
    <w:rsid w:val="000E164E"/>
    <w:rsid w:val="000E17E4"/>
    <w:rsid w:val="000E1CD1"/>
    <w:rsid w:val="000E1EA1"/>
    <w:rsid w:val="000E364A"/>
    <w:rsid w:val="000E492B"/>
    <w:rsid w:val="000E5D82"/>
    <w:rsid w:val="000E5E76"/>
    <w:rsid w:val="000F0839"/>
    <w:rsid w:val="000F0EE5"/>
    <w:rsid w:val="000F1277"/>
    <w:rsid w:val="000F1ADB"/>
    <w:rsid w:val="000F295C"/>
    <w:rsid w:val="000F2992"/>
    <w:rsid w:val="000F2FA7"/>
    <w:rsid w:val="000F3318"/>
    <w:rsid w:val="000F4873"/>
    <w:rsid w:val="000F56A3"/>
    <w:rsid w:val="000F5ACD"/>
    <w:rsid w:val="000F5B10"/>
    <w:rsid w:val="000F610E"/>
    <w:rsid w:val="000F6978"/>
    <w:rsid w:val="000F6D80"/>
    <w:rsid w:val="000F6DF2"/>
    <w:rsid w:val="000F73C6"/>
    <w:rsid w:val="001003B0"/>
    <w:rsid w:val="001019B3"/>
    <w:rsid w:val="00101A5B"/>
    <w:rsid w:val="00102458"/>
    <w:rsid w:val="001025BF"/>
    <w:rsid w:val="00102E67"/>
    <w:rsid w:val="00103BA5"/>
    <w:rsid w:val="0010549E"/>
    <w:rsid w:val="00105899"/>
    <w:rsid w:val="001058B4"/>
    <w:rsid w:val="00105CB1"/>
    <w:rsid w:val="00106439"/>
    <w:rsid w:val="00106AD3"/>
    <w:rsid w:val="00110225"/>
    <w:rsid w:val="001105F8"/>
    <w:rsid w:val="00110A6A"/>
    <w:rsid w:val="00112895"/>
    <w:rsid w:val="0011458B"/>
    <w:rsid w:val="00114A1C"/>
    <w:rsid w:val="001157CF"/>
    <w:rsid w:val="00116C25"/>
    <w:rsid w:val="00117151"/>
    <w:rsid w:val="00117CBB"/>
    <w:rsid w:val="00120594"/>
    <w:rsid w:val="00120AD1"/>
    <w:rsid w:val="00120AFE"/>
    <w:rsid w:val="0012136A"/>
    <w:rsid w:val="001215C6"/>
    <w:rsid w:val="00121624"/>
    <w:rsid w:val="00121C6B"/>
    <w:rsid w:val="0012345A"/>
    <w:rsid w:val="00123B85"/>
    <w:rsid w:val="00124F89"/>
    <w:rsid w:val="001252BC"/>
    <w:rsid w:val="0012537B"/>
    <w:rsid w:val="00125D17"/>
    <w:rsid w:val="00126139"/>
    <w:rsid w:val="001261F5"/>
    <w:rsid w:val="0012784D"/>
    <w:rsid w:val="00127A3E"/>
    <w:rsid w:val="001302F2"/>
    <w:rsid w:val="0013034E"/>
    <w:rsid w:val="00130CF2"/>
    <w:rsid w:val="0013111B"/>
    <w:rsid w:val="00131393"/>
    <w:rsid w:val="001332C6"/>
    <w:rsid w:val="00133306"/>
    <w:rsid w:val="00133DF4"/>
    <w:rsid w:val="00135451"/>
    <w:rsid w:val="0013565E"/>
    <w:rsid w:val="001361A5"/>
    <w:rsid w:val="0013660A"/>
    <w:rsid w:val="00141144"/>
    <w:rsid w:val="00142BB2"/>
    <w:rsid w:val="00142F9A"/>
    <w:rsid w:val="00144DED"/>
    <w:rsid w:val="00146611"/>
    <w:rsid w:val="00146E7D"/>
    <w:rsid w:val="001504AC"/>
    <w:rsid w:val="001504C3"/>
    <w:rsid w:val="00150C7C"/>
    <w:rsid w:val="001513FC"/>
    <w:rsid w:val="001516B4"/>
    <w:rsid w:val="001517D4"/>
    <w:rsid w:val="00153180"/>
    <w:rsid w:val="00155449"/>
    <w:rsid w:val="00156340"/>
    <w:rsid w:val="00157CB9"/>
    <w:rsid w:val="001603AC"/>
    <w:rsid w:val="00161101"/>
    <w:rsid w:val="001634D3"/>
    <w:rsid w:val="001636F2"/>
    <w:rsid w:val="00163DB0"/>
    <w:rsid w:val="00163E51"/>
    <w:rsid w:val="00164101"/>
    <w:rsid w:val="00164238"/>
    <w:rsid w:val="00164655"/>
    <w:rsid w:val="00164A65"/>
    <w:rsid w:val="00165989"/>
    <w:rsid w:val="001662C1"/>
    <w:rsid w:val="00166E77"/>
    <w:rsid w:val="001701C7"/>
    <w:rsid w:val="00171ACD"/>
    <w:rsid w:val="00171E9B"/>
    <w:rsid w:val="00172B7F"/>
    <w:rsid w:val="001736E9"/>
    <w:rsid w:val="00173F5C"/>
    <w:rsid w:val="00174CB7"/>
    <w:rsid w:val="00175771"/>
    <w:rsid w:val="00175E22"/>
    <w:rsid w:val="00176EFC"/>
    <w:rsid w:val="0018097C"/>
    <w:rsid w:val="00181325"/>
    <w:rsid w:val="0018221E"/>
    <w:rsid w:val="0018297D"/>
    <w:rsid w:val="00182B20"/>
    <w:rsid w:val="001855B4"/>
    <w:rsid w:val="00187A39"/>
    <w:rsid w:val="001911BA"/>
    <w:rsid w:val="00191ADB"/>
    <w:rsid w:val="0019286A"/>
    <w:rsid w:val="00193D32"/>
    <w:rsid w:val="00193E0E"/>
    <w:rsid w:val="0019475C"/>
    <w:rsid w:val="00197509"/>
    <w:rsid w:val="00197866"/>
    <w:rsid w:val="001979AC"/>
    <w:rsid w:val="001A078A"/>
    <w:rsid w:val="001A21B7"/>
    <w:rsid w:val="001A27A0"/>
    <w:rsid w:val="001A29E6"/>
    <w:rsid w:val="001A3130"/>
    <w:rsid w:val="001A3630"/>
    <w:rsid w:val="001A3800"/>
    <w:rsid w:val="001A39E3"/>
    <w:rsid w:val="001A48E3"/>
    <w:rsid w:val="001A5586"/>
    <w:rsid w:val="001A5CF5"/>
    <w:rsid w:val="001A6047"/>
    <w:rsid w:val="001A6902"/>
    <w:rsid w:val="001A6FC8"/>
    <w:rsid w:val="001A73D6"/>
    <w:rsid w:val="001B0022"/>
    <w:rsid w:val="001B065A"/>
    <w:rsid w:val="001B081E"/>
    <w:rsid w:val="001B0DDD"/>
    <w:rsid w:val="001B1046"/>
    <w:rsid w:val="001B1063"/>
    <w:rsid w:val="001B1FFD"/>
    <w:rsid w:val="001B2659"/>
    <w:rsid w:val="001B2666"/>
    <w:rsid w:val="001B27F5"/>
    <w:rsid w:val="001B3D40"/>
    <w:rsid w:val="001B4A02"/>
    <w:rsid w:val="001B4B75"/>
    <w:rsid w:val="001B5BC7"/>
    <w:rsid w:val="001B6CD8"/>
    <w:rsid w:val="001B755B"/>
    <w:rsid w:val="001B7EB3"/>
    <w:rsid w:val="001C06F7"/>
    <w:rsid w:val="001C0C87"/>
    <w:rsid w:val="001C2037"/>
    <w:rsid w:val="001C3388"/>
    <w:rsid w:val="001C68B7"/>
    <w:rsid w:val="001C6D57"/>
    <w:rsid w:val="001C74EF"/>
    <w:rsid w:val="001C7A2B"/>
    <w:rsid w:val="001D04A0"/>
    <w:rsid w:val="001D05A1"/>
    <w:rsid w:val="001D06AB"/>
    <w:rsid w:val="001D1188"/>
    <w:rsid w:val="001D121E"/>
    <w:rsid w:val="001D20F1"/>
    <w:rsid w:val="001D2405"/>
    <w:rsid w:val="001D3486"/>
    <w:rsid w:val="001D44C6"/>
    <w:rsid w:val="001D5252"/>
    <w:rsid w:val="001D664C"/>
    <w:rsid w:val="001D7AB6"/>
    <w:rsid w:val="001D7E54"/>
    <w:rsid w:val="001D7FC9"/>
    <w:rsid w:val="001E1EF5"/>
    <w:rsid w:val="001E2A8E"/>
    <w:rsid w:val="001E423E"/>
    <w:rsid w:val="001E4640"/>
    <w:rsid w:val="001E47FE"/>
    <w:rsid w:val="001E5177"/>
    <w:rsid w:val="001E6002"/>
    <w:rsid w:val="001E66AC"/>
    <w:rsid w:val="001F0811"/>
    <w:rsid w:val="001F09C9"/>
    <w:rsid w:val="001F105E"/>
    <w:rsid w:val="001F1487"/>
    <w:rsid w:val="001F1E51"/>
    <w:rsid w:val="001F24C1"/>
    <w:rsid w:val="001F2CC2"/>
    <w:rsid w:val="001F3145"/>
    <w:rsid w:val="001F35CD"/>
    <w:rsid w:val="001F44DD"/>
    <w:rsid w:val="001F4627"/>
    <w:rsid w:val="001F561E"/>
    <w:rsid w:val="001F59BF"/>
    <w:rsid w:val="001F6018"/>
    <w:rsid w:val="001F607C"/>
    <w:rsid w:val="001F767C"/>
    <w:rsid w:val="0020042C"/>
    <w:rsid w:val="002018FA"/>
    <w:rsid w:val="0020369F"/>
    <w:rsid w:val="002048AB"/>
    <w:rsid w:val="00204F8B"/>
    <w:rsid w:val="0020589E"/>
    <w:rsid w:val="002058DB"/>
    <w:rsid w:val="00205FA8"/>
    <w:rsid w:val="002065AE"/>
    <w:rsid w:val="00206DB0"/>
    <w:rsid w:val="00207020"/>
    <w:rsid w:val="002076DB"/>
    <w:rsid w:val="00212285"/>
    <w:rsid w:val="00212B9A"/>
    <w:rsid w:val="00213794"/>
    <w:rsid w:val="00214956"/>
    <w:rsid w:val="0021508F"/>
    <w:rsid w:val="002150CE"/>
    <w:rsid w:val="00216EEC"/>
    <w:rsid w:val="002175E1"/>
    <w:rsid w:val="00217DB6"/>
    <w:rsid w:val="00222FBF"/>
    <w:rsid w:val="00222FD7"/>
    <w:rsid w:val="0022464C"/>
    <w:rsid w:val="002261E1"/>
    <w:rsid w:val="00226EFB"/>
    <w:rsid w:val="00230101"/>
    <w:rsid w:val="00231488"/>
    <w:rsid w:val="00231689"/>
    <w:rsid w:val="00233CE5"/>
    <w:rsid w:val="00234019"/>
    <w:rsid w:val="0023417D"/>
    <w:rsid w:val="0023438D"/>
    <w:rsid w:val="002354DD"/>
    <w:rsid w:val="00235541"/>
    <w:rsid w:val="00235764"/>
    <w:rsid w:val="00235FC1"/>
    <w:rsid w:val="002360BD"/>
    <w:rsid w:val="00237B91"/>
    <w:rsid w:val="00237C92"/>
    <w:rsid w:val="00237FE3"/>
    <w:rsid w:val="0024070E"/>
    <w:rsid w:val="00240E9E"/>
    <w:rsid w:val="0024170A"/>
    <w:rsid w:val="00241D33"/>
    <w:rsid w:val="00242092"/>
    <w:rsid w:val="0024424D"/>
    <w:rsid w:val="00244920"/>
    <w:rsid w:val="00244D89"/>
    <w:rsid w:val="002454A6"/>
    <w:rsid w:val="00245BF7"/>
    <w:rsid w:val="00246C4C"/>
    <w:rsid w:val="00251C4B"/>
    <w:rsid w:val="0025292C"/>
    <w:rsid w:val="002531D8"/>
    <w:rsid w:val="002533FD"/>
    <w:rsid w:val="002550C8"/>
    <w:rsid w:val="0025551C"/>
    <w:rsid w:val="00255998"/>
    <w:rsid w:val="00255DEF"/>
    <w:rsid w:val="002571DD"/>
    <w:rsid w:val="00257426"/>
    <w:rsid w:val="00257487"/>
    <w:rsid w:val="002579F2"/>
    <w:rsid w:val="00257D54"/>
    <w:rsid w:val="00260E02"/>
    <w:rsid w:val="00261624"/>
    <w:rsid w:val="00261FA8"/>
    <w:rsid w:val="0026296C"/>
    <w:rsid w:val="00262DFF"/>
    <w:rsid w:val="002634B1"/>
    <w:rsid w:val="00263DF7"/>
    <w:rsid w:val="00264F0A"/>
    <w:rsid w:val="002661A2"/>
    <w:rsid w:val="0026647B"/>
    <w:rsid w:val="00266C45"/>
    <w:rsid w:val="00266DB1"/>
    <w:rsid w:val="002700AA"/>
    <w:rsid w:val="00271231"/>
    <w:rsid w:val="0027146C"/>
    <w:rsid w:val="002715DC"/>
    <w:rsid w:val="00273D8A"/>
    <w:rsid w:val="00273DB6"/>
    <w:rsid w:val="00274227"/>
    <w:rsid w:val="00274585"/>
    <w:rsid w:val="00274786"/>
    <w:rsid w:val="00275F20"/>
    <w:rsid w:val="00276C77"/>
    <w:rsid w:val="00277C1B"/>
    <w:rsid w:val="0028192D"/>
    <w:rsid w:val="00281A8F"/>
    <w:rsid w:val="00281E89"/>
    <w:rsid w:val="00283B71"/>
    <w:rsid w:val="0028406D"/>
    <w:rsid w:val="00285433"/>
    <w:rsid w:val="00285511"/>
    <w:rsid w:val="002855A8"/>
    <w:rsid w:val="0028593C"/>
    <w:rsid w:val="002868D8"/>
    <w:rsid w:val="00286B57"/>
    <w:rsid w:val="00287309"/>
    <w:rsid w:val="00287765"/>
    <w:rsid w:val="0029094C"/>
    <w:rsid w:val="002927A1"/>
    <w:rsid w:val="00292957"/>
    <w:rsid w:val="00292A2B"/>
    <w:rsid w:val="00293FEC"/>
    <w:rsid w:val="00294C36"/>
    <w:rsid w:val="002954E4"/>
    <w:rsid w:val="002971FA"/>
    <w:rsid w:val="00297D30"/>
    <w:rsid w:val="002A06A4"/>
    <w:rsid w:val="002A0877"/>
    <w:rsid w:val="002A1E73"/>
    <w:rsid w:val="002A1F41"/>
    <w:rsid w:val="002A1FB1"/>
    <w:rsid w:val="002A2B60"/>
    <w:rsid w:val="002A3354"/>
    <w:rsid w:val="002A3A81"/>
    <w:rsid w:val="002A4774"/>
    <w:rsid w:val="002A4E66"/>
    <w:rsid w:val="002A5169"/>
    <w:rsid w:val="002A525C"/>
    <w:rsid w:val="002A5977"/>
    <w:rsid w:val="002A60FC"/>
    <w:rsid w:val="002A64A1"/>
    <w:rsid w:val="002A6D11"/>
    <w:rsid w:val="002A6E9C"/>
    <w:rsid w:val="002A728F"/>
    <w:rsid w:val="002B0241"/>
    <w:rsid w:val="002B05B2"/>
    <w:rsid w:val="002B07FA"/>
    <w:rsid w:val="002B09DD"/>
    <w:rsid w:val="002B0B58"/>
    <w:rsid w:val="002B165C"/>
    <w:rsid w:val="002B1B8D"/>
    <w:rsid w:val="002B3E31"/>
    <w:rsid w:val="002B4B41"/>
    <w:rsid w:val="002B513E"/>
    <w:rsid w:val="002B5247"/>
    <w:rsid w:val="002B6657"/>
    <w:rsid w:val="002B6A62"/>
    <w:rsid w:val="002B6AD6"/>
    <w:rsid w:val="002B7B57"/>
    <w:rsid w:val="002C012E"/>
    <w:rsid w:val="002C1ECE"/>
    <w:rsid w:val="002C36E0"/>
    <w:rsid w:val="002C3755"/>
    <w:rsid w:val="002C3D7D"/>
    <w:rsid w:val="002C4192"/>
    <w:rsid w:val="002C43A2"/>
    <w:rsid w:val="002C4A37"/>
    <w:rsid w:val="002C6095"/>
    <w:rsid w:val="002C7803"/>
    <w:rsid w:val="002C7B14"/>
    <w:rsid w:val="002D1BAC"/>
    <w:rsid w:val="002D288A"/>
    <w:rsid w:val="002D2E5B"/>
    <w:rsid w:val="002D332B"/>
    <w:rsid w:val="002D39F7"/>
    <w:rsid w:val="002D3FB6"/>
    <w:rsid w:val="002D406A"/>
    <w:rsid w:val="002D4D45"/>
    <w:rsid w:val="002D5777"/>
    <w:rsid w:val="002D7502"/>
    <w:rsid w:val="002D7EC7"/>
    <w:rsid w:val="002E0790"/>
    <w:rsid w:val="002E07C3"/>
    <w:rsid w:val="002E093C"/>
    <w:rsid w:val="002E1392"/>
    <w:rsid w:val="002E1A09"/>
    <w:rsid w:val="002E1B6A"/>
    <w:rsid w:val="002E1C38"/>
    <w:rsid w:val="002E26E7"/>
    <w:rsid w:val="002E383E"/>
    <w:rsid w:val="002E4B27"/>
    <w:rsid w:val="002E54FE"/>
    <w:rsid w:val="002E5F8A"/>
    <w:rsid w:val="002E74F3"/>
    <w:rsid w:val="002F0E18"/>
    <w:rsid w:val="002F1E3F"/>
    <w:rsid w:val="002F2796"/>
    <w:rsid w:val="002F43ED"/>
    <w:rsid w:val="002F4975"/>
    <w:rsid w:val="002F5B8F"/>
    <w:rsid w:val="002F69A8"/>
    <w:rsid w:val="002F7AB1"/>
    <w:rsid w:val="003004D0"/>
    <w:rsid w:val="003008E0"/>
    <w:rsid w:val="00300BCD"/>
    <w:rsid w:val="00300F7F"/>
    <w:rsid w:val="0030171F"/>
    <w:rsid w:val="00301B39"/>
    <w:rsid w:val="00301C2C"/>
    <w:rsid w:val="00301DA6"/>
    <w:rsid w:val="00302D41"/>
    <w:rsid w:val="00302EC1"/>
    <w:rsid w:val="0030376A"/>
    <w:rsid w:val="0030388C"/>
    <w:rsid w:val="00303C88"/>
    <w:rsid w:val="00303E1D"/>
    <w:rsid w:val="00304246"/>
    <w:rsid w:val="00304713"/>
    <w:rsid w:val="00304D4A"/>
    <w:rsid w:val="00304DB2"/>
    <w:rsid w:val="003058EB"/>
    <w:rsid w:val="00305B56"/>
    <w:rsid w:val="00305D0C"/>
    <w:rsid w:val="00306695"/>
    <w:rsid w:val="00306E96"/>
    <w:rsid w:val="00307252"/>
    <w:rsid w:val="0030736B"/>
    <w:rsid w:val="0030799D"/>
    <w:rsid w:val="00310FED"/>
    <w:rsid w:val="00311464"/>
    <w:rsid w:val="0031240F"/>
    <w:rsid w:val="003125DB"/>
    <w:rsid w:val="00312AED"/>
    <w:rsid w:val="003138A9"/>
    <w:rsid w:val="003139B5"/>
    <w:rsid w:val="00314659"/>
    <w:rsid w:val="00314BAC"/>
    <w:rsid w:val="003157B5"/>
    <w:rsid w:val="00315E89"/>
    <w:rsid w:val="00316138"/>
    <w:rsid w:val="0031655B"/>
    <w:rsid w:val="00316A27"/>
    <w:rsid w:val="00321C3B"/>
    <w:rsid w:val="00322E5C"/>
    <w:rsid w:val="003237E5"/>
    <w:rsid w:val="00323C5D"/>
    <w:rsid w:val="0032461D"/>
    <w:rsid w:val="00324F0B"/>
    <w:rsid w:val="003250B6"/>
    <w:rsid w:val="003253B6"/>
    <w:rsid w:val="00325B31"/>
    <w:rsid w:val="0032740F"/>
    <w:rsid w:val="00330BD1"/>
    <w:rsid w:val="00332DA2"/>
    <w:rsid w:val="00333501"/>
    <w:rsid w:val="0033472B"/>
    <w:rsid w:val="003347D9"/>
    <w:rsid w:val="00334B7F"/>
    <w:rsid w:val="00334BDE"/>
    <w:rsid w:val="00334E9F"/>
    <w:rsid w:val="00335057"/>
    <w:rsid w:val="00336A5D"/>
    <w:rsid w:val="00337CE5"/>
    <w:rsid w:val="00341223"/>
    <w:rsid w:val="00343793"/>
    <w:rsid w:val="00343804"/>
    <w:rsid w:val="00343A03"/>
    <w:rsid w:val="00343B40"/>
    <w:rsid w:val="003459EA"/>
    <w:rsid w:val="00345E44"/>
    <w:rsid w:val="00345F8D"/>
    <w:rsid w:val="003463CE"/>
    <w:rsid w:val="003464D9"/>
    <w:rsid w:val="00347409"/>
    <w:rsid w:val="003500A5"/>
    <w:rsid w:val="00351173"/>
    <w:rsid w:val="00351CAE"/>
    <w:rsid w:val="00353B2E"/>
    <w:rsid w:val="0035408B"/>
    <w:rsid w:val="00354252"/>
    <w:rsid w:val="003543E3"/>
    <w:rsid w:val="00356A4C"/>
    <w:rsid w:val="00357223"/>
    <w:rsid w:val="00357680"/>
    <w:rsid w:val="0036123C"/>
    <w:rsid w:val="0036160F"/>
    <w:rsid w:val="00361EC0"/>
    <w:rsid w:val="00362873"/>
    <w:rsid w:val="003628B7"/>
    <w:rsid w:val="003638C5"/>
    <w:rsid w:val="003647AA"/>
    <w:rsid w:val="003651D2"/>
    <w:rsid w:val="003654F1"/>
    <w:rsid w:val="00365AA1"/>
    <w:rsid w:val="00365DDA"/>
    <w:rsid w:val="00366358"/>
    <w:rsid w:val="00366EC4"/>
    <w:rsid w:val="00367600"/>
    <w:rsid w:val="00370901"/>
    <w:rsid w:val="00370A82"/>
    <w:rsid w:val="00370AC4"/>
    <w:rsid w:val="00371502"/>
    <w:rsid w:val="00371E1D"/>
    <w:rsid w:val="00371F4C"/>
    <w:rsid w:val="003726D2"/>
    <w:rsid w:val="00373252"/>
    <w:rsid w:val="003744D1"/>
    <w:rsid w:val="00374EBD"/>
    <w:rsid w:val="003752C2"/>
    <w:rsid w:val="00375423"/>
    <w:rsid w:val="00375E3B"/>
    <w:rsid w:val="00376F82"/>
    <w:rsid w:val="00377265"/>
    <w:rsid w:val="003775C4"/>
    <w:rsid w:val="00382D15"/>
    <w:rsid w:val="00383941"/>
    <w:rsid w:val="0038457F"/>
    <w:rsid w:val="003846E8"/>
    <w:rsid w:val="00384B2C"/>
    <w:rsid w:val="00384BE4"/>
    <w:rsid w:val="00384C12"/>
    <w:rsid w:val="00384CA7"/>
    <w:rsid w:val="003859C0"/>
    <w:rsid w:val="00385AC7"/>
    <w:rsid w:val="00386954"/>
    <w:rsid w:val="003869B3"/>
    <w:rsid w:val="00386DA8"/>
    <w:rsid w:val="0039001A"/>
    <w:rsid w:val="0039066F"/>
    <w:rsid w:val="003913B9"/>
    <w:rsid w:val="00391C9B"/>
    <w:rsid w:val="00391D12"/>
    <w:rsid w:val="00392AF8"/>
    <w:rsid w:val="003931DA"/>
    <w:rsid w:val="003932C4"/>
    <w:rsid w:val="0039364E"/>
    <w:rsid w:val="003936B3"/>
    <w:rsid w:val="0039395E"/>
    <w:rsid w:val="00394E74"/>
    <w:rsid w:val="00394F1B"/>
    <w:rsid w:val="0039629B"/>
    <w:rsid w:val="00396A46"/>
    <w:rsid w:val="00396FA6"/>
    <w:rsid w:val="00397636"/>
    <w:rsid w:val="003A35C4"/>
    <w:rsid w:val="003A49AA"/>
    <w:rsid w:val="003A5B89"/>
    <w:rsid w:val="003A64F6"/>
    <w:rsid w:val="003A71F5"/>
    <w:rsid w:val="003A7588"/>
    <w:rsid w:val="003A769D"/>
    <w:rsid w:val="003B1281"/>
    <w:rsid w:val="003B12CE"/>
    <w:rsid w:val="003B1A28"/>
    <w:rsid w:val="003B2B8B"/>
    <w:rsid w:val="003B330D"/>
    <w:rsid w:val="003B357D"/>
    <w:rsid w:val="003B4BD6"/>
    <w:rsid w:val="003B5496"/>
    <w:rsid w:val="003B5942"/>
    <w:rsid w:val="003B6351"/>
    <w:rsid w:val="003B6372"/>
    <w:rsid w:val="003B64FB"/>
    <w:rsid w:val="003B7014"/>
    <w:rsid w:val="003B72EC"/>
    <w:rsid w:val="003B7C4C"/>
    <w:rsid w:val="003C034E"/>
    <w:rsid w:val="003C0FBE"/>
    <w:rsid w:val="003C1095"/>
    <w:rsid w:val="003C3E54"/>
    <w:rsid w:val="003C481F"/>
    <w:rsid w:val="003C510B"/>
    <w:rsid w:val="003C5D5B"/>
    <w:rsid w:val="003C667E"/>
    <w:rsid w:val="003C6998"/>
    <w:rsid w:val="003C6ED1"/>
    <w:rsid w:val="003C788C"/>
    <w:rsid w:val="003D0BD8"/>
    <w:rsid w:val="003D1486"/>
    <w:rsid w:val="003D1B6B"/>
    <w:rsid w:val="003D1BCB"/>
    <w:rsid w:val="003D1CB1"/>
    <w:rsid w:val="003D21BA"/>
    <w:rsid w:val="003D33D0"/>
    <w:rsid w:val="003D3519"/>
    <w:rsid w:val="003D4AD2"/>
    <w:rsid w:val="003D4D5C"/>
    <w:rsid w:val="003D4FB1"/>
    <w:rsid w:val="003D54FF"/>
    <w:rsid w:val="003D63C2"/>
    <w:rsid w:val="003E0138"/>
    <w:rsid w:val="003E032F"/>
    <w:rsid w:val="003E0F77"/>
    <w:rsid w:val="003E11DB"/>
    <w:rsid w:val="003E153D"/>
    <w:rsid w:val="003E1AD7"/>
    <w:rsid w:val="003E1B05"/>
    <w:rsid w:val="003E1CEC"/>
    <w:rsid w:val="003E1E3C"/>
    <w:rsid w:val="003E2B27"/>
    <w:rsid w:val="003E41CF"/>
    <w:rsid w:val="003E499E"/>
    <w:rsid w:val="003E7262"/>
    <w:rsid w:val="003F0205"/>
    <w:rsid w:val="003F02B9"/>
    <w:rsid w:val="003F1F02"/>
    <w:rsid w:val="003F20C1"/>
    <w:rsid w:val="003F2C9C"/>
    <w:rsid w:val="003F3EAE"/>
    <w:rsid w:val="003F505C"/>
    <w:rsid w:val="003F514E"/>
    <w:rsid w:val="003F5B46"/>
    <w:rsid w:val="003F5DA1"/>
    <w:rsid w:val="003F66D3"/>
    <w:rsid w:val="003F6AAF"/>
    <w:rsid w:val="003F6B67"/>
    <w:rsid w:val="003F73FD"/>
    <w:rsid w:val="003F7F5A"/>
    <w:rsid w:val="003F7F7B"/>
    <w:rsid w:val="00401DD8"/>
    <w:rsid w:val="00401EAC"/>
    <w:rsid w:val="00402C9C"/>
    <w:rsid w:val="00402F95"/>
    <w:rsid w:val="0040468A"/>
    <w:rsid w:val="00406333"/>
    <w:rsid w:val="004065DF"/>
    <w:rsid w:val="004075C9"/>
    <w:rsid w:val="00410A60"/>
    <w:rsid w:val="00410BE5"/>
    <w:rsid w:val="00411039"/>
    <w:rsid w:val="00412552"/>
    <w:rsid w:val="004130F0"/>
    <w:rsid w:val="00413688"/>
    <w:rsid w:val="00416BF8"/>
    <w:rsid w:val="004173F5"/>
    <w:rsid w:val="00417557"/>
    <w:rsid w:val="00417E9D"/>
    <w:rsid w:val="0042075F"/>
    <w:rsid w:val="0042364B"/>
    <w:rsid w:val="00423974"/>
    <w:rsid w:val="00425577"/>
    <w:rsid w:val="00425B71"/>
    <w:rsid w:val="004263ED"/>
    <w:rsid w:val="00430AD4"/>
    <w:rsid w:val="00431831"/>
    <w:rsid w:val="00432D36"/>
    <w:rsid w:val="00433690"/>
    <w:rsid w:val="004337DA"/>
    <w:rsid w:val="00434B45"/>
    <w:rsid w:val="00434D73"/>
    <w:rsid w:val="00434D81"/>
    <w:rsid w:val="00435085"/>
    <w:rsid w:val="0043606C"/>
    <w:rsid w:val="00436E95"/>
    <w:rsid w:val="00437689"/>
    <w:rsid w:val="00437DED"/>
    <w:rsid w:val="0044003A"/>
    <w:rsid w:val="00440630"/>
    <w:rsid w:val="0044085D"/>
    <w:rsid w:val="00440E77"/>
    <w:rsid w:val="00443403"/>
    <w:rsid w:val="00443449"/>
    <w:rsid w:val="0044383B"/>
    <w:rsid w:val="00443914"/>
    <w:rsid w:val="00443A10"/>
    <w:rsid w:val="00443A6A"/>
    <w:rsid w:val="0044412F"/>
    <w:rsid w:val="00444390"/>
    <w:rsid w:val="004446F3"/>
    <w:rsid w:val="00445A08"/>
    <w:rsid w:val="0044658F"/>
    <w:rsid w:val="00446BE3"/>
    <w:rsid w:val="00446DD3"/>
    <w:rsid w:val="004479C6"/>
    <w:rsid w:val="004501B2"/>
    <w:rsid w:val="004502A0"/>
    <w:rsid w:val="00450347"/>
    <w:rsid w:val="00450415"/>
    <w:rsid w:val="0045070C"/>
    <w:rsid w:val="00450A85"/>
    <w:rsid w:val="00450E0F"/>
    <w:rsid w:val="004511F8"/>
    <w:rsid w:val="00451299"/>
    <w:rsid w:val="004521A9"/>
    <w:rsid w:val="0045251E"/>
    <w:rsid w:val="00452A8E"/>
    <w:rsid w:val="00452CE8"/>
    <w:rsid w:val="00452DE1"/>
    <w:rsid w:val="00452FAB"/>
    <w:rsid w:val="004538FD"/>
    <w:rsid w:val="00453A3B"/>
    <w:rsid w:val="00453DC1"/>
    <w:rsid w:val="00453EB1"/>
    <w:rsid w:val="0046107D"/>
    <w:rsid w:val="004623F5"/>
    <w:rsid w:val="0046296C"/>
    <w:rsid w:val="00462A59"/>
    <w:rsid w:val="00462C66"/>
    <w:rsid w:val="004637F3"/>
    <w:rsid w:val="00463F1E"/>
    <w:rsid w:val="004657BB"/>
    <w:rsid w:val="004664EA"/>
    <w:rsid w:val="00466C95"/>
    <w:rsid w:val="004670E0"/>
    <w:rsid w:val="00470365"/>
    <w:rsid w:val="004705AA"/>
    <w:rsid w:val="004705EC"/>
    <w:rsid w:val="004706E0"/>
    <w:rsid w:val="0047218C"/>
    <w:rsid w:val="004721EB"/>
    <w:rsid w:val="00474233"/>
    <w:rsid w:val="00480612"/>
    <w:rsid w:val="00480F2D"/>
    <w:rsid w:val="00481ADF"/>
    <w:rsid w:val="00483114"/>
    <w:rsid w:val="00483243"/>
    <w:rsid w:val="00483704"/>
    <w:rsid w:val="004838E8"/>
    <w:rsid w:val="00483AFA"/>
    <w:rsid w:val="00484E79"/>
    <w:rsid w:val="00485113"/>
    <w:rsid w:val="004872F5"/>
    <w:rsid w:val="00487503"/>
    <w:rsid w:val="00490653"/>
    <w:rsid w:val="0049120A"/>
    <w:rsid w:val="00492418"/>
    <w:rsid w:val="00492828"/>
    <w:rsid w:val="00492AF1"/>
    <w:rsid w:val="00493632"/>
    <w:rsid w:val="00493CA5"/>
    <w:rsid w:val="0049438B"/>
    <w:rsid w:val="004953A7"/>
    <w:rsid w:val="00495432"/>
    <w:rsid w:val="00495DDA"/>
    <w:rsid w:val="004973E5"/>
    <w:rsid w:val="00497B28"/>
    <w:rsid w:val="004A0390"/>
    <w:rsid w:val="004A0717"/>
    <w:rsid w:val="004A0720"/>
    <w:rsid w:val="004A0A0A"/>
    <w:rsid w:val="004A2815"/>
    <w:rsid w:val="004A2DD0"/>
    <w:rsid w:val="004A3104"/>
    <w:rsid w:val="004A3310"/>
    <w:rsid w:val="004A343E"/>
    <w:rsid w:val="004A3579"/>
    <w:rsid w:val="004A39F6"/>
    <w:rsid w:val="004A3CD9"/>
    <w:rsid w:val="004A3F40"/>
    <w:rsid w:val="004A449C"/>
    <w:rsid w:val="004A45FB"/>
    <w:rsid w:val="004A4C99"/>
    <w:rsid w:val="004A515F"/>
    <w:rsid w:val="004A74B1"/>
    <w:rsid w:val="004A7707"/>
    <w:rsid w:val="004B0CA9"/>
    <w:rsid w:val="004B13E5"/>
    <w:rsid w:val="004B2BE8"/>
    <w:rsid w:val="004B37FF"/>
    <w:rsid w:val="004B457E"/>
    <w:rsid w:val="004B53B4"/>
    <w:rsid w:val="004B568C"/>
    <w:rsid w:val="004B662B"/>
    <w:rsid w:val="004B6DA9"/>
    <w:rsid w:val="004B72C6"/>
    <w:rsid w:val="004B7927"/>
    <w:rsid w:val="004B7D8C"/>
    <w:rsid w:val="004C00D8"/>
    <w:rsid w:val="004C17B5"/>
    <w:rsid w:val="004C240A"/>
    <w:rsid w:val="004C3335"/>
    <w:rsid w:val="004C46EB"/>
    <w:rsid w:val="004C4E67"/>
    <w:rsid w:val="004C6AFF"/>
    <w:rsid w:val="004C6FA0"/>
    <w:rsid w:val="004C7A41"/>
    <w:rsid w:val="004D1621"/>
    <w:rsid w:val="004D1D53"/>
    <w:rsid w:val="004D256F"/>
    <w:rsid w:val="004D273D"/>
    <w:rsid w:val="004D3EAE"/>
    <w:rsid w:val="004D41A8"/>
    <w:rsid w:val="004D4333"/>
    <w:rsid w:val="004D43FE"/>
    <w:rsid w:val="004D490C"/>
    <w:rsid w:val="004D56B9"/>
    <w:rsid w:val="004D70DE"/>
    <w:rsid w:val="004E0899"/>
    <w:rsid w:val="004E1142"/>
    <w:rsid w:val="004E136B"/>
    <w:rsid w:val="004E3124"/>
    <w:rsid w:val="004E3B64"/>
    <w:rsid w:val="004E4624"/>
    <w:rsid w:val="004E4AA5"/>
    <w:rsid w:val="004E4D2A"/>
    <w:rsid w:val="004E50E7"/>
    <w:rsid w:val="004E5124"/>
    <w:rsid w:val="004E514E"/>
    <w:rsid w:val="004E52B8"/>
    <w:rsid w:val="004E5575"/>
    <w:rsid w:val="004E55AE"/>
    <w:rsid w:val="004E60A7"/>
    <w:rsid w:val="004E6F10"/>
    <w:rsid w:val="004E755C"/>
    <w:rsid w:val="004E7795"/>
    <w:rsid w:val="004E77EB"/>
    <w:rsid w:val="004F098B"/>
    <w:rsid w:val="004F1383"/>
    <w:rsid w:val="004F1897"/>
    <w:rsid w:val="004F1F6C"/>
    <w:rsid w:val="004F2190"/>
    <w:rsid w:val="004F285B"/>
    <w:rsid w:val="004F31FC"/>
    <w:rsid w:val="004F3939"/>
    <w:rsid w:val="004F3A2F"/>
    <w:rsid w:val="004F41B2"/>
    <w:rsid w:val="004F54D5"/>
    <w:rsid w:val="004F5654"/>
    <w:rsid w:val="004F5ECD"/>
    <w:rsid w:val="004F628C"/>
    <w:rsid w:val="004F65F5"/>
    <w:rsid w:val="004F7F96"/>
    <w:rsid w:val="00501D6D"/>
    <w:rsid w:val="005029BE"/>
    <w:rsid w:val="00502CB5"/>
    <w:rsid w:val="00502FD4"/>
    <w:rsid w:val="0050600F"/>
    <w:rsid w:val="00507A7C"/>
    <w:rsid w:val="005105A7"/>
    <w:rsid w:val="00510B0C"/>
    <w:rsid w:val="00510D11"/>
    <w:rsid w:val="00511222"/>
    <w:rsid w:val="005121EE"/>
    <w:rsid w:val="00512473"/>
    <w:rsid w:val="005125B2"/>
    <w:rsid w:val="00512A24"/>
    <w:rsid w:val="00512F7F"/>
    <w:rsid w:val="00513690"/>
    <w:rsid w:val="00513CCB"/>
    <w:rsid w:val="005165BB"/>
    <w:rsid w:val="00516930"/>
    <w:rsid w:val="00517886"/>
    <w:rsid w:val="005178A8"/>
    <w:rsid w:val="0051797A"/>
    <w:rsid w:val="005179B0"/>
    <w:rsid w:val="00517A8E"/>
    <w:rsid w:val="00520C05"/>
    <w:rsid w:val="0052127D"/>
    <w:rsid w:val="005212C1"/>
    <w:rsid w:val="005212DD"/>
    <w:rsid w:val="005217EF"/>
    <w:rsid w:val="00521B7A"/>
    <w:rsid w:val="005228C4"/>
    <w:rsid w:val="00522F69"/>
    <w:rsid w:val="00523DF5"/>
    <w:rsid w:val="00524DC8"/>
    <w:rsid w:val="00525581"/>
    <w:rsid w:val="00531C78"/>
    <w:rsid w:val="00533276"/>
    <w:rsid w:val="00533E17"/>
    <w:rsid w:val="005359A0"/>
    <w:rsid w:val="0053659E"/>
    <w:rsid w:val="00536BA1"/>
    <w:rsid w:val="00537C72"/>
    <w:rsid w:val="00540556"/>
    <w:rsid w:val="0054132B"/>
    <w:rsid w:val="00541B4E"/>
    <w:rsid w:val="00541D83"/>
    <w:rsid w:val="00542574"/>
    <w:rsid w:val="0054271D"/>
    <w:rsid w:val="00543B8F"/>
    <w:rsid w:val="005453A7"/>
    <w:rsid w:val="00545490"/>
    <w:rsid w:val="00545873"/>
    <w:rsid w:val="00545A72"/>
    <w:rsid w:val="00546C68"/>
    <w:rsid w:val="00547554"/>
    <w:rsid w:val="00547BFB"/>
    <w:rsid w:val="0055015C"/>
    <w:rsid w:val="005526FF"/>
    <w:rsid w:val="00552C0D"/>
    <w:rsid w:val="00554594"/>
    <w:rsid w:val="0055669F"/>
    <w:rsid w:val="00556922"/>
    <w:rsid w:val="0056137F"/>
    <w:rsid w:val="00562418"/>
    <w:rsid w:val="00562DE0"/>
    <w:rsid w:val="00564058"/>
    <w:rsid w:val="00564838"/>
    <w:rsid w:val="00564BD7"/>
    <w:rsid w:val="00564D56"/>
    <w:rsid w:val="005656D7"/>
    <w:rsid w:val="00567455"/>
    <w:rsid w:val="0057156C"/>
    <w:rsid w:val="005715E6"/>
    <w:rsid w:val="005730AA"/>
    <w:rsid w:val="00573344"/>
    <w:rsid w:val="00573FBD"/>
    <w:rsid w:val="005746CE"/>
    <w:rsid w:val="00576B91"/>
    <w:rsid w:val="00577D30"/>
    <w:rsid w:val="00581432"/>
    <w:rsid w:val="00582125"/>
    <w:rsid w:val="0058246B"/>
    <w:rsid w:val="00582D66"/>
    <w:rsid w:val="00582E9E"/>
    <w:rsid w:val="00582FE8"/>
    <w:rsid w:val="0058364F"/>
    <w:rsid w:val="00583861"/>
    <w:rsid w:val="00583C00"/>
    <w:rsid w:val="00583C12"/>
    <w:rsid w:val="005848A4"/>
    <w:rsid w:val="00584BA9"/>
    <w:rsid w:val="005868AA"/>
    <w:rsid w:val="00587642"/>
    <w:rsid w:val="005900A8"/>
    <w:rsid w:val="005912D9"/>
    <w:rsid w:val="00591E6B"/>
    <w:rsid w:val="00592F29"/>
    <w:rsid w:val="005938BC"/>
    <w:rsid w:val="00593F4F"/>
    <w:rsid w:val="0059509B"/>
    <w:rsid w:val="0059554E"/>
    <w:rsid w:val="0059602D"/>
    <w:rsid w:val="005976A9"/>
    <w:rsid w:val="00597E08"/>
    <w:rsid w:val="005A0D7C"/>
    <w:rsid w:val="005A11E8"/>
    <w:rsid w:val="005A13C7"/>
    <w:rsid w:val="005A1BF2"/>
    <w:rsid w:val="005A2581"/>
    <w:rsid w:val="005A463E"/>
    <w:rsid w:val="005A4B80"/>
    <w:rsid w:val="005A77A0"/>
    <w:rsid w:val="005B2A0D"/>
    <w:rsid w:val="005B2A2E"/>
    <w:rsid w:val="005B3D37"/>
    <w:rsid w:val="005B3E34"/>
    <w:rsid w:val="005B435A"/>
    <w:rsid w:val="005B5981"/>
    <w:rsid w:val="005B5AD7"/>
    <w:rsid w:val="005B69ED"/>
    <w:rsid w:val="005B72BD"/>
    <w:rsid w:val="005B757D"/>
    <w:rsid w:val="005C00A7"/>
    <w:rsid w:val="005C082A"/>
    <w:rsid w:val="005C12F9"/>
    <w:rsid w:val="005C1436"/>
    <w:rsid w:val="005C1C59"/>
    <w:rsid w:val="005C1DAB"/>
    <w:rsid w:val="005C2303"/>
    <w:rsid w:val="005C233B"/>
    <w:rsid w:val="005C2DB4"/>
    <w:rsid w:val="005C34EA"/>
    <w:rsid w:val="005C3AFF"/>
    <w:rsid w:val="005C3E38"/>
    <w:rsid w:val="005C3F15"/>
    <w:rsid w:val="005C4801"/>
    <w:rsid w:val="005C5831"/>
    <w:rsid w:val="005C586D"/>
    <w:rsid w:val="005C6176"/>
    <w:rsid w:val="005C6204"/>
    <w:rsid w:val="005C6892"/>
    <w:rsid w:val="005C6D83"/>
    <w:rsid w:val="005C7B94"/>
    <w:rsid w:val="005D0851"/>
    <w:rsid w:val="005D0DDB"/>
    <w:rsid w:val="005D1A53"/>
    <w:rsid w:val="005D1D19"/>
    <w:rsid w:val="005D378A"/>
    <w:rsid w:val="005D3BF1"/>
    <w:rsid w:val="005D3DAA"/>
    <w:rsid w:val="005D41D9"/>
    <w:rsid w:val="005D49CF"/>
    <w:rsid w:val="005D5521"/>
    <w:rsid w:val="005D73CC"/>
    <w:rsid w:val="005D789B"/>
    <w:rsid w:val="005D7CDE"/>
    <w:rsid w:val="005E121D"/>
    <w:rsid w:val="005E1D24"/>
    <w:rsid w:val="005E2D17"/>
    <w:rsid w:val="005E31BA"/>
    <w:rsid w:val="005E41D2"/>
    <w:rsid w:val="005E609C"/>
    <w:rsid w:val="005E65A6"/>
    <w:rsid w:val="005E6672"/>
    <w:rsid w:val="005E6835"/>
    <w:rsid w:val="005F0D4E"/>
    <w:rsid w:val="005F13E0"/>
    <w:rsid w:val="005F14FE"/>
    <w:rsid w:val="005F2CBD"/>
    <w:rsid w:val="005F2E4A"/>
    <w:rsid w:val="005F35FC"/>
    <w:rsid w:val="005F3B1D"/>
    <w:rsid w:val="005F3BCD"/>
    <w:rsid w:val="005F3DBD"/>
    <w:rsid w:val="005F4BD1"/>
    <w:rsid w:val="005F5855"/>
    <w:rsid w:val="005F68B5"/>
    <w:rsid w:val="005F6D15"/>
    <w:rsid w:val="005F6E08"/>
    <w:rsid w:val="005F75AD"/>
    <w:rsid w:val="005F784B"/>
    <w:rsid w:val="00600262"/>
    <w:rsid w:val="006004EB"/>
    <w:rsid w:val="0060054F"/>
    <w:rsid w:val="00600886"/>
    <w:rsid w:val="0060118A"/>
    <w:rsid w:val="006014A4"/>
    <w:rsid w:val="00601DE2"/>
    <w:rsid w:val="006023C0"/>
    <w:rsid w:val="00602879"/>
    <w:rsid w:val="00602ABD"/>
    <w:rsid w:val="00602B15"/>
    <w:rsid w:val="00605361"/>
    <w:rsid w:val="00605533"/>
    <w:rsid w:val="00605EA8"/>
    <w:rsid w:val="0060718B"/>
    <w:rsid w:val="0060767B"/>
    <w:rsid w:val="00607E8B"/>
    <w:rsid w:val="00607E99"/>
    <w:rsid w:val="006112E8"/>
    <w:rsid w:val="00611889"/>
    <w:rsid w:val="00611D41"/>
    <w:rsid w:val="00612556"/>
    <w:rsid w:val="00612694"/>
    <w:rsid w:val="0061319F"/>
    <w:rsid w:val="0061323A"/>
    <w:rsid w:val="00613E21"/>
    <w:rsid w:val="00613F53"/>
    <w:rsid w:val="00614516"/>
    <w:rsid w:val="00615213"/>
    <w:rsid w:val="0061559A"/>
    <w:rsid w:val="006166A2"/>
    <w:rsid w:val="0061772E"/>
    <w:rsid w:val="00620279"/>
    <w:rsid w:val="006204B2"/>
    <w:rsid w:val="00621479"/>
    <w:rsid w:val="00621C9C"/>
    <w:rsid w:val="006225AA"/>
    <w:rsid w:val="00623173"/>
    <w:rsid w:val="0062545A"/>
    <w:rsid w:val="00625825"/>
    <w:rsid w:val="006263F8"/>
    <w:rsid w:val="006263FC"/>
    <w:rsid w:val="006272C2"/>
    <w:rsid w:val="00627365"/>
    <w:rsid w:val="006278B2"/>
    <w:rsid w:val="006304B1"/>
    <w:rsid w:val="00630871"/>
    <w:rsid w:val="0063087F"/>
    <w:rsid w:val="00630C42"/>
    <w:rsid w:val="006311AA"/>
    <w:rsid w:val="00631592"/>
    <w:rsid w:val="00632156"/>
    <w:rsid w:val="00633123"/>
    <w:rsid w:val="0063387B"/>
    <w:rsid w:val="00634C15"/>
    <w:rsid w:val="00634DF5"/>
    <w:rsid w:val="006354B0"/>
    <w:rsid w:val="006355C8"/>
    <w:rsid w:val="006358A4"/>
    <w:rsid w:val="00637A66"/>
    <w:rsid w:val="00637BE1"/>
    <w:rsid w:val="006406E8"/>
    <w:rsid w:val="0064123A"/>
    <w:rsid w:val="006417C4"/>
    <w:rsid w:val="00641C23"/>
    <w:rsid w:val="006429B3"/>
    <w:rsid w:val="006434F0"/>
    <w:rsid w:val="00643C09"/>
    <w:rsid w:val="006447FE"/>
    <w:rsid w:val="006468B8"/>
    <w:rsid w:val="00647C46"/>
    <w:rsid w:val="00650758"/>
    <w:rsid w:val="00650B82"/>
    <w:rsid w:val="006510B1"/>
    <w:rsid w:val="00651AF2"/>
    <w:rsid w:val="00652039"/>
    <w:rsid w:val="00652629"/>
    <w:rsid w:val="00652DD6"/>
    <w:rsid w:val="00653395"/>
    <w:rsid w:val="00654606"/>
    <w:rsid w:val="00654B92"/>
    <w:rsid w:val="006550D1"/>
    <w:rsid w:val="00655802"/>
    <w:rsid w:val="00655CDD"/>
    <w:rsid w:val="00657088"/>
    <w:rsid w:val="00657D3F"/>
    <w:rsid w:val="006622D9"/>
    <w:rsid w:val="006631B2"/>
    <w:rsid w:val="00663F95"/>
    <w:rsid w:val="00664B25"/>
    <w:rsid w:val="00664EA8"/>
    <w:rsid w:val="00664EB2"/>
    <w:rsid w:val="00664FE2"/>
    <w:rsid w:val="00665922"/>
    <w:rsid w:val="00665A76"/>
    <w:rsid w:val="00665E45"/>
    <w:rsid w:val="0066695C"/>
    <w:rsid w:val="00667DA3"/>
    <w:rsid w:val="00667EFF"/>
    <w:rsid w:val="00667F71"/>
    <w:rsid w:val="00671E2A"/>
    <w:rsid w:val="00672838"/>
    <w:rsid w:val="00673425"/>
    <w:rsid w:val="00673D71"/>
    <w:rsid w:val="006744D4"/>
    <w:rsid w:val="00674F64"/>
    <w:rsid w:val="00675492"/>
    <w:rsid w:val="00675D6F"/>
    <w:rsid w:val="00676E17"/>
    <w:rsid w:val="006775AF"/>
    <w:rsid w:val="0067761B"/>
    <w:rsid w:val="0067788F"/>
    <w:rsid w:val="006809C8"/>
    <w:rsid w:val="00681880"/>
    <w:rsid w:val="006824B1"/>
    <w:rsid w:val="00682735"/>
    <w:rsid w:val="0068285A"/>
    <w:rsid w:val="00682B62"/>
    <w:rsid w:val="00682C35"/>
    <w:rsid w:val="0068329C"/>
    <w:rsid w:val="00683348"/>
    <w:rsid w:val="00683A99"/>
    <w:rsid w:val="0068537C"/>
    <w:rsid w:val="00685838"/>
    <w:rsid w:val="0068674F"/>
    <w:rsid w:val="00686CB3"/>
    <w:rsid w:val="00687A8C"/>
    <w:rsid w:val="00687BB7"/>
    <w:rsid w:val="0069011D"/>
    <w:rsid w:val="00690366"/>
    <w:rsid w:val="00690480"/>
    <w:rsid w:val="00690488"/>
    <w:rsid w:val="006908EA"/>
    <w:rsid w:val="006910CB"/>
    <w:rsid w:val="00692288"/>
    <w:rsid w:val="00692781"/>
    <w:rsid w:val="006931C0"/>
    <w:rsid w:val="00693239"/>
    <w:rsid w:val="00693A5B"/>
    <w:rsid w:val="00693F5E"/>
    <w:rsid w:val="006947E3"/>
    <w:rsid w:val="006962A9"/>
    <w:rsid w:val="006A217E"/>
    <w:rsid w:val="006A2B2A"/>
    <w:rsid w:val="006A2B66"/>
    <w:rsid w:val="006A2C04"/>
    <w:rsid w:val="006A2F06"/>
    <w:rsid w:val="006A37BE"/>
    <w:rsid w:val="006A4312"/>
    <w:rsid w:val="006A4390"/>
    <w:rsid w:val="006A43B1"/>
    <w:rsid w:val="006A4679"/>
    <w:rsid w:val="006A49E2"/>
    <w:rsid w:val="006A572E"/>
    <w:rsid w:val="006A60DB"/>
    <w:rsid w:val="006A6C04"/>
    <w:rsid w:val="006A6D4A"/>
    <w:rsid w:val="006A7789"/>
    <w:rsid w:val="006A7A0B"/>
    <w:rsid w:val="006B02AD"/>
    <w:rsid w:val="006B0D22"/>
    <w:rsid w:val="006B17F6"/>
    <w:rsid w:val="006B20A4"/>
    <w:rsid w:val="006B3036"/>
    <w:rsid w:val="006B364A"/>
    <w:rsid w:val="006B411E"/>
    <w:rsid w:val="006B439B"/>
    <w:rsid w:val="006B464D"/>
    <w:rsid w:val="006B4752"/>
    <w:rsid w:val="006B5899"/>
    <w:rsid w:val="006B71A5"/>
    <w:rsid w:val="006B7662"/>
    <w:rsid w:val="006B7A00"/>
    <w:rsid w:val="006C0660"/>
    <w:rsid w:val="006C13A3"/>
    <w:rsid w:val="006C16A3"/>
    <w:rsid w:val="006C1A0B"/>
    <w:rsid w:val="006C2150"/>
    <w:rsid w:val="006C2367"/>
    <w:rsid w:val="006C2628"/>
    <w:rsid w:val="006C2681"/>
    <w:rsid w:val="006C2FED"/>
    <w:rsid w:val="006C3813"/>
    <w:rsid w:val="006C3A8C"/>
    <w:rsid w:val="006C6098"/>
    <w:rsid w:val="006C649E"/>
    <w:rsid w:val="006D0778"/>
    <w:rsid w:val="006D1606"/>
    <w:rsid w:val="006D233D"/>
    <w:rsid w:val="006D2705"/>
    <w:rsid w:val="006D419C"/>
    <w:rsid w:val="006D4E41"/>
    <w:rsid w:val="006D5D7B"/>
    <w:rsid w:val="006D6923"/>
    <w:rsid w:val="006D6AB3"/>
    <w:rsid w:val="006D74A7"/>
    <w:rsid w:val="006D77F0"/>
    <w:rsid w:val="006D780E"/>
    <w:rsid w:val="006D7A85"/>
    <w:rsid w:val="006E0725"/>
    <w:rsid w:val="006E0AD0"/>
    <w:rsid w:val="006E13E8"/>
    <w:rsid w:val="006E1570"/>
    <w:rsid w:val="006E2B22"/>
    <w:rsid w:val="006E2F3D"/>
    <w:rsid w:val="006E3EAF"/>
    <w:rsid w:val="006E47B7"/>
    <w:rsid w:val="006E48B6"/>
    <w:rsid w:val="006E5157"/>
    <w:rsid w:val="006E57A0"/>
    <w:rsid w:val="006E6394"/>
    <w:rsid w:val="006E6E38"/>
    <w:rsid w:val="006E6E96"/>
    <w:rsid w:val="006F02E4"/>
    <w:rsid w:val="006F07B8"/>
    <w:rsid w:val="006F089B"/>
    <w:rsid w:val="006F222F"/>
    <w:rsid w:val="006F2F09"/>
    <w:rsid w:val="006F4296"/>
    <w:rsid w:val="006F53FB"/>
    <w:rsid w:val="006F5D8A"/>
    <w:rsid w:val="006F6C01"/>
    <w:rsid w:val="006F7DC1"/>
    <w:rsid w:val="00700801"/>
    <w:rsid w:val="00700A24"/>
    <w:rsid w:val="00701186"/>
    <w:rsid w:val="0070269F"/>
    <w:rsid w:val="00702DBE"/>
    <w:rsid w:val="00705538"/>
    <w:rsid w:val="00705C57"/>
    <w:rsid w:val="007060E7"/>
    <w:rsid w:val="00706150"/>
    <w:rsid w:val="007063B4"/>
    <w:rsid w:val="00710744"/>
    <w:rsid w:val="00710A2A"/>
    <w:rsid w:val="00710D24"/>
    <w:rsid w:val="007110C2"/>
    <w:rsid w:val="00711154"/>
    <w:rsid w:val="00711185"/>
    <w:rsid w:val="00712067"/>
    <w:rsid w:val="0071215B"/>
    <w:rsid w:val="007129CF"/>
    <w:rsid w:val="00712B1A"/>
    <w:rsid w:val="0071446E"/>
    <w:rsid w:val="00714F19"/>
    <w:rsid w:val="007151F1"/>
    <w:rsid w:val="00715C09"/>
    <w:rsid w:val="00716231"/>
    <w:rsid w:val="007166F9"/>
    <w:rsid w:val="00717BB4"/>
    <w:rsid w:val="00720571"/>
    <w:rsid w:val="00721D22"/>
    <w:rsid w:val="00723BB7"/>
    <w:rsid w:val="00724031"/>
    <w:rsid w:val="0072423F"/>
    <w:rsid w:val="007248F9"/>
    <w:rsid w:val="00724CC7"/>
    <w:rsid w:val="00726003"/>
    <w:rsid w:val="00726234"/>
    <w:rsid w:val="007265BF"/>
    <w:rsid w:val="0072691C"/>
    <w:rsid w:val="00726B87"/>
    <w:rsid w:val="00727DEF"/>
    <w:rsid w:val="00730358"/>
    <w:rsid w:val="00730552"/>
    <w:rsid w:val="007318D4"/>
    <w:rsid w:val="00732916"/>
    <w:rsid w:val="00734067"/>
    <w:rsid w:val="00735766"/>
    <w:rsid w:val="00736BE1"/>
    <w:rsid w:val="00737506"/>
    <w:rsid w:val="00740141"/>
    <w:rsid w:val="00740997"/>
    <w:rsid w:val="00742852"/>
    <w:rsid w:val="00742E91"/>
    <w:rsid w:val="007432A6"/>
    <w:rsid w:val="007432CB"/>
    <w:rsid w:val="00743B5D"/>
    <w:rsid w:val="0074450D"/>
    <w:rsid w:val="007453B5"/>
    <w:rsid w:val="007458EC"/>
    <w:rsid w:val="00745E11"/>
    <w:rsid w:val="007464DC"/>
    <w:rsid w:val="00746AA6"/>
    <w:rsid w:val="0074743A"/>
    <w:rsid w:val="00747493"/>
    <w:rsid w:val="007475C9"/>
    <w:rsid w:val="007509C5"/>
    <w:rsid w:val="00750C3E"/>
    <w:rsid w:val="007511A9"/>
    <w:rsid w:val="00752E9E"/>
    <w:rsid w:val="007534FD"/>
    <w:rsid w:val="00753AB2"/>
    <w:rsid w:val="00753D22"/>
    <w:rsid w:val="007550F0"/>
    <w:rsid w:val="00755B90"/>
    <w:rsid w:val="00756367"/>
    <w:rsid w:val="00756A3E"/>
    <w:rsid w:val="007579F4"/>
    <w:rsid w:val="00757C76"/>
    <w:rsid w:val="00761D4D"/>
    <w:rsid w:val="007623F2"/>
    <w:rsid w:val="00764288"/>
    <w:rsid w:val="007654C1"/>
    <w:rsid w:val="00765C27"/>
    <w:rsid w:val="007664DA"/>
    <w:rsid w:val="00766B3D"/>
    <w:rsid w:val="0076784B"/>
    <w:rsid w:val="00767A51"/>
    <w:rsid w:val="00767DF1"/>
    <w:rsid w:val="007727DE"/>
    <w:rsid w:val="00773218"/>
    <w:rsid w:val="007737C4"/>
    <w:rsid w:val="00777563"/>
    <w:rsid w:val="00777DBF"/>
    <w:rsid w:val="00777FFB"/>
    <w:rsid w:val="007818AB"/>
    <w:rsid w:val="007837E3"/>
    <w:rsid w:val="00784F09"/>
    <w:rsid w:val="00786222"/>
    <w:rsid w:val="007867CA"/>
    <w:rsid w:val="00787A92"/>
    <w:rsid w:val="00790BAD"/>
    <w:rsid w:val="0079401B"/>
    <w:rsid w:val="007942A0"/>
    <w:rsid w:val="00794B5A"/>
    <w:rsid w:val="00795177"/>
    <w:rsid w:val="007955CC"/>
    <w:rsid w:val="00795690"/>
    <w:rsid w:val="0079603E"/>
    <w:rsid w:val="0079667A"/>
    <w:rsid w:val="007A0636"/>
    <w:rsid w:val="007A07D5"/>
    <w:rsid w:val="007A0B8F"/>
    <w:rsid w:val="007A0C16"/>
    <w:rsid w:val="007A14E8"/>
    <w:rsid w:val="007A154F"/>
    <w:rsid w:val="007A1696"/>
    <w:rsid w:val="007A2676"/>
    <w:rsid w:val="007A37F9"/>
    <w:rsid w:val="007A3A3B"/>
    <w:rsid w:val="007A3C81"/>
    <w:rsid w:val="007A48A7"/>
    <w:rsid w:val="007A4999"/>
    <w:rsid w:val="007A5506"/>
    <w:rsid w:val="007A68C6"/>
    <w:rsid w:val="007A751E"/>
    <w:rsid w:val="007B07C4"/>
    <w:rsid w:val="007B1253"/>
    <w:rsid w:val="007B1836"/>
    <w:rsid w:val="007B2845"/>
    <w:rsid w:val="007B2A66"/>
    <w:rsid w:val="007B2BDC"/>
    <w:rsid w:val="007B32CD"/>
    <w:rsid w:val="007B4AA3"/>
    <w:rsid w:val="007B68D8"/>
    <w:rsid w:val="007B6CE6"/>
    <w:rsid w:val="007C0834"/>
    <w:rsid w:val="007C0D78"/>
    <w:rsid w:val="007C14C2"/>
    <w:rsid w:val="007C1539"/>
    <w:rsid w:val="007C1E04"/>
    <w:rsid w:val="007C2643"/>
    <w:rsid w:val="007C2C86"/>
    <w:rsid w:val="007C302C"/>
    <w:rsid w:val="007C42AE"/>
    <w:rsid w:val="007C4D04"/>
    <w:rsid w:val="007C57E9"/>
    <w:rsid w:val="007C5C6D"/>
    <w:rsid w:val="007C6485"/>
    <w:rsid w:val="007D14BE"/>
    <w:rsid w:val="007D1931"/>
    <w:rsid w:val="007D203C"/>
    <w:rsid w:val="007D26FD"/>
    <w:rsid w:val="007D2AD0"/>
    <w:rsid w:val="007D2E0C"/>
    <w:rsid w:val="007D405B"/>
    <w:rsid w:val="007D4EE8"/>
    <w:rsid w:val="007D5453"/>
    <w:rsid w:val="007D602C"/>
    <w:rsid w:val="007D66A0"/>
    <w:rsid w:val="007D7988"/>
    <w:rsid w:val="007E0609"/>
    <w:rsid w:val="007E0D3D"/>
    <w:rsid w:val="007E388A"/>
    <w:rsid w:val="007E47CC"/>
    <w:rsid w:val="007E5DA7"/>
    <w:rsid w:val="007E5ECB"/>
    <w:rsid w:val="007E6ECA"/>
    <w:rsid w:val="007E7902"/>
    <w:rsid w:val="007F06C4"/>
    <w:rsid w:val="007F1A0C"/>
    <w:rsid w:val="007F26E1"/>
    <w:rsid w:val="007F2DA3"/>
    <w:rsid w:val="007F3064"/>
    <w:rsid w:val="007F354C"/>
    <w:rsid w:val="007F3851"/>
    <w:rsid w:val="007F3E94"/>
    <w:rsid w:val="007F4973"/>
    <w:rsid w:val="007F5D45"/>
    <w:rsid w:val="007F6873"/>
    <w:rsid w:val="007F71AB"/>
    <w:rsid w:val="008008B2"/>
    <w:rsid w:val="00800917"/>
    <w:rsid w:val="0080183A"/>
    <w:rsid w:val="00801D90"/>
    <w:rsid w:val="00803E9A"/>
    <w:rsid w:val="00804065"/>
    <w:rsid w:val="008043FA"/>
    <w:rsid w:val="00804A03"/>
    <w:rsid w:val="00805B9D"/>
    <w:rsid w:val="00806A47"/>
    <w:rsid w:val="0080774D"/>
    <w:rsid w:val="00811ADD"/>
    <w:rsid w:val="0081290C"/>
    <w:rsid w:val="008136F5"/>
    <w:rsid w:val="00814271"/>
    <w:rsid w:val="008159F7"/>
    <w:rsid w:val="008163D3"/>
    <w:rsid w:val="00817A74"/>
    <w:rsid w:val="00820FFB"/>
    <w:rsid w:val="0082136B"/>
    <w:rsid w:val="00821931"/>
    <w:rsid w:val="0082226F"/>
    <w:rsid w:val="008222E6"/>
    <w:rsid w:val="008224FD"/>
    <w:rsid w:val="00822878"/>
    <w:rsid w:val="00824024"/>
    <w:rsid w:val="0082466B"/>
    <w:rsid w:val="00824773"/>
    <w:rsid w:val="00824806"/>
    <w:rsid w:val="00824BAB"/>
    <w:rsid w:val="00824D7A"/>
    <w:rsid w:val="00826340"/>
    <w:rsid w:val="00826C32"/>
    <w:rsid w:val="008273FE"/>
    <w:rsid w:val="0082760B"/>
    <w:rsid w:val="00827A60"/>
    <w:rsid w:val="00827D94"/>
    <w:rsid w:val="008305AF"/>
    <w:rsid w:val="008308D5"/>
    <w:rsid w:val="0083193E"/>
    <w:rsid w:val="0083539A"/>
    <w:rsid w:val="0083540D"/>
    <w:rsid w:val="00835532"/>
    <w:rsid w:val="00835A45"/>
    <w:rsid w:val="00835CCC"/>
    <w:rsid w:val="0083699E"/>
    <w:rsid w:val="00836EB6"/>
    <w:rsid w:val="008373C2"/>
    <w:rsid w:val="00840194"/>
    <w:rsid w:val="008405CE"/>
    <w:rsid w:val="00840B6A"/>
    <w:rsid w:val="00840CB7"/>
    <w:rsid w:val="00841003"/>
    <w:rsid w:val="00841969"/>
    <w:rsid w:val="00842862"/>
    <w:rsid w:val="0084300E"/>
    <w:rsid w:val="008433B1"/>
    <w:rsid w:val="00844143"/>
    <w:rsid w:val="00844893"/>
    <w:rsid w:val="00844A48"/>
    <w:rsid w:val="008458EA"/>
    <w:rsid w:val="008463DF"/>
    <w:rsid w:val="00847E63"/>
    <w:rsid w:val="0085045B"/>
    <w:rsid w:val="00850655"/>
    <w:rsid w:val="0085093D"/>
    <w:rsid w:val="00850988"/>
    <w:rsid w:val="00851A94"/>
    <w:rsid w:val="00851DD5"/>
    <w:rsid w:val="00852CB3"/>
    <w:rsid w:val="00852CEC"/>
    <w:rsid w:val="00854A58"/>
    <w:rsid w:val="00854F8B"/>
    <w:rsid w:val="00856020"/>
    <w:rsid w:val="0085686C"/>
    <w:rsid w:val="00857B03"/>
    <w:rsid w:val="00860B8D"/>
    <w:rsid w:val="00860D7D"/>
    <w:rsid w:val="00861F91"/>
    <w:rsid w:val="0086205D"/>
    <w:rsid w:val="00864C34"/>
    <w:rsid w:val="0086537E"/>
    <w:rsid w:val="00870156"/>
    <w:rsid w:val="008710C1"/>
    <w:rsid w:val="0087134E"/>
    <w:rsid w:val="0087177D"/>
    <w:rsid w:val="00871D90"/>
    <w:rsid w:val="008725FB"/>
    <w:rsid w:val="008730CF"/>
    <w:rsid w:val="00873C29"/>
    <w:rsid w:val="00873F03"/>
    <w:rsid w:val="0087441E"/>
    <w:rsid w:val="00874CC0"/>
    <w:rsid w:val="00875321"/>
    <w:rsid w:val="00875CF1"/>
    <w:rsid w:val="00875E55"/>
    <w:rsid w:val="00875ECC"/>
    <w:rsid w:val="00876032"/>
    <w:rsid w:val="00876212"/>
    <w:rsid w:val="0087707E"/>
    <w:rsid w:val="00877428"/>
    <w:rsid w:val="008777D4"/>
    <w:rsid w:val="008777FC"/>
    <w:rsid w:val="0088049E"/>
    <w:rsid w:val="00881533"/>
    <w:rsid w:val="00881C12"/>
    <w:rsid w:val="008824D7"/>
    <w:rsid w:val="00882B3D"/>
    <w:rsid w:val="00883119"/>
    <w:rsid w:val="00883FBB"/>
    <w:rsid w:val="0088423C"/>
    <w:rsid w:val="008858CB"/>
    <w:rsid w:val="00886111"/>
    <w:rsid w:val="00886B86"/>
    <w:rsid w:val="0088729D"/>
    <w:rsid w:val="008878C3"/>
    <w:rsid w:val="00887E11"/>
    <w:rsid w:val="008902A2"/>
    <w:rsid w:val="00890793"/>
    <w:rsid w:val="0089086C"/>
    <w:rsid w:val="00893AAB"/>
    <w:rsid w:val="00893AC7"/>
    <w:rsid w:val="00894287"/>
    <w:rsid w:val="0089490C"/>
    <w:rsid w:val="00894BFD"/>
    <w:rsid w:val="00894C1F"/>
    <w:rsid w:val="00894E7B"/>
    <w:rsid w:val="00894ECD"/>
    <w:rsid w:val="00895053"/>
    <w:rsid w:val="00895093"/>
    <w:rsid w:val="008959F4"/>
    <w:rsid w:val="008960A6"/>
    <w:rsid w:val="00896158"/>
    <w:rsid w:val="00896AA8"/>
    <w:rsid w:val="008A0EB1"/>
    <w:rsid w:val="008A4347"/>
    <w:rsid w:val="008A45F8"/>
    <w:rsid w:val="008A4769"/>
    <w:rsid w:val="008A535B"/>
    <w:rsid w:val="008A5B33"/>
    <w:rsid w:val="008A5DAC"/>
    <w:rsid w:val="008A61F0"/>
    <w:rsid w:val="008A6551"/>
    <w:rsid w:val="008A7177"/>
    <w:rsid w:val="008B034B"/>
    <w:rsid w:val="008B0565"/>
    <w:rsid w:val="008B172F"/>
    <w:rsid w:val="008B173E"/>
    <w:rsid w:val="008B197E"/>
    <w:rsid w:val="008B29C1"/>
    <w:rsid w:val="008B3312"/>
    <w:rsid w:val="008B33A5"/>
    <w:rsid w:val="008B363A"/>
    <w:rsid w:val="008B37F0"/>
    <w:rsid w:val="008B428B"/>
    <w:rsid w:val="008B44E3"/>
    <w:rsid w:val="008B4979"/>
    <w:rsid w:val="008B4CAF"/>
    <w:rsid w:val="008B4E4D"/>
    <w:rsid w:val="008B54AE"/>
    <w:rsid w:val="008C19C4"/>
    <w:rsid w:val="008C1FA9"/>
    <w:rsid w:val="008C2737"/>
    <w:rsid w:val="008C3871"/>
    <w:rsid w:val="008C3A44"/>
    <w:rsid w:val="008C46C8"/>
    <w:rsid w:val="008C4A0F"/>
    <w:rsid w:val="008C5B4C"/>
    <w:rsid w:val="008C5E72"/>
    <w:rsid w:val="008C72C2"/>
    <w:rsid w:val="008D041A"/>
    <w:rsid w:val="008D0508"/>
    <w:rsid w:val="008D1A05"/>
    <w:rsid w:val="008D23AD"/>
    <w:rsid w:val="008D33F1"/>
    <w:rsid w:val="008D44B5"/>
    <w:rsid w:val="008D4B59"/>
    <w:rsid w:val="008D5C8A"/>
    <w:rsid w:val="008D6C72"/>
    <w:rsid w:val="008D72E4"/>
    <w:rsid w:val="008E03BD"/>
    <w:rsid w:val="008E0AE5"/>
    <w:rsid w:val="008E11D2"/>
    <w:rsid w:val="008E1320"/>
    <w:rsid w:val="008E1575"/>
    <w:rsid w:val="008E33BA"/>
    <w:rsid w:val="008E33E1"/>
    <w:rsid w:val="008E59A1"/>
    <w:rsid w:val="008E6350"/>
    <w:rsid w:val="008E6865"/>
    <w:rsid w:val="008E69A2"/>
    <w:rsid w:val="008F17E5"/>
    <w:rsid w:val="008F37A3"/>
    <w:rsid w:val="008F4FFE"/>
    <w:rsid w:val="008F506D"/>
    <w:rsid w:val="008F592E"/>
    <w:rsid w:val="008F5E81"/>
    <w:rsid w:val="008F6178"/>
    <w:rsid w:val="008F625F"/>
    <w:rsid w:val="008F68EB"/>
    <w:rsid w:val="008F69BD"/>
    <w:rsid w:val="008F73C7"/>
    <w:rsid w:val="00900DFB"/>
    <w:rsid w:val="00901080"/>
    <w:rsid w:val="009020CE"/>
    <w:rsid w:val="009024AF"/>
    <w:rsid w:val="00904B18"/>
    <w:rsid w:val="00904C65"/>
    <w:rsid w:val="00906B06"/>
    <w:rsid w:val="00910F86"/>
    <w:rsid w:val="0091189B"/>
    <w:rsid w:val="00912FF9"/>
    <w:rsid w:val="0091330B"/>
    <w:rsid w:val="009136FA"/>
    <w:rsid w:val="00914476"/>
    <w:rsid w:val="00914FBA"/>
    <w:rsid w:val="009150B1"/>
    <w:rsid w:val="009151BF"/>
    <w:rsid w:val="009155B0"/>
    <w:rsid w:val="00915826"/>
    <w:rsid w:val="00915B3D"/>
    <w:rsid w:val="00916B60"/>
    <w:rsid w:val="00917676"/>
    <w:rsid w:val="00917882"/>
    <w:rsid w:val="00920806"/>
    <w:rsid w:val="00920E89"/>
    <w:rsid w:val="00920F59"/>
    <w:rsid w:val="0092271B"/>
    <w:rsid w:val="009237B5"/>
    <w:rsid w:val="009242DE"/>
    <w:rsid w:val="009243E0"/>
    <w:rsid w:val="00924980"/>
    <w:rsid w:val="00924D25"/>
    <w:rsid w:val="00925B99"/>
    <w:rsid w:val="0092624B"/>
    <w:rsid w:val="009267E5"/>
    <w:rsid w:val="00926C51"/>
    <w:rsid w:val="009276BB"/>
    <w:rsid w:val="00930015"/>
    <w:rsid w:val="00930DCD"/>
    <w:rsid w:val="00930F70"/>
    <w:rsid w:val="009322C8"/>
    <w:rsid w:val="00932613"/>
    <w:rsid w:val="0093342A"/>
    <w:rsid w:val="00933EDA"/>
    <w:rsid w:val="0093434E"/>
    <w:rsid w:val="0093455F"/>
    <w:rsid w:val="00935787"/>
    <w:rsid w:val="00935AC6"/>
    <w:rsid w:val="009362E0"/>
    <w:rsid w:val="009366CA"/>
    <w:rsid w:val="00936CED"/>
    <w:rsid w:val="00937978"/>
    <w:rsid w:val="00937B95"/>
    <w:rsid w:val="0094019A"/>
    <w:rsid w:val="0094024B"/>
    <w:rsid w:val="00941DB4"/>
    <w:rsid w:val="009424AA"/>
    <w:rsid w:val="00943873"/>
    <w:rsid w:val="00944F75"/>
    <w:rsid w:val="00945743"/>
    <w:rsid w:val="009461A6"/>
    <w:rsid w:val="009478ED"/>
    <w:rsid w:val="00947AFF"/>
    <w:rsid w:val="009513C6"/>
    <w:rsid w:val="00951A33"/>
    <w:rsid w:val="00952422"/>
    <w:rsid w:val="009530D0"/>
    <w:rsid w:val="00953A0C"/>
    <w:rsid w:val="00954F16"/>
    <w:rsid w:val="009554F5"/>
    <w:rsid w:val="00955505"/>
    <w:rsid w:val="00955AAF"/>
    <w:rsid w:val="00955C48"/>
    <w:rsid w:val="009560C0"/>
    <w:rsid w:val="009563C7"/>
    <w:rsid w:val="009564C7"/>
    <w:rsid w:val="00956575"/>
    <w:rsid w:val="00956B37"/>
    <w:rsid w:val="00956C97"/>
    <w:rsid w:val="0095765B"/>
    <w:rsid w:val="00957975"/>
    <w:rsid w:val="009614E1"/>
    <w:rsid w:val="0096163B"/>
    <w:rsid w:val="0096221B"/>
    <w:rsid w:val="00962630"/>
    <w:rsid w:val="00962D9D"/>
    <w:rsid w:val="0096465B"/>
    <w:rsid w:val="009649C0"/>
    <w:rsid w:val="00964A81"/>
    <w:rsid w:val="009654B3"/>
    <w:rsid w:val="0096640D"/>
    <w:rsid w:val="00966F16"/>
    <w:rsid w:val="00967FAF"/>
    <w:rsid w:val="00970E84"/>
    <w:rsid w:val="00970EE1"/>
    <w:rsid w:val="00972A5B"/>
    <w:rsid w:val="0097319B"/>
    <w:rsid w:val="009731E2"/>
    <w:rsid w:val="00973953"/>
    <w:rsid w:val="00974E9E"/>
    <w:rsid w:val="009751A1"/>
    <w:rsid w:val="00975C7F"/>
    <w:rsid w:val="00976A5E"/>
    <w:rsid w:val="009771D3"/>
    <w:rsid w:val="00980057"/>
    <w:rsid w:val="00980BCD"/>
    <w:rsid w:val="00980DC7"/>
    <w:rsid w:val="00981498"/>
    <w:rsid w:val="009817C9"/>
    <w:rsid w:val="0098264A"/>
    <w:rsid w:val="009832A1"/>
    <w:rsid w:val="00984354"/>
    <w:rsid w:val="00984CC3"/>
    <w:rsid w:val="00985637"/>
    <w:rsid w:val="00986852"/>
    <w:rsid w:val="00987C86"/>
    <w:rsid w:val="00987D6A"/>
    <w:rsid w:val="00987E14"/>
    <w:rsid w:val="00990EB9"/>
    <w:rsid w:val="00991101"/>
    <w:rsid w:val="00991857"/>
    <w:rsid w:val="00991993"/>
    <w:rsid w:val="009919CA"/>
    <w:rsid w:val="00992162"/>
    <w:rsid w:val="009944FD"/>
    <w:rsid w:val="009946C9"/>
    <w:rsid w:val="00996028"/>
    <w:rsid w:val="009961D4"/>
    <w:rsid w:val="00996AFD"/>
    <w:rsid w:val="0099718A"/>
    <w:rsid w:val="009A04AE"/>
    <w:rsid w:val="009A1EA0"/>
    <w:rsid w:val="009A2E5F"/>
    <w:rsid w:val="009A30AF"/>
    <w:rsid w:val="009A30B6"/>
    <w:rsid w:val="009A3514"/>
    <w:rsid w:val="009A3B77"/>
    <w:rsid w:val="009A4244"/>
    <w:rsid w:val="009A4885"/>
    <w:rsid w:val="009A4BBC"/>
    <w:rsid w:val="009A5D89"/>
    <w:rsid w:val="009A6210"/>
    <w:rsid w:val="009A6AB4"/>
    <w:rsid w:val="009A6AB7"/>
    <w:rsid w:val="009B00E0"/>
    <w:rsid w:val="009B17FB"/>
    <w:rsid w:val="009B420B"/>
    <w:rsid w:val="009B444B"/>
    <w:rsid w:val="009B4BFD"/>
    <w:rsid w:val="009B4DE9"/>
    <w:rsid w:val="009B6A3E"/>
    <w:rsid w:val="009B6E5C"/>
    <w:rsid w:val="009B6FB8"/>
    <w:rsid w:val="009B78EA"/>
    <w:rsid w:val="009B79E6"/>
    <w:rsid w:val="009C03BE"/>
    <w:rsid w:val="009C07A3"/>
    <w:rsid w:val="009C11DE"/>
    <w:rsid w:val="009C1665"/>
    <w:rsid w:val="009C1B4E"/>
    <w:rsid w:val="009C2228"/>
    <w:rsid w:val="009C3A0C"/>
    <w:rsid w:val="009C50E8"/>
    <w:rsid w:val="009C56A5"/>
    <w:rsid w:val="009C5C1D"/>
    <w:rsid w:val="009C5FE8"/>
    <w:rsid w:val="009C65D4"/>
    <w:rsid w:val="009C7111"/>
    <w:rsid w:val="009C7FD3"/>
    <w:rsid w:val="009D081B"/>
    <w:rsid w:val="009D2458"/>
    <w:rsid w:val="009D25A1"/>
    <w:rsid w:val="009D397A"/>
    <w:rsid w:val="009D3AF4"/>
    <w:rsid w:val="009D3E65"/>
    <w:rsid w:val="009D483A"/>
    <w:rsid w:val="009D5661"/>
    <w:rsid w:val="009D59FD"/>
    <w:rsid w:val="009D5DE9"/>
    <w:rsid w:val="009D5E7C"/>
    <w:rsid w:val="009D7405"/>
    <w:rsid w:val="009D78DA"/>
    <w:rsid w:val="009D7BCD"/>
    <w:rsid w:val="009E00C2"/>
    <w:rsid w:val="009E11E0"/>
    <w:rsid w:val="009E2FC2"/>
    <w:rsid w:val="009E30C3"/>
    <w:rsid w:val="009E3EF4"/>
    <w:rsid w:val="009E4235"/>
    <w:rsid w:val="009E44B3"/>
    <w:rsid w:val="009E4EA6"/>
    <w:rsid w:val="009E532C"/>
    <w:rsid w:val="009E5623"/>
    <w:rsid w:val="009E6D9C"/>
    <w:rsid w:val="009E7692"/>
    <w:rsid w:val="009E79D7"/>
    <w:rsid w:val="009E7AB1"/>
    <w:rsid w:val="009F0C8D"/>
    <w:rsid w:val="009F0EB7"/>
    <w:rsid w:val="009F1098"/>
    <w:rsid w:val="009F1A4C"/>
    <w:rsid w:val="009F1ADC"/>
    <w:rsid w:val="009F3209"/>
    <w:rsid w:val="009F3B9B"/>
    <w:rsid w:val="009F4601"/>
    <w:rsid w:val="009F476B"/>
    <w:rsid w:val="009F47D0"/>
    <w:rsid w:val="009F58BB"/>
    <w:rsid w:val="009F6766"/>
    <w:rsid w:val="009F6D0D"/>
    <w:rsid w:val="00A00BA5"/>
    <w:rsid w:val="00A0234E"/>
    <w:rsid w:val="00A0454E"/>
    <w:rsid w:val="00A0503F"/>
    <w:rsid w:val="00A062B8"/>
    <w:rsid w:val="00A06650"/>
    <w:rsid w:val="00A07184"/>
    <w:rsid w:val="00A101AC"/>
    <w:rsid w:val="00A1032F"/>
    <w:rsid w:val="00A10A83"/>
    <w:rsid w:val="00A10EDB"/>
    <w:rsid w:val="00A11750"/>
    <w:rsid w:val="00A1177E"/>
    <w:rsid w:val="00A11836"/>
    <w:rsid w:val="00A12516"/>
    <w:rsid w:val="00A129C1"/>
    <w:rsid w:val="00A12EBD"/>
    <w:rsid w:val="00A1393F"/>
    <w:rsid w:val="00A1429D"/>
    <w:rsid w:val="00A14989"/>
    <w:rsid w:val="00A1519F"/>
    <w:rsid w:val="00A15CD4"/>
    <w:rsid w:val="00A1653A"/>
    <w:rsid w:val="00A1685D"/>
    <w:rsid w:val="00A20F52"/>
    <w:rsid w:val="00A212FD"/>
    <w:rsid w:val="00A225CF"/>
    <w:rsid w:val="00A267A6"/>
    <w:rsid w:val="00A26A11"/>
    <w:rsid w:val="00A278AD"/>
    <w:rsid w:val="00A30280"/>
    <w:rsid w:val="00A32127"/>
    <w:rsid w:val="00A3231D"/>
    <w:rsid w:val="00A3234D"/>
    <w:rsid w:val="00A3290D"/>
    <w:rsid w:val="00A33AFE"/>
    <w:rsid w:val="00A33C80"/>
    <w:rsid w:val="00A34131"/>
    <w:rsid w:val="00A34DBB"/>
    <w:rsid w:val="00A35208"/>
    <w:rsid w:val="00A35A0A"/>
    <w:rsid w:val="00A35CD2"/>
    <w:rsid w:val="00A3625B"/>
    <w:rsid w:val="00A371A5"/>
    <w:rsid w:val="00A37725"/>
    <w:rsid w:val="00A37B27"/>
    <w:rsid w:val="00A409EE"/>
    <w:rsid w:val="00A40CC7"/>
    <w:rsid w:val="00A412AB"/>
    <w:rsid w:val="00A42C75"/>
    <w:rsid w:val="00A43B19"/>
    <w:rsid w:val="00A450DA"/>
    <w:rsid w:val="00A4696F"/>
    <w:rsid w:val="00A5107E"/>
    <w:rsid w:val="00A511C1"/>
    <w:rsid w:val="00A51253"/>
    <w:rsid w:val="00A51988"/>
    <w:rsid w:val="00A519CC"/>
    <w:rsid w:val="00A51B29"/>
    <w:rsid w:val="00A51C3C"/>
    <w:rsid w:val="00A5329E"/>
    <w:rsid w:val="00A55E2F"/>
    <w:rsid w:val="00A565AE"/>
    <w:rsid w:val="00A56720"/>
    <w:rsid w:val="00A5754D"/>
    <w:rsid w:val="00A60BB5"/>
    <w:rsid w:val="00A61326"/>
    <w:rsid w:val="00A62EA0"/>
    <w:rsid w:val="00A6313C"/>
    <w:rsid w:val="00A631C3"/>
    <w:rsid w:val="00A64A55"/>
    <w:rsid w:val="00A64DDA"/>
    <w:rsid w:val="00A65010"/>
    <w:rsid w:val="00A65031"/>
    <w:rsid w:val="00A65B55"/>
    <w:rsid w:val="00A65E46"/>
    <w:rsid w:val="00A66BF3"/>
    <w:rsid w:val="00A6779A"/>
    <w:rsid w:val="00A679BF"/>
    <w:rsid w:val="00A7067F"/>
    <w:rsid w:val="00A70F9E"/>
    <w:rsid w:val="00A73A5D"/>
    <w:rsid w:val="00A73D0C"/>
    <w:rsid w:val="00A74411"/>
    <w:rsid w:val="00A74589"/>
    <w:rsid w:val="00A75119"/>
    <w:rsid w:val="00A75461"/>
    <w:rsid w:val="00A75466"/>
    <w:rsid w:val="00A75BF8"/>
    <w:rsid w:val="00A75C20"/>
    <w:rsid w:val="00A76733"/>
    <w:rsid w:val="00A769FB"/>
    <w:rsid w:val="00A76F8D"/>
    <w:rsid w:val="00A775FC"/>
    <w:rsid w:val="00A77859"/>
    <w:rsid w:val="00A7792A"/>
    <w:rsid w:val="00A77F9A"/>
    <w:rsid w:val="00A806AA"/>
    <w:rsid w:val="00A81528"/>
    <w:rsid w:val="00A81743"/>
    <w:rsid w:val="00A81F2C"/>
    <w:rsid w:val="00A820CB"/>
    <w:rsid w:val="00A82A83"/>
    <w:rsid w:val="00A83477"/>
    <w:rsid w:val="00A839E6"/>
    <w:rsid w:val="00A8472C"/>
    <w:rsid w:val="00A8542C"/>
    <w:rsid w:val="00A877A7"/>
    <w:rsid w:val="00A8798A"/>
    <w:rsid w:val="00A90CB5"/>
    <w:rsid w:val="00A912EB"/>
    <w:rsid w:val="00A922B8"/>
    <w:rsid w:val="00A92516"/>
    <w:rsid w:val="00A927D3"/>
    <w:rsid w:val="00A9314D"/>
    <w:rsid w:val="00A93DC0"/>
    <w:rsid w:val="00A9503F"/>
    <w:rsid w:val="00A96A8C"/>
    <w:rsid w:val="00A970C5"/>
    <w:rsid w:val="00AA00EA"/>
    <w:rsid w:val="00AA128A"/>
    <w:rsid w:val="00AA15D5"/>
    <w:rsid w:val="00AA16F8"/>
    <w:rsid w:val="00AA23B1"/>
    <w:rsid w:val="00AA32CE"/>
    <w:rsid w:val="00AA564C"/>
    <w:rsid w:val="00AA616F"/>
    <w:rsid w:val="00AB080F"/>
    <w:rsid w:val="00AB0CBF"/>
    <w:rsid w:val="00AB1BAE"/>
    <w:rsid w:val="00AB1CEA"/>
    <w:rsid w:val="00AB1F9A"/>
    <w:rsid w:val="00AB2036"/>
    <w:rsid w:val="00AB384F"/>
    <w:rsid w:val="00AB3C56"/>
    <w:rsid w:val="00AB4736"/>
    <w:rsid w:val="00AB4830"/>
    <w:rsid w:val="00AB4C3D"/>
    <w:rsid w:val="00AB51B3"/>
    <w:rsid w:val="00AB56CB"/>
    <w:rsid w:val="00AB6DC9"/>
    <w:rsid w:val="00AC060C"/>
    <w:rsid w:val="00AC077F"/>
    <w:rsid w:val="00AC0DD7"/>
    <w:rsid w:val="00AC107A"/>
    <w:rsid w:val="00AC2F62"/>
    <w:rsid w:val="00AC3622"/>
    <w:rsid w:val="00AC38A2"/>
    <w:rsid w:val="00AC3A29"/>
    <w:rsid w:val="00AC4161"/>
    <w:rsid w:val="00AC419A"/>
    <w:rsid w:val="00AC4641"/>
    <w:rsid w:val="00AC5412"/>
    <w:rsid w:val="00AC566B"/>
    <w:rsid w:val="00AC6D45"/>
    <w:rsid w:val="00AC715B"/>
    <w:rsid w:val="00AC7D19"/>
    <w:rsid w:val="00AD028A"/>
    <w:rsid w:val="00AD07D0"/>
    <w:rsid w:val="00AD0B98"/>
    <w:rsid w:val="00AD109C"/>
    <w:rsid w:val="00AD1BC4"/>
    <w:rsid w:val="00AD2B47"/>
    <w:rsid w:val="00AD3026"/>
    <w:rsid w:val="00AD32DB"/>
    <w:rsid w:val="00AD49B0"/>
    <w:rsid w:val="00AD5C68"/>
    <w:rsid w:val="00AD773C"/>
    <w:rsid w:val="00AE06C5"/>
    <w:rsid w:val="00AE1D75"/>
    <w:rsid w:val="00AE2591"/>
    <w:rsid w:val="00AE25B8"/>
    <w:rsid w:val="00AE2997"/>
    <w:rsid w:val="00AE2B04"/>
    <w:rsid w:val="00AE2C5B"/>
    <w:rsid w:val="00AE4AB4"/>
    <w:rsid w:val="00AE517F"/>
    <w:rsid w:val="00AE54C6"/>
    <w:rsid w:val="00AE5885"/>
    <w:rsid w:val="00AE6AB6"/>
    <w:rsid w:val="00AE6C2D"/>
    <w:rsid w:val="00AE74E6"/>
    <w:rsid w:val="00AE78CA"/>
    <w:rsid w:val="00AE79EF"/>
    <w:rsid w:val="00AF0577"/>
    <w:rsid w:val="00AF0A11"/>
    <w:rsid w:val="00AF1749"/>
    <w:rsid w:val="00AF1872"/>
    <w:rsid w:val="00AF1F5B"/>
    <w:rsid w:val="00AF2A2E"/>
    <w:rsid w:val="00AF2D4A"/>
    <w:rsid w:val="00AF64C1"/>
    <w:rsid w:val="00AF703F"/>
    <w:rsid w:val="00AF7076"/>
    <w:rsid w:val="00AF7336"/>
    <w:rsid w:val="00AF767A"/>
    <w:rsid w:val="00B002D2"/>
    <w:rsid w:val="00B00A40"/>
    <w:rsid w:val="00B01611"/>
    <w:rsid w:val="00B01776"/>
    <w:rsid w:val="00B01802"/>
    <w:rsid w:val="00B019C9"/>
    <w:rsid w:val="00B02342"/>
    <w:rsid w:val="00B036A8"/>
    <w:rsid w:val="00B03EC0"/>
    <w:rsid w:val="00B0424C"/>
    <w:rsid w:val="00B0477F"/>
    <w:rsid w:val="00B06170"/>
    <w:rsid w:val="00B06BA2"/>
    <w:rsid w:val="00B07DA4"/>
    <w:rsid w:val="00B103B4"/>
    <w:rsid w:val="00B11468"/>
    <w:rsid w:val="00B1240B"/>
    <w:rsid w:val="00B12A1A"/>
    <w:rsid w:val="00B12AB1"/>
    <w:rsid w:val="00B13CA4"/>
    <w:rsid w:val="00B1502E"/>
    <w:rsid w:val="00B15C99"/>
    <w:rsid w:val="00B15EE2"/>
    <w:rsid w:val="00B16E23"/>
    <w:rsid w:val="00B17B2F"/>
    <w:rsid w:val="00B211D8"/>
    <w:rsid w:val="00B21ABD"/>
    <w:rsid w:val="00B25611"/>
    <w:rsid w:val="00B257A1"/>
    <w:rsid w:val="00B2667E"/>
    <w:rsid w:val="00B26D34"/>
    <w:rsid w:val="00B277AB"/>
    <w:rsid w:val="00B27B7E"/>
    <w:rsid w:val="00B27EAF"/>
    <w:rsid w:val="00B306CB"/>
    <w:rsid w:val="00B30B85"/>
    <w:rsid w:val="00B30D5A"/>
    <w:rsid w:val="00B3166F"/>
    <w:rsid w:val="00B3261D"/>
    <w:rsid w:val="00B32EB5"/>
    <w:rsid w:val="00B3378B"/>
    <w:rsid w:val="00B33CE0"/>
    <w:rsid w:val="00B3498B"/>
    <w:rsid w:val="00B35049"/>
    <w:rsid w:val="00B35955"/>
    <w:rsid w:val="00B35B32"/>
    <w:rsid w:val="00B35DC7"/>
    <w:rsid w:val="00B35E0F"/>
    <w:rsid w:val="00B3654B"/>
    <w:rsid w:val="00B379CE"/>
    <w:rsid w:val="00B37CAD"/>
    <w:rsid w:val="00B4058C"/>
    <w:rsid w:val="00B408E2"/>
    <w:rsid w:val="00B4105A"/>
    <w:rsid w:val="00B412A5"/>
    <w:rsid w:val="00B4153B"/>
    <w:rsid w:val="00B41679"/>
    <w:rsid w:val="00B41712"/>
    <w:rsid w:val="00B449A7"/>
    <w:rsid w:val="00B453AE"/>
    <w:rsid w:val="00B45F64"/>
    <w:rsid w:val="00B463FF"/>
    <w:rsid w:val="00B47F51"/>
    <w:rsid w:val="00B500E1"/>
    <w:rsid w:val="00B50129"/>
    <w:rsid w:val="00B504E0"/>
    <w:rsid w:val="00B50FC3"/>
    <w:rsid w:val="00B51522"/>
    <w:rsid w:val="00B51AEC"/>
    <w:rsid w:val="00B52493"/>
    <w:rsid w:val="00B52F95"/>
    <w:rsid w:val="00B5329B"/>
    <w:rsid w:val="00B555EE"/>
    <w:rsid w:val="00B55C20"/>
    <w:rsid w:val="00B561CC"/>
    <w:rsid w:val="00B5686C"/>
    <w:rsid w:val="00B56C49"/>
    <w:rsid w:val="00B5778C"/>
    <w:rsid w:val="00B6277D"/>
    <w:rsid w:val="00B62857"/>
    <w:rsid w:val="00B63AB2"/>
    <w:rsid w:val="00B63F65"/>
    <w:rsid w:val="00B64DB2"/>
    <w:rsid w:val="00B64DD1"/>
    <w:rsid w:val="00B651C8"/>
    <w:rsid w:val="00B6626D"/>
    <w:rsid w:val="00B66794"/>
    <w:rsid w:val="00B66A7E"/>
    <w:rsid w:val="00B66C1A"/>
    <w:rsid w:val="00B70520"/>
    <w:rsid w:val="00B70E06"/>
    <w:rsid w:val="00B71B01"/>
    <w:rsid w:val="00B71EBD"/>
    <w:rsid w:val="00B74EBF"/>
    <w:rsid w:val="00B7696D"/>
    <w:rsid w:val="00B77760"/>
    <w:rsid w:val="00B77855"/>
    <w:rsid w:val="00B8021D"/>
    <w:rsid w:val="00B82129"/>
    <w:rsid w:val="00B82CD1"/>
    <w:rsid w:val="00B8315B"/>
    <w:rsid w:val="00B8346F"/>
    <w:rsid w:val="00B8584F"/>
    <w:rsid w:val="00B86535"/>
    <w:rsid w:val="00B865B3"/>
    <w:rsid w:val="00B873DA"/>
    <w:rsid w:val="00B87875"/>
    <w:rsid w:val="00B90A9B"/>
    <w:rsid w:val="00B912C8"/>
    <w:rsid w:val="00B914AE"/>
    <w:rsid w:val="00B919A9"/>
    <w:rsid w:val="00B919B3"/>
    <w:rsid w:val="00B91ACA"/>
    <w:rsid w:val="00B93468"/>
    <w:rsid w:val="00B9376E"/>
    <w:rsid w:val="00B93EF3"/>
    <w:rsid w:val="00B940A4"/>
    <w:rsid w:val="00B95909"/>
    <w:rsid w:val="00B97483"/>
    <w:rsid w:val="00B977C8"/>
    <w:rsid w:val="00BA08B2"/>
    <w:rsid w:val="00BA0A82"/>
    <w:rsid w:val="00BA109E"/>
    <w:rsid w:val="00BA17B1"/>
    <w:rsid w:val="00BA1AD8"/>
    <w:rsid w:val="00BA1F1B"/>
    <w:rsid w:val="00BA26F8"/>
    <w:rsid w:val="00BA29A1"/>
    <w:rsid w:val="00BA2F17"/>
    <w:rsid w:val="00BA44B6"/>
    <w:rsid w:val="00BA4DD6"/>
    <w:rsid w:val="00BA5338"/>
    <w:rsid w:val="00BA55A4"/>
    <w:rsid w:val="00BA7F92"/>
    <w:rsid w:val="00BA7FAB"/>
    <w:rsid w:val="00BB01D1"/>
    <w:rsid w:val="00BB046D"/>
    <w:rsid w:val="00BB0B6A"/>
    <w:rsid w:val="00BB0D90"/>
    <w:rsid w:val="00BB1587"/>
    <w:rsid w:val="00BB2EEB"/>
    <w:rsid w:val="00BB31BD"/>
    <w:rsid w:val="00BB3ABB"/>
    <w:rsid w:val="00BB3BBE"/>
    <w:rsid w:val="00BB41AD"/>
    <w:rsid w:val="00BB4DAB"/>
    <w:rsid w:val="00BB5A53"/>
    <w:rsid w:val="00BB6A7F"/>
    <w:rsid w:val="00BB6D0C"/>
    <w:rsid w:val="00BB713C"/>
    <w:rsid w:val="00BB7353"/>
    <w:rsid w:val="00BC0BCE"/>
    <w:rsid w:val="00BC11EF"/>
    <w:rsid w:val="00BC2B7E"/>
    <w:rsid w:val="00BC3345"/>
    <w:rsid w:val="00BC5251"/>
    <w:rsid w:val="00BC55FD"/>
    <w:rsid w:val="00BC6BC0"/>
    <w:rsid w:val="00BC7C0B"/>
    <w:rsid w:val="00BC7E3D"/>
    <w:rsid w:val="00BD0732"/>
    <w:rsid w:val="00BD09D2"/>
    <w:rsid w:val="00BD0E63"/>
    <w:rsid w:val="00BD14FC"/>
    <w:rsid w:val="00BD1853"/>
    <w:rsid w:val="00BD2B1A"/>
    <w:rsid w:val="00BD2CD4"/>
    <w:rsid w:val="00BD3D15"/>
    <w:rsid w:val="00BD5873"/>
    <w:rsid w:val="00BD5EA5"/>
    <w:rsid w:val="00BD759E"/>
    <w:rsid w:val="00BE1368"/>
    <w:rsid w:val="00BE1F15"/>
    <w:rsid w:val="00BE2D39"/>
    <w:rsid w:val="00BE345D"/>
    <w:rsid w:val="00BE38B1"/>
    <w:rsid w:val="00BE41C2"/>
    <w:rsid w:val="00BE44D8"/>
    <w:rsid w:val="00BE44F1"/>
    <w:rsid w:val="00BE4541"/>
    <w:rsid w:val="00BE46E5"/>
    <w:rsid w:val="00BE4E3C"/>
    <w:rsid w:val="00BE57EE"/>
    <w:rsid w:val="00BE5857"/>
    <w:rsid w:val="00BE607E"/>
    <w:rsid w:val="00BE6F11"/>
    <w:rsid w:val="00BE7C0F"/>
    <w:rsid w:val="00BE7D2C"/>
    <w:rsid w:val="00BF0095"/>
    <w:rsid w:val="00BF043A"/>
    <w:rsid w:val="00BF2CC0"/>
    <w:rsid w:val="00BF2DB0"/>
    <w:rsid w:val="00BF3376"/>
    <w:rsid w:val="00BF3530"/>
    <w:rsid w:val="00BF6D1F"/>
    <w:rsid w:val="00BF7847"/>
    <w:rsid w:val="00C000E6"/>
    <w:rsid w:val="00C017EF"/>
    <w:rsid w:val="00C01FC9"/>
    <w:rsid w:val="00C032F5"/>
    <w:rsid w:val="00C04F78"/>
    <w:rsid w:val="00C05022"/>
    <w:rsid w:val="00C065BC"/>
    <w:rsid w:val="00C07CA5"/>
    <w:rsid w:val="00C10331"/>
    <w:rsid w:val="00C1100D"/>
    <w:rsid w:val="00C121B0"/>
    <w:rsid w:val="00C13A83"/>
    <w:rsid w:val="00C14397"/>
    <w:rsid w:val="00C149B6"/>
    <w:rsid w:val="00C1599F"/>
    <w:rsid w:val="00C16649"/>
    <w:rsid w:val="00C17B83"/>
    <w:rsid w:val="00C2065B"/>
    <w:rsid w:val="00C20CC5"/>
    <w:rsid w:val="00C216ED"/>
    <w:rsid w:val="00C22014"/>
    <w:rsid w:val="00C22657"/>
    <w:rsid w:val="00C2325C"/>
    <w:rsid w:val="00C23F05"/>
    <w:rsid w:val="00C24580"/>
    <w:rsid w:val="00C24842"/>
    <w:rsid w:val="00C24C00"/>
    <w:rsid w:val="00C263DC"/>
    <w:rsid w:val="00C273FA"/>
    <w:rsid w:val="00C278F6"/>
    <w:rsid w:val="00C27FDE"/>
    <w:rsid w:val="00C315A8"/>
    <w:rsid w:val="00C32556"/>
    <w:rsid w:val="00C3275B"/>
    <w:rsid w:val="00C335C3"/>
    <w:rsid w:val="00C339AF"/>
    <w:rsid w:val="00C36081"/>
    <w:rsid w:val="00C36192"/>
    <w:rsid w:val="00C368A4"/>
    <w:rsid w:val="00C36C58"/>
    <w:rsid w:val="00C40675"/>
    <w:rsid w:val="00C410A7"/>
    <w:rsid w:val="00C413A5"/>
    <w:rsid w:val="00C41B11"/>
    <w:rsid w:val="00C41BB9"/>
    <w:rsid w:val="00C42B68"/>
    <w:rsid w:val="00C443BF"/>
    <w:rsid w:val="00C44A0B"/>
    <w:rsid w:val="00C45232"/>
    <w:rsid w:val="00C455EB"/>
    <w:rsid w:val="00C457C8"/>
    <w:rsid w:val="00C45CDE"/>
    <w:rsid w:val="00C46A0F"/>
    <w:rsid w:val="00C47FC5"/>
    <w:rsid w:val="00C50A51"/>
    <w:rsid w:val="00C50F29"/>
    <w:rsid w:val="00C51AD8"/>
    <w:rsid w:val="00C52A1F"/>
    <w:rsid w:val="00C52D48"/>
    <w:rsid w:val="00C5352A"/>
    <w:rsid w:val="00C536F4"/>
    <w:rsid w:val="00C53A48"/>
    <w:rsid w:val="00C53C47"/>
    <w:rsid w:val="00C53FAB"/>
    <w:rsid w:val="00C53FEE"/>
    <w:rsid w:val="00C54C67"/>
    <w:rsid w:val="00C56962"/>
    <w:rsid w:val="00C56F8C"/>
    <w:rsid w:val="00C57134"/>
    <w:rsid w:val="00C578D7"/>
    <w:rsid w:val="00C602AC"/>
    <w:rsid w:val="00C60667"/>
    <w:rsid w:val="00C61D3B"/>
    <w:rsid w:val="00C61FD5"/>
    <w:rsid w:val="00C62CD8"/>
    <w:rsid w:val="00C63A64"/>
    <w:rsid w:val="00C641F2"/>
    <w:rsid w:val="00C6424D"/>
    <w:rsid w:val="00C6434F"/>
    <w:rsid w:val="00C644FD"/>
    <w:rsid w:val="00C6493B"/>
    <w:rsid w:val="00C64AA0"/>
    <w:rsid w:val="00C665F0"/>
    <w:rsid w:val="00C67B57"/>
    <w:rsid w:val="00C67ED2"/>
    <w:rsid w:val="00C71C58"/>
    <w:rsid w:val="00C71EAA"/>
    <w:rsid w:val="00C72453"/>
    <w:rsid w:val="00C74B37"/>
    <w:rsid w:val="00C7611E"/>
    <w:rsid w:val="00C773D6"/>
    <w:rsid w:val="00C803E5"/>
    <w:rsid w:val="00C803EA"/>
    <w:rsid w:val="00C804C6"/>
    <w:rsid w:val="00C81C59"/>
    <w:rsid w:val="00C825F4"/>
    <w:rsid w:val="00C83304"/>
    <w:rsid w:val="00C83708"/>
    <w:rsid w:val="00C83795"/>
    <w:rsid w:val="00C8477D"/>
    <w:rsid w:val="00C847E7"/>
    <w:rsid w:val="00C84D9F"/>
    <w:rsid w:val="00C856F6"/>
    <w:rsid w:val="00C85D7C"/>
    <w:rsid w:val="00C86294"/>
    <w:rsid w:val="00C87165"/>
    <w:rsid w:val="00C90010"/>
    <w:rsid w:val="00C904BB"/>
    <w:rsid w:val="00C9098D"/>
    <w:rsid w:val="00C911A5"/>
    <w:rsid w:val="00C91770"/>
    <w:rsid w:val="00C92B09"/>
    <w:rsid w:val="00C93480"/>
    <w:rsid w:val="00C9415D"/>
    <w:rsid w:val="00C95647"/>
    <w:rsid w:val="00C97AE3"/>
    <w:rsid w:val="00C97FB9"/>
    <w:rsid w:val="00CA0923"/>
    <w:rsid w:val="00CA0989"/>
    <w:rsid w:val="00CA1EBD"/>
    <w:rsid w:val="00CA279F"/>
    <w:rsid w:val="00CA4B1E"/>
    <w:rsid w:val="00CA4D24"/>
    <w:rsid w:val="00CA55E7"/>
    <w:rsid w:val="00CA7FC0"/>
    <w:rsid w:val="00CB01EA"/>
    <w:rsid w:val="00CB09E3"/>
    <w:rsid w:val="00CB0E66"/>
    <w:rsid w:val="00CB13A4"/>
    <w:rsid w:val="00CB3808"/>
    <w:rsid w:val="00CB495E"/>
    <w:rsid w:val="00CB5813"/>
    <w:rsid w:val="00CB5F95"/>
    <w:rsid w:val="00CB6045"/>
    <w:rsid w:val="00CB62BC"/>
    <w:rsid w:val="00CB62D7"/>
    <w:rsid w:val="00CB662F"/>
    <w:rsid w:val="00CB7796"/>
    <w:rsid w:val="00CB7908"/>
    <w:rsid w:val="00CB7966"/>
    <w:rsid w:val="00CC084C"/>
    <w:rsid w:val="00CC08EE"/>
    <w:rsid w:val="00CC11B6"/>
    <w:rsid w:val="00CC1ED8"/>
    <w:rsid w:val="00CC23A4"/>
    <w:rsid w:val="00CC43C6"/>
    <w:rsid w:val="00CC4BEA"/>
    <w:rsid w:val="00CC4F04"/>
    <w:rsid w:val="00CC50E2"/>
    <w:rsid w:val="00CC536D"/>
    <w:rsid w:val="00CC59B0"/>
    <w:rsid w:val="00CC5FAF"/>
    <w:rsid w:val="00CC6CE2"/>
    <w:rsid w:val="00CD05C2"/>
    <w:rsid w:val="00CD091C"/>
    <w:rsid w:val="00CD0E6A"/>
    <w:rsid w:val="00CD0F9A"/>
    <w:rsid w:val="00CD2562"/>
    <w:rsid w:val="00CD2836"/>
    <w:rsid w:val="00CD3ADF"/>
    <w:rsid w:val="00CD5474"/>
    <w:rsid w:val="00CD63C9"/>
    <w:rsid w:val="00CD64AB"/>
    <w:rsid w:val="00CD66A5"/>
    <w:rsid w:val="00CD6715"/>
    <w:rsid w:val="00CD6734"/>
    <w:rsid w:val="00CD756D"/>
    <w:rsid w:val="00CE070B"/>
    <w:rsid w:val="00CE08FE"/>
    <w:rsid w:val="00CE099A"/>
    <w:rsid w:val="00CE0E97"/>
    <w:rsid w:val="00CE22CF"/>
    <w:rsid w:val="00CE37CE"/>
    <w:rsid w:val="00CE47CA"/>
    <w:rsid w:val="00CE5D77"/>
    <w:rsid w:val="00CE683C"/>
    <w:rsid w:val="00CE6E48"/>
    <w:rsid w:val="00CE72E7"/>
    <w:rsid w:val="00CF1278"/>
    <w:rsid w:val="00CF1448"/>
    <w:rsid w:val="00CF1AAE"/>
    <w:rsid w:val="00CF2E14"/>
    <w:rsid w:val="00CF34D7"/>
    <w:rsid w:val="00CF363D"/>
    <w:rsid w:val="00CF3796"/>
    <w:rsid w:val="00CF3A71"/>
    <w:rsid w:val="00CF4315"/>
    <w:rsid w:val="00CF6915"/>
    <w:rsid w:val="00CF6E88"/>
    <w:rsid w:val="00D00D55"/>
    <w:rsid w:val="00D01226"/>
    <w:rsid w:val="00D01C96"/>
    <w:rsid w:val="00D022DE"/>
    <w:rsid w:val="00D024B7"/>
    <w:rsid w:val="00D0482E"/>
    <w:rsid w:val="00D0497A"/>
    <w:rsid w:val="00D05BAF"/>
    <w:rsid w:val="00D0629E"/>
    <w:rsid w:val="00D070C3"/>
    <w:rsid w:val="00D075B3"/>
    <w:rsid w:val="00D07AD7"/>
    <w:rsid w:val="00D10B86"/>
    <w:rsid w:val="00D11257"/>
    <w:rsid w:val="00D1131E"/>
    <w:rsid w:val="00D123DD"/>
    <w:rsid w:val="00D13E4E"/>
    <w:rsid w:val="00D147C8"/>
    <w:rsid w:val="00D14A06"/>
    <w:rsid w:val="00D14AAC"/>
    <w:rsid w:val="00D14BE0"/>
    <w:rsid w:val="00D15343"/>
    <w:rsid w:val="00D165E4"/>
    <w:rsid w:val="00D16C59"/>
    <w:rsid w:val="00D21B0D"/>
    <w:rsid w:val="00D21BBD"/>
    <w:rsid w:val="00D2244E"/>
    <w:rsid w:val="00D229C3"/>
    <w:rsid w:val="00D22E15"/>
    <w:rsid w:val="00D23BE4"/>
    <w:rsid w:val="00D23C01"/>
    <w:rsid w:val="00D23C06"/>
    <w:rsid w:val="00D24340"/>
    <w:rsid w:val="00D269FE"/>
    <w:rsid w:val="00D26C2E"/>
    <w:rsid w:val="00D2742B"/>
    <w:rsid w:val="00D30251"/>
    <w:rsid w:val="00D312F6"/>
    <w:rsid w:val="00D31BC4"/>
    <w:rsid w:val="00D31EC5"/>
    <w:rsid w:val="00D32034"/>
    <w:rsid w:val="00D32268"/>
    <w:rsid w:val="00D32372"/>
    <w:rsid w:val="00D32E7F"/>
    <w:rsid w:val="00D33626"/>
    <w:rsid w:val="00D35928"/>
    <w:rsid w:val="00D36F68"/>
    <w:rsid w:val="00D371FE"/>
    <w:rsid w:val="00D3779D"/>
    <w:rsid w:val="00D41E48"/>
    <w:rsid w:val="00D41F78"/>
    <w:rsid w:val="00D42E75"/>
    <w:rsid w:val="00D441EA"/>
    <w:rsid w:val="00D45692"/>
    <w:rsid w:val="00D45A45"/>
    <w:rsid w:val="00D46A04"/>
    <w:rsid w:val="00D474AD"/>
    <w:rsid w:val="00D4755C"/>
    <w:rsid w:val="00D5094C"/>
    <w:rsid w:val="00D50AA3"/>
    <w:rsid w:val="00D50ABE"/>
    <w:rsid w:val="00D50C74"/>
    <w:rsid w:val="00D510E3"/>
    <w:rsid w:val="00D51AB7"/>
    <w:rsid w:val="00D51EF2"/>
    <w:rsid w:val="00D522F8"/>
    <w:rsid w:val="00D52FCF"/>
    <w:rsid w:val="00D53C08"/>
    <w:rsid w:val="00D53C3A"/>
    <w:rsid w:val="00D53D61"/>
    <w:rsid w:val="00D5458D"/>
    <w:rsid w:val="00D54FEB"/>
    <w:rsid w:val="00D55D05"/>
    <w:rsid w:val="00D55D19"/>
    <w:rsid w:val="00D6013C"/>
    <w:rsid w:val="00D608EA"/>
    <w:rsid w:val="00D60CF3"/>
    <w:rsid w:val="00D628AF"/>
    <w:rsid w:val="00D630A2"/>
    <w:rsid w:val="00D632A8"/>
    <w:rsid w:val="00D6427C"/>
    <w:rsid w:val="00D642A4"/>
    <w:rsid w:val="00D64A77"/>
    <w:rsid w:val="00D651A2"/>
    <w:rsid w:val="00D65D96"/>
    <w:rsid w:val="00D65E8A"/>
    <w:rsid w:val="00D669FD"/>
    <w:rsid w:val="00D66E93"/>
    <w:rsid w:val="00D67555"/>
    <w:rsid w:val="00D67906"/>
    <w:rsid w:val="00D700E5"/>
    <w:rsid w:val="00D70B09"/>
    <w:rsid w:val="00D71113"/>
    <w:rsid w:val="00D71712"/>
    <w:rsid w:val="00D71E5D"/>
    <w:rsid w:val="00D7207D"/>
    <w:rsid w:val="00D73336"/>
    <w:rsid w:val="00D74808"/>
    <w:rsid w:val="00D7486C"/>
    <w:rsid w:val="00D749AE"/>
    <w:rsid w:val="00D757D7"/>
    <w:rsid w:val="00D763F3"/>
    <w:rsid w:val="00D77801"/>
    <w:rsid w:val="00D810A7"/>
    <w:rsid w:val="00D819F2"/>
    <w:rsid w:val="00D84C9A"/>
    <w:rsid w:val="00D84CFE"/>
    <w:rsid w:val="00D85CCF"/>
    <w:rsid w:val="00D85F77"/>
    <w:rsid w:val="00D86BAB"/>
    <w:rsid w:val="00D90025"/>
    <w:rsid w:val="00D91D72"/>
    <w:rsid w:val="00D91E96"/>
    <w:rsid w:val="00D91F9B"/>
    <w:rsid w:val="00D922AC"/>
    <w:rsid w:val="00D92E60"/>
    <w:rsid w:val="00D949F3"/>
    <w:rsid w:val="00D94EE8"/>
    <w:rsid w:val="00D95499"/>
    <w:rsid w:val="00D974FD"/>
    <w:rsid w:val="00D978A9"/>
    <w:rsid w:val="00D97DCF"/>
    <w:rsid w:val="00DA0DFD"/>
    <w:rsid w:val="00DA1944"/>
    <w:rsid w:val="00DA3703"/>
    <w:rsid w:val="00DA37F5"/>
    <w:rsid w:val="00DA3889"/>
    <w:rsid w:val="00DA3D4F"/>
    <w:rsid w:val="00DA42F1"/>
    <w:rsid w:val="00DA56C4"/>
    <w:rsid w:val="00DA5784"/>
    <w:rsid w:val="00DA5AB7"/>
    <w:rsid w:val="00DA5C06"/>
    <w:rsid w:val="00DA67DC"/>
    <w:rsid w:val="00DA6F4B"/>
    <w:rsid w:val="00DA7FDF"/>
    <w:rsid w:val="00DB0390"/>
    <w:rsid w:val="00DB1171"/>
    <w:rsid w:val="00DB140C"/>
    <w:rsid w:val="00DB1B2C"/>
    <w:rsid w:val="00DB2965"/>
    <w:rsid w:val="00DB3DF9"/>
    <w:rsid w:val="00DB4969"/>
    <w:rsid w:val="00DB59D4"/>
    <w:rsid w:val="00DB5CC0"/>
    <w:rsid w:val="00DB5E31"/>
    <w:rsid w:val="00DB64E0"/>
    <w:rsid w:val="00DB7313"/>
    <w:rsid w:val="00DB7F93"/>
    <w:rsid w:val="00DC16CC"/>
    <w:rsid w:val="00DC1B99"/>
    <w:rsid w:val="00DC3D2B"/>
    <w:rsid w:val="00DC493C"/>
    <w:rsid w:val="00DC578F"/>
    <w:rsid w:val="00DC62B2"/>
    <w:rsid w:val="00DC723D"/>
    <w:rsid w:val="00DD0314"/>
    <w:rsid w:val="00DD035D"/>
    <w:rsid w:val="00DD0381"/>
    <w:rsid w:val="00DD0AC2"/>
    <w:rsid w:val="00DD2BE0"/>
    <w:rsid w:val="00DD3073"/>
    <w:rsid w:val="00DD3210"/>
    <w:rsid w:val="00DD4692"/>
    <w:rsid w:val="00DD554F"/>
    <w:rsid w:val="00DD5BF1"/>
    <w:rsid w:val="00DD63E3"/>
    <w:rsid w:val="00DD6716"/>
    <w:rsid w:val="00DD7793"/>
    <w:rsid w:val="00DD7BCF"/>
    <w:rsid w:val="00DE1172"/>
    <w:rsid w:val="00DE1EE4"/>
    <w:rsid w:val="00DE2017"/>
    <w:rsid w:val="00DE22C6"/>
    <w:rsid w:val="00DE3143"/>
    <w:rsid w:val="00DE3298"/>
    <w:rsid w:val="00DE3F17"/>
    <w:rsid w:val="00DE4D74"/>
    <w:rsid w:val="00DE4F84"/>
    <w:rsid w:val="00DE5417"/>
    <w:rsid w:val="00DE54AB"/>
    <w:rsid w:val="00DE75DC"/>
    <w:rsid w:val="00DE7B1C"/>
    <w:rsid w:val="00DE7C13"/>
    <w:rsid w:val="00DF07B8"/>
    <w:rsid w:val="00DF0FC0"/>
    <w:rsid w:val="00DF1C59"/>
    <w:rsid w:val="00DF1F0B"/>
    <w:rsid w:val="00DF227D"/>
    <w:rsid w:val="00DF24BE"/>
    <w:rsid w:val="00DF3532"/>
    <w:rsid w:val="00DF3A78"/>
    <w:rsid w:val="00DF4B1D"/>
    <w:rsid w:val="00DF5551"/>
    <w:rsid w:val="00DF5FA1"/>
    <w:rsid w:val="00DF67DE"/>
    <w:rsid w:val="00DF7988"/>
    <w:rsid w:val="00E009FE"/>
    <w:rsid w:val="00E00A01"/>
    <w:rsid w:val="00E0107C"/>
    <w:rsid w:val="00E0132B"/>
    <w:rsid w:val="00E019D4"/>
    <w:rsid w:val="00E03C8F"/>
    <w:rsid w:val="00E03D83"/>
    <w:rsid w:val="00E04446"/>
    <w:rsid w:val="00E0539F"/>
    <w:rsid w:val="00E05DD3"/>
    <w:rsid w:val="00E0687C"/>
    <w:rsid w:val="00E07273"/>
    <w:rsid w:val="00E074B6"/>
    <w:rsid w:val="00E078B6"/>
    <w:rsid w:val="00E10476"/>
    <w:rsid w:val="00E1194A"/>
    <w:rsid w:val="00E12464"/>
    <w:rsid w:val="00E12853"/>
    <w:rsid w:val="00E12E67"/>
    <w:rsid w:val="00E14800"/>
    <w:rsid w:val="00E14B63"/>
    <w:rsid w:val="00E154CF"/>
    <w:rsid w:val="00E15E3A"/>
    <w:rsid w:val="00E15F2F"/>
    <w:rsid w:val="00E178E1"/>
    <w:rsid w:val="00E201A9"/>
    <w:rsid w:val="00E203D6"/>
    <w:rsid w:val="00E20922"/>
    <w:rsid w:val="00E217E9"/>
    <w:rsid w:val="00E21F87"/>
    <w:rsid w:val="00E2209B"/>
    <w:rsid w:val="00E2265F"/>
    <w:rsid w:val="00E23519"/>
    <w:rsid w:val="00E23A99"/>
    <w:rsid w:val="00E25501"/>
    <w:rsid w:val="00E25B0A"/>
    <w:rsid w:val="00E306F5"/>
    <w:rsid w:val="00E31AF9"/>
    <w:rsid w:val="00E31D49"/>
    <w:rsid w:val="00E31E44"/>
    <w:rsid w:val="00E31F10"/>
    <w:rsid w:val="00E35643"/>
    <w:rsid w:val="00E35C0F"/>
    <w:rsid w:val="00E35E4F"/>
    <w:rsid w:val="00E363E9"/>
    <w:rsid w:val="00E36E10"/>
    <w:rsid w:val="00E37E36"/>
    <w:rsid w:val="00E37E9A"/>
    <w:rsid w:val="00E420FD"/>
    <w:rsid w:val="00E4212D"/>
    <w:rsid w:val="00E421DE"/>
    <w:rsid w:val="00E435F8"/>
    <w:rsid w:val="00E437F8"/>
    <w:rsid w:val="00E43995"/>
    <w:rsid w:val="00E45163"/>
    <w:rsid w:val="00E45E8B"/>
    <w:rsid w:val="00E46BFB"/>
    <w:rsid w:val="00E51053"/>
    <w:rsid w:val="00E5127C"/>
    <w:rsid w:val="00E512CD"/>
    <w:rsid w:val="00E51937"/>
    <w:rsid w:val="00E53600"/>
    <w:rsid w:val="00E53722"/>
    <w:rsid w:val="00E5418B"/>
    <w:rsid w:val="00E56A3A"/>
    <w:rsid w:val="00E57055"/>
    <w:rsid w:val="00E571E1"/>
    <w:rsid w:val="00E6043D"/>
    <w:rsid w:val="00E6051A"/>
    <w:rsid w:val="00E616AB"/>
    <w:rsid w:val="00E63922"/>
    <w:rsid w:val="00E6675F"/>
    <w:rsid w:val="00E6739F"/>
    <w:rsid w:val="00E67473"/>
    <w:rsid w:val="00E677F0"/>
    <w:rsid w:val="00E67E99"/>
    <w:rsid w:val="00E70E61"/>
    <w:rsid w:val="00E71099"/>
    <w:rsid w:val="00E7234A"/>
    <w:rsid w:val="00E73076"/>
    <w:rsid w:val="00E730AD"/>
    <w:rsid w:val="00E7374E"/>
    <w:rsid w:val="00E743E1"/>
    <w:rsid w:val="00E74AAB"/>
    <w:rsid w:val="00E75407"/>
    <w:rsid w:val="00E754CA"/>
    <w:rsid w:val="00E75CC2"/>
    <w:rsid w:val="00E770FB"/>
    <w:rsid w:val="00E77161"/>
    <w:rsid w:val="00E773B2"/>
    <w:rsid w:val="00E8047F"/>
    <w:rsid w:val="00E808B3"/>
    <w:rsid w:val="00E82C87"/>
    <w:rsid w:val="00E83342"/>
    <w:rsid w:val="00E83852"/>
    <w:rsid w:val="00E85205"/>
    <w:rsid w:val="00E85EFF"/>
    <w:rsid w:val="00E8674D"/>
    <w:rsid w:val="00E868FA"/>
    <w:rsid w:val="00E8739C"/>
    <w:rsid w:val="00E87DC6"/>
    <w:rsid w:val="00E91621"/>
    <w:rsid w:val="00E91C2E"/>
    <w:rsid w:val="00E92508"/>
    <w:rsid w:val="00E92628"/>
    <w:rsid w:val="00E928B0"/>
    <w:rsid w:val="00E934A4"/>
    <w:rsid w:val="00E93620"/>
    <w:rsid w:val="00E954B2"/>
    <w:rsid w:val="00E96274"/>
    <w:rsid w:val="00E97769"/>
    <w:rsid w:val="00E977B6"/>
    <w:rsid w:val="00E97825"/>
    <w:rsid w:val="00E97E39"/>
    <w:rsid w:val="00EA02D6"/>
    <w:rsid w:val="00EA1572"/>
    <w:rsid w:val="00EA1D06"/>
    <w:rsid w:val="00EA1F09"/>
    <w:rsid w:val="00EA21D8"/>
    <w:rsid w:val="00EA245C"/>
    <w:rsid w:val="00EA25CB"/>
    <w:rsid w:val="00EA2FE5"/>
    <w:rsid w:val="00EA3886"/>
    <w:rsid w:val="00EA3F62"/>
    <w:rsid w:val="00EA4094"/>
    <w:rsid w:val="00EA47F3"/>
    <w:rsid w:val="00EA5F51"/>
    <w:rsid w:val="00EA7384"/>
    <w:rsid w:val="00EA7627"/>
    <w:rsid w:val="00EA7E47"/>
    <w:rsid w:val="00EB0252"/>
    <w:rsid w:val="00EB185F"/>
    <w:rsid w:val="00EB20CF"/>
    <w:rsid w:val="00EB433E"/>
    <w:rsid w:val="00EB46E5"/>
    <w:rsid w:val="00EB5345"/>
    <w:rsid w:val="00EB5E12"/>
    <w:rsid w:val="00EB5FFE"/>
    <w:rsid w:val="00EB708F"/>
    <w:rsid w:val="00EB7381"/>
    <w:rsid w:val="00EB7996"/>
    <w:rsid w:val="00EC0C06"/>
    <w:rsid w:val="00EC116F"/>
    <w:rsid w:val="00EC1E71"/>
    <w:rsid w:val="00EC1F54"/>
    <w:rsid w:val="00EC3116"/>
    <w:rsid w:val="00EC4169"/>
    <w:rsid w:val="00EC5A68"/>
    <w:rsid w:val="00EC5B21"/>
    <w:rsid w:val="00EC5BB0"/>
    <w:rsid w:val="00EC7435"/>
    <w:rsid w:val="00EC7ECC"/>
    <w:rsid w:val="00ED045F"/>
    <w:rsid w:val="00ED06C0"/>
    <w:rsid w:val="00ED0888"/>
    <w:rsid w:val="00ED1E3B"/>
    <w:rsid w:val="00ED252E"/>
    <w:rsid w:val="00ED35DD"/>
    <w:rsid w:val="00ED5261"/>
    <w:rsid w:val="00ED6745"/>
    <w:rsid w:val="00ED757E"/>
    <w:rsid w:val="00ED7CC3"/>
    <w:rsid w:val="00EE0034"/>
    <w:rsid w:val="00EE04DC"/>
    <w:rsid w:val="00EE1DCD"/>
    <w:rsid w:val="00EE2428"/>
    <w:rsid w:val="00EE24EA"/>
    <w:rsid w:val="00EE30DB"/>
    <w:rsid w:val="00EE3745"/>
    <w:rsid w:val="00EE40CD"/>
    <w:rsid w:val="00EE4125"/>
    <w:rsid w:val="00EE445D"/>
    <w:rsid w:val="00EE4797"/>
    <w:rsid w:val="00EE4AD3"/>
    <w:rsid w:val="00EE6D7B"/>
    <w:rsid w:val="00EE7424"/>
    <w:rsid w:val="00EF0352"/>
    <w:rsid w:val="00EF1792"/>
    <w:rsid w:val="00EF29AB"/>
    <w:rsid w:val="00EF2D6E"/>
    <w:rsid w:val="00EF3336"/>
    <w:rsid w:val="00EF33C2"/>
    <w:rsid w:val="00EF4186"/>
    <w:rsid w:val="00EF4ED7"/>
    <w:rsid w:val="00EF5E39"/>
    <w:rsid w:val="00EF6F8C"/>
    <w:rsid w:val="00EF768C"/>
    <w:rsid w:val="00F0059B"/>
    <w:rsid w:val="00F00648"/>
    <w:rsid w:val="00F00DE4"/>
    <w:rsid w:val="00F0299F"/>
    <w:rsid w:val="00F033AC"/>
    <w:rsid w:val="00F038EC"/>
    <w:rsid w:val="00F03969"/>
    <w:rsid w:val="00F03D3F"/>
    <w:rsid w:val="00F03F26"/>
    <w:rsid w:val="00F04644"/>
    <w:rsid w:val="00F04E59"/>
    <w:rsid w:val="00F055B3"/>
    <w:rsid w:val="00F05E81"/>
    <w:rsid w:val="00F0642C"/>
    <w:rsid w:val="00F06454"/>
    <w:rsid w:val="00F0678E"/>
    <w:rsid w:val="00F067F3"/>
    <w:rsid w:val="00F06AEA"/>
    <w:rsid w:val="00F11450"/>
    <w:rsid w:val="00F12004"/>
    <w:rsid w:val="00F1339B"/>
    <w:rsid w:val="00F139BA"/>
    <w:rsid w:val="00F13DB8"/>
    <w:rsid w:val="00F1716B"/>
    <w:rsid w:val="00F173F8"/>
    <w:rsid w:val="00F2009C"/>
    <w:rsid w:val="00F200B1"/>
    <w:rsid w:val="00F2015F"/>
    <w:rsid w:val="00F211B7"/>
    <w:rsid w:val="00F214A9"/>
    <w:rsid w:val="00F21BCB"/>
    <w:rsid w:val="00F222E0"/>
    <w:rsid w:val="00F2258B"/>
    <w:rsid w:val="00F249A0"/>
    <w:rsid w:val="00F24ECD"/>
    <w:rsid w:val="00F254FB"/>
    <w:rsid w:val="00F2583D"/>
    <w:rsid w:val="00F25BA1"/>
    <w:rsid w:val="00F25CF8"/>
    <w:rsid w:val="00F25F7E"/>
    <w:rsid w:val="00F264B5"/>
    <w:rsid w:val="00F264C5"/>
    <w:rsid w:val="00F26EF6"/>
    <w:rsid w:val="00F27377"/>
    <w:rsid w:val="00F27FAB"/>
    <w:rsid w:val="00F3094B"/>
    <w:rsid w:val="00F3112E"/>
    <w:rsid w:val="00F31B63"/>
    <w:rsid w:val="00F31BF7"/>
    <w:rsid w:val="00F329AE"/>
    <w:rsid w:val="00F361A2"/>
    <w:rsid w:val="00F36E0B"/>
    <w:rsid w:val="00F408C2"/>
    <w:rsid w:val="00F411D3"/>
    <w:rsid w:val="00F42ADB"/>
    <w:rsid w:val="00F43020"/>
    <w:rsid w:val="00F43579"/>
    <w:rsid w:val="00F43ECA"/>
    <w:rsid w:val="00F44775"/>
    <w:rsid w:val="00F44790"/>
    <w:rsid w:val="00F45FF1"/>
    <w:rsid w:val="00F47A4E"/>
    <w:rsid w:val="00F500C2"/>
    <w:rsid w:val="00F514F9"/>
    <w:rsid w:val="00F5193D"/>
    <w:rsid w:val="00F521F9"/>
    <w:rsid w:val="00F52D7A"/>
    <w:rsid w:val="00F53C06"/>
    <w:rsid w:val="00F54043"/>
    <w:rsid w:val="00F54ADB"/>
    <w:rsid w:val="00F54F69"/>
    <w:rsid w:val="00F54FC2"/>
    <w:rsid w:val="00F5524C"/>
    <w:rsid w:val="00F556FA"/>
    <w:rsid w:val="00F562E7"/>
    <w:rsid w:val="00F60841"/>
    <w:rsid w:val="00F62498"/>
    <w:rsid w:val="00F635DD"/>
    <w:rsid w:val="00F63C3B"/>
    <w:rsid w:val="00F71565"/>
    <w:rsid w:val="00F71CF6"/>
    <w:rsid w:val="00F71EF1"/>
    <w:rsid w:val="00F72854"/>
    <w:rsid w:val="00F728D2"/>
    <w:rsid w:val="00F72EE8"/>
    <w:rsid w:val="00F732FC"/>
    <w:rsid w:val="00F73F48"/>
    <w:rsid w:val="00F741EF"/>
    <w:rsid w:val="00F74C64"/>
    <w:rsid w:val="00F7543E"/>
    <w:rsid w:val="00F75823"/>
    <w:rsid w:val="00F77471"/>
    <w:rsid w:val="00F77D3F"/>
    <w:rsid w:val="00F81C12"/>
    <w:rsid w:val="00F820AA"/>
    <w:rsid w:val="00F82C9A"/>
    <w:rsid w:val="00F8452A"/>
    <w:rsid w:val="00F84E88"/>
    <w:rsid w:val="00F85633"/>
    <w:rsid w:val="00F85916"/>
    <w:rsid w:val="00F85C76"/>
    <w:rsid w:val="00F85FC0"/>
    <w:rsid w:val="00F86BDB"/>
    <w:rsid w:val="00F86FFA"/>
    <w:rsid w:val="00F872C2"/>
    <w:rsid w:val="00F933FF"/>
    <w:rsid w:val="00F936EC"/>
    <w:rsid w:val="00F9388E"/>
    <w:rsid w:val="00F95287"/>
    <w:rsid w:val="00F96B8D"/>
    <w:rsid w:val="00F96E46"/>
    <w:rsid w:val="00F97A1B"/>
    <w:rsid w:val="00FA03BA"/>
    <w:rsid w:val="00FA163C"/>
    <w:rsid w:val="00FA2D96"/>
    <w:rsid w:val="00FA404B"/>
    <w:rsid w:val="00FA4EF7"/>
    <w:rsid w:val="00FA5AC3"/>
    <w:rsid w:val="00FA5ACE"/>
    <w:rsid w:val="00FA6073"/>
    <w:rsid w:val="00FA7252"/>
    <w:rsid w:val="00FA74B3"/>
    <w:rsid w:val="00FA784E"/>
    <w:rsid w:val="00FB00FD"/>
    <w:rsid w:val="00FB053C"/>
    <w:rsid w:val="00FB1F1C"/>
    <w:rsid w:val="00FB3407"/>
    <w:rsid w:val="00FB39E2"/>
    <w:rsid w:val="00FB3A31"/>
    <w:rsid w:val="00FB3CD0"/>
    <w:rsid w:val="00FB4687"/>
    <w:rsid w:val="00FB5206"/>
    <w:rsid w:val="00FB55FF"/>
    <w:rsid w:val="00FB5704"/>
    <w:rsid w:val="00FB5F6B"/>
    <w:rsid w:val="00FB663D"/>
    <w:rsid w:val="00FB7C73"/>
    <w:rsid w:val="00FC0192"/>
    <w:rsid w:val="00FC0F67"/>
    <w:rsid w:val="00FC1FEC"/>
    <w:rsid w:val="00FC20CD"/>
    <w:rsid w:val="00FC2D75"/>
    <w:rsid w:val="00FC3CE8"/>
    <w:rsid w:val="00FC444B"/>
    <w:rsid w:val="00FC482A"/>
    <w:rsid w:val="00FC5A11"/>
    <w:rsid w:val="00FC6694"/>
    <w:rsid w:val="00FC6CEB"/>
    <w:rsid w:val="00FC70B9"/>
    <w:rsid w:val="00FD02FE"/>
    <w:rsid w:val="00FD0AA4"/>
    <w:rsid w:val="00FD107E"/>
    <w:rsid w:val="00FD18FC"/>
    <w:rsid w:val="00FD251C"/>
    <w:rsid w:val="00FD2666"/>
    <w:rsid w:val="00FD2E23"/>
    <w:rsid w:val="00FD3553"/>
    <w:rsid w:val="00FD3966"/>
    <w:rsid w:val="00FD5615"/>
    <w:rsid w:val="00FD57FE"/>
    <w:rsid w:val="00FD6936"/>
    <w:rsid w:val="00FD6EE2"/>
    <w:rsid w:val="00FD79A1"/>
    <w:rsid w:val="00FE040E"/>
    <w:rsid w:val="00FE0DDE"/>
    <w:rsid w:val="00FE159F"/>
    <w:rsid w:val="00FE29BC"/>
    <w:rsid w:val="00FE2E31"/>
    <w:rsid w:val="00FE3AE0"/>
    <w:rsid w:val="00FE3E8D"/>
    <w:rsid w:val="00FE3E91"/>
    <w:rsid w:val="00FE4FBA"/>
    <w:rsid w:val="00FE59E6"/>
    <w:rsid w:val="00FE5C00"/>
    <w:rsid w:val="00FE62EC"/>
    <w:rsid w:val="00FE689B"/>
    <w:rsid w:val="00FE71FB"/>
    <w:rsid w:val="00FE74B6"/>
    <w:rsid w:val="00FE7BBE"/>
    <w:rsid w:val="00FF130C"/>
    <w:rsid w:val="00FF2411"/>
    <w:rsid w:val="00FF26E8"/>
    <w:rsid w:val="00FF2A3D"/>
    <w:rsid w:val="00FF2D11"/>
    <w:rsid w:val="00FF2D4B"/>
    <w:rsid w:val="00FF39BA"/>
    <w:rsid w:val="00FF47B6"/>
    <w:rsid w:val="00FF4850"/>
    <w:rsid w:val="00FF5529"/>
    <w:rsid w:val="00FF5F3A"/>
    <w:rsid w:val="00FF6E1F"/>
    <w:rsid w:val="00FF7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77ABD"/>
  <w15:docId w15:val="{4168DBFA-9FC2-40A6-A1FB-B3B64436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1F4C"/>
    <w:pPr>
      <w:jc w:val="both"/>
    </w:pPr>
    <w:rPr>
      <w:rFonts w:asciiTheme="minorHAnsi" w:hAnsiTheme="minorHAnsi"/>
      <w:sz w:val="18"/>
    </w:rPr>
  </w:style>
  <w:style w:type="paragraph" w:styleId="Heading1">
    <w:name w:val="heading 1"/>
    <w:basedOn w:val="Normal"/>
    <w:next w:val="BodyText"/>
    <w:qFormat/>
    <w:rsid w:val="00C91770"/>
    <w:pPr>
      <w:keepNext/>
      <w:spacing w:before="120" w:after="120" w:line="288" w:lineRule="auto"/>
      <w:outlineLvl w:val="0"/>
    </w:pPr>
    <w:rPr>
      <w:rFonts w:cs="Arial"/>
      <w:b/>
    </w:rPr>
  </w:style>
  <w:style w:type="paragraph" w:styleId="Heading2">
    <w:name w:val="heading 2"/>
    <w:basedOn w:val="Normal"/>
    <w:next w:val="Normal"/>
    <w:qFormat/>
    <w:rsid w:val="006406E8"/>
    <w:pPr>
      <w:keepNext/>
      <w:outlineLvl w:val="1"/>
    </w:pPr>
    <w:rPr>
      <w:b/>
      <w:sz w:val="36"/>
    </w:rPr>
  </w:style>
  <w:style w:type="paragraph" w:styleId="Heading3">
    <w:name w:val="heading 3"/>
    <w:basedOn w:val="Normal"/>
    <w:next w:val="Normal"/>
    <w:qFormat/>
    <w:rsid w:val="006406E8"/>
    <w:pPr>
      <w:keepNext/>
      <w:outlineLvl w:val="2"/>
    </w:pPr>
    <w:rPr>
      <w:sz w:val="24"/>
    </w:rPr>
  </w:style>
  <w:style w:type="paragraph" w:styleId="Heading4">
    <w:name w:val="heading 4"/>
    <w:basedOn w:val="Normal"/>
    <w:next w:val="Normal"/>
    <w:qFormat/>
    <w:rsid w:val="006406E8"/>
    <w:pPr>
      <w:keepNext/>
      <w:outlineLvl w:val="3"/>
    </w:pPr>
    <w:rPr>
      <w:b/>
      <w:bCs/>
      <w:sz w:val="24"/>
      <w:u w:val="single"/>
    </w:rPr>
  </w:style>
  <w:style w:type="paragraph" w:styleId="Heading5">
    <w:name w:val="heading 5"/>
    <w:basedOn w:val="Normal"/>
    <w:next w:val="Normal"/>
    <w:qFormat/>
    <w:rsid w:val="006406E8"/>
    <w:pPr>
      <w:keepNext/>
      <w:tabs>
        <w:tab w:val="left" w:pos="6379"/>
        <w:tab w:val="left" w:pos="6804"/>
      </w:tabs>
      <w:outlineLvl w:val="4"/>
    </w:pPr>
    <w:rPr>
      <w:i/>
    </w:rPr>
  </w:style>
  <w:style w:type="paragraph" w:styleId="Heading6">
    <w:name w:val="heading 6"/>
    <w:basedOn w:val="Normal"/>
    <w:next w:val="Normal"/>
    <w:qFormat/>
    <w:rsid w:val="006406E8"/>
    <w:pPr>
      <w:keepNext/>
      <w:outlineLvl w:val="5"/>
    </w:pPr>
    <w:rPr>
      <w:sz w:val="24"/>
      <w:u w:val="single"/>
    </w:rPr>
  </w:style>
  <w:style w:type="paragraph" w:styleId="Heading7">
    <w:name w:val="heading 7"/>
    <w:basedOn w:val="Normal"/>
    <w:next w:val="Normal"/>
    <w:qFormat/>
    <w:rsid w:val="006406E8"/>
    <w:pPr>
      <w:keepNext/>
      <w:outlineLvl w:val="6"/>
    </w:pPr>
    <w:rPr>
      <w:sz w:val="24"/>
    </w:rPr>
  </w:style>
  <w:style w:type="paragraph" w:styleId="Heading8">
    <w:name w:val="heading 8"/>
    <w:basedOn w:val="Normal"/>
    <w:next w:val="Normal"/>
    <w:qFormat/>
    <w:rsid w:val="006406E8"/>
    <w:pPr>
      <w:keepNext/>
      <w:outlineLvl w:val="7"/>
    </w:pPr>
    <w:rPr>
      <w:i/>
      <w:iCs/>
      <w:sz w:val="24"/>
    </w:rPr>
  </w:style>
  <w:style w:type="paragraph" w:styleId="Heading9">
    <w:name w:val="heading 9"/>
    <w:basedOn w:val="Normal"/>
    <w:next w:val="Normal"/>
    <w:qFormat/>
    <w:rsid w:val="006406E8"/>
    <w:pPr>
      <w:keepNext/>
      <w:spacing w:before="6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06E8"/>
    <w:pPr>
      <w:jc w:val="center"/>
    </w:pPr>
    <w:rPr>
      <w:b/>
      <w:sz w:val="24"/>
      <w:u w:val="single"/>
    </w:rPr>
  </w:style>
  <w:style w:type="paragraph" w:styleId="BodyText">
    <w:name w:val="Body Text"/>
    <w:basedOn w:val="Normal"/>
    <w:rsid w:val="00371F4C"/>
    <w:pPr>
      <w:spacing w:before="120" w:after="120" w:line="288" w:lineRule="auto"/>
    </w:pPr>
    <w:rPr>
      <w:rFonts w:cs="Arial"/>
    </w:rPr>
  </w:style>
  <w:style w:type="paragraph" w:customStyle="1" w:styleId="Corpsdetexte21">
    <w:name w:val="Corps de texte 21"/>
    <w:basedOn w:val="Normal"/>
    <w:rsid w:val="006406E8"/>
    <w:pPr>
      <w:ind w:left="360"/>
    </w:pPr>
    <w:rPr>
      <w:sz w:val="24"/>
    </w:rPr>
  </w:style>
  <w:style w:type="paragraph" w:customStyle="1" w:styleId="Retraitcorpsdetexte21">
    <w:name w:val="Retrait corps de texte 21"/>
    <w:basedOn w:val="Normal"/>
    <w:rsid w:val="006406E8"/>
    <w:pPr>
      <w:spacing w:before="120"/>
      <w:ind w:left="357"/>
    </w:pPr>
    <w:rPr>
      <w:sz w:val="24"/>
    </w:rPr>
  </w:style>
  <w:style w:type="paragraph" w:styleId="DocumentMap">
    <w:name w:val="Document Map"/>
    <w:basedOn w:val="Normal"/>
    <w:semiHidden/>
    <w:rsid w:val="006406E8"/>
    <w:pPr>
      <w:shd w:val="clear" w:color="auto" w:fill="000080"/>
    </w:pPr>
    <w:rPr>
      <w:rFonts w:ascii="Tahoma" w:hAnsi="Tahoma"/>
    </w:rPr>
  </w:style>
  <w:style w:type="paragraph" w:styleId="BodyText2">
    <w:name w:val="Body Text 2"/>
    <w:basedOn w:val="Normal"/>
    <w:link w:val="BodyText2Char"/>
    <w:rsid w:val="006406E8"/>
    <w:rPr>
      <w:sz w:val="24"/>
    </w:rPr>
  </w:style>
  <w:style w:type="paragraph" w:styleId="BodyText3">
    <w:name w:val="Body Text 3"/>
    <w:basedOn w:val="Normal"/>
    <w:rsid w:val="006406E8"/>
    <w:pPr>
      <w:ind w:right="-567"/>
    </w:pPr>
    <w:rPr>
      <w:sz w:val="24"/>
    </w:rPr>
  </w:style>
  <w:style w:type="paragraph" w:styleId="BodyTextIndent">
    <w:name w:val="Body Text Indent"/>
    <w:basedOn w:val="Normal"/>
    <w:rsid w:val="006406E8"/>
    <w:pPr>
      <w:ind w:left="1416"/>
    </w:pPr>
    <w:rPr>
      <w:sz w:val="24"/>
    </w:rPr>
  </w:style>
  <w:style w:type="paragraph" w:styleId="BodyTextIndent2">
    <w:name w:val="Body Text Indent 2"/>
    <w:basedOn w:val="Normal"/>
    <w:rsid w:val="006406E8"/>
    <w:pPr>
      <w:ind w:left="360"/>
    </w:pPr>
    <w:rPr>
      <w:sz w:val="24"/>
    </w:rPr>
  </w:style>
  <w:style w:type="paragraph" w:styleId="BlockText">
    <w:name w:val="Block Text"/>
    <w:basedOn w:val="Normal"/>
    <w:rsid w:val="006406E8"/>
    <w:pPr>
      <w:ind w:left="1140" w:right="142"/>
    </w:pPr>
    <w:rPr>
      <w:sz w:val="24"/>
    </w:rPr>
  </w:style>
  <w:style w:type="paragraph" w:styleId="Footer">
    <w:name w:val="footer"/>
    <w:basedOn w:val="Normal"/>
    <w:link w:val="FooterChar"/>
    <w:uiPriority w:val="99"/>
    <w:rsid w:val="006406E8"/>
    <w:pPr>
      <w:tabs>
        <w:tab w:val="center" w:pos="4536"/>
        <w:tab w:val="right" w:pos="9072"/>
      </w:tabs>
    </w:pPr>
  </w:style>
  <w:style w:type="character" w:styleId="PageNumber">
    <w:name w:val="page number"/>
    <w:basedOn w:val="DefaultParagraphFont"/>
    <w:rsid w:val="006406E8"/>
  </w:style>
  <w:style w:type="paragraph" w:styleId="BodyTextIndent3">
    <w:name w:val="Body Text Indent 3"/>
    <w:basedOn w:val="Normal"/>
    <w:rsid w:val="006406E8"/>
    <w:pPr>
      <w:ind w:left="567"/>
    </w:pPr>
    <w:rPr>
      <w:sz w:val="24"/>
    </w:rPr>
  </w:style>
  <w:style w:type="paragraph" w:styleId="FootnoteText">
    <w:name w:val="footnote text"/>
    <w:basedOn w:val="Normal"/>
    <w:link w:val="FootnoteTextChar"/>
    <w:uiPriority w:val="99"/>
    <w:rsid w:val="009B78EA"/>
    <w:rPr>
      <w:sz w:val="14"/>
      <w:szCs w:val="14"/>
    </w:rPr>
  </w:style>
  <w:style w:type="character" w:styleId="FootnoteReference">
    <w:name w:val="footnote reference"/>
    <w:uiPriority w:val="99"/>
    <w:semiHidden/>
    <w:rsid w:val="006406E8"/>
    <w:rPr>
      <w:vertAlign w:val="superscript"/>
    </w:rPr>
  </w:style>
  <w:style w:type="paragraph" w:styleId="Header">
    <w:name w:val="header"/>
    <w:basedOn w:val="Normal"/>
    <w:rsid w:val="006406E8"/>
    <w:pPr>
      <w:tabs>
        <w:tab w:val="center" w:pos="4536"/>
        <w:tab w:val="right" w:pos="9072"/>
      </w:tabs>
    </w:pPr>
  </w:style>
  <w:style w:type="paragraph" w:styleId="BalloonText">
    <w:name w:val="Balloon Text"/>
    <w:basedOn w:val="Normal"/>
    <w:semiHidden/>
    <w:rsid w:val="006406E8"/>
    <w:rPr>
      <w:rFonts w:ascii="Tahoma" w:hAnsi="Tahoma" w:cs="Tahoma"/>
      <w:sz w:val="16"/>
      <w:szCs w:val="16"/>
    </w:rPr>
  </w:style>
  <w:style w:type="paragraph" w:styleId="ListParagraph">
    <w:name w:val="List Paragraph"/>
    <w:basedOn w:val="Normal"/>
    <w:uiPriority w:val="34"/>
    <w:qFormat/>
    <w:rsid w:val="00A631C3"/>
    <w:pPr>
      <w:ind w:left="567"/>
    </w:pPr>
  </w:style>
  <w:style w:type="character" w:styleId="Hyperlink">
    <w:name w:val="Hyperlink"/>
    <w:rsid w:val="000266E7"/>
    <w:rPr>
      <w:color w:val="0000FF"/>
      <w:u w:val="single"/>
    </w:rPr>
  </w:style>
  <w:style w:type="character" w:styleId="FollowedHyperlink">
    <w:name w:val="FollowedHyperlink"/>
    <w:rsid w:val="000266E7"/>
    <w:rPr>
      <w:color w:val="800080"/>
      <w:u w:val="single"/>
    </w:rPr>
  </w:style>
  <w:style w:type="character" w:customStyle="1" w:styleId="BodyText2Char">
    <w:name w:val="Body Text 2 Char"/>
    <w:link w:val="BodyText2"/>
    <w:rsid w:val="00667DA3"/>
    <w:rPr>
      <w:sz w:val="24"/>
    </w:rPr>
  </w:style>
  <w:style w:type="character" w:customStyle="1" w:styleId="FootnoteTextChar">
    <w:name w:val="Footnote Text Char"/>
    <w:basedOn w:val="DefaultParagraphFont"/>
    <w:link w:val="FootnoteText"/>
    <w:uiPriority w:val="99"/>
    <w:rsid w:val="009B78EA"/>
    <w:rPr>
      <w:rFonts w:asciiTheme="minorHAnsi" w:hAnsiTheme="minorHAnsi"/>
      <w:sz w:val="14"/>
      <w:szCs w:val="14"/>
    </w:rPr>
  </w:style>
  <w:style w:type="character" w:styleId="CommentReference">
    <w:name w:val="annotation reference"/>
    <w:rsid w:val="003869B3"/>
    <w:rPr>
      <w:sz w:val="16"/>
      <w:szCs w:val="16"/>
    </w:rPr>
  </w:style>
  <w:style w:type="paragraph" w:styleId="CommentText">
    <w:name w:val="annotation text"/>
    <w:basedOn w:val="Normal"/>
    <w:link w:val="CommentTextChar"/>
    <w:rsid w:val="003869B3"/>
  </w:style>
  <w:style w:type="character" w:customStyle="1" w:styleId="CommentTextChar">
    <w:name w:val="Comment Text Char"/>
    <w:basedOn w:val="DefaultParagraphFont"/>
    <w:link w:val="CommentText"/>
    <w:rsid w:val="003869B3"/>
  </w:style>
  <w:style w:type="paragraph" w:styleId="CommentSubject">
    <w:name w:val="annotation subject"/>
    <w:basedOn w:val="CommentText"/>
    <w:next w:val="CommentText"/>
    <w:link w:val="CommentSubjectChar"/>
    <w:rsid w:val="003869B3"/>
    <w:rPr>
      <w:b/>
      <w:bCs/>
    </w:rPr>
  </w:style>
  <w:style w:type="character" w:customStyle="1" w:styleId="CommentSubjectChar">
    <w:name w:val="Comment Subject Char"/>
    <w:link w:val="CommentSubject"/>
    <w:rsid w:val="003869B3"/>
    <w:rPr>
      <w:b/>
      <w:bCs/>
    </w:rPr>
  </w:style>
  <w:style w:type="table" w:styleId="TableGrid">
    <w:name w:val="Table Grid"/>
    <w:basedOn w:val="TableNormal"/>
    <w:rsid w:val="00CD63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14476"/>
  </w:style>
  <w:style w:type="paragraph" w:styleId="EndnoteText">
    <w:name w:val="endnote text"/>
    <w:basedOn w:val="Normal"/>
    <w:link w:val="EndnoteTextChar"/>
    <w:rsid w:val="00914476"/>
  </w:style>
  <w:style w:type="character" w:customStyle="1" w:styleId="EndnoteTextChar">
    <w:name w:val="Endnote Text Char"/>
    <w:basedOn w:val="DefaultParagraphFont"/>
    <w:link w:val="EndnoteText"/>
    <w:rsid w:val="00914476"/>
  </w:style>
  <w:style w:type="character" w:styleId="EndnoteReference">
    <w:name w:val="endnote reference"/>
    <w:rsid w:val="00914476"/>
    <w:rPr>
      <w:vertAlign w:val="superscript"/>
    </w:rPr>
  </w:style>
  <w:style w:type="character" w:customStyle="1" w:styleId="apple-converted-space">
    <w:name w:val="apple-converted-space"/>
    <w:basedOn w:val="DefaultParagraphFont"/>
    <w:rsid w:val="00264F0A"/>
  </w:style>
  <w:style w:type="paragraph" w:customStyle="1" w:styleId="Default">
    <w:name w:val="Default"/>
    <w:rsid w:val="009D2458"/>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4A0720"/>
    <w:pPr>
      <w:widowControl w:val="0"/>
    </w:pPr>
    <w:rPr>
      <w:rFonts w:eastAsiaTheme="minorHAnsi" w:cstheme="minorBidi"/>
      <w:sz w:val="22"/>
      <w:szCs w:val="22"/>
      <w:lang w:eastAsia="en-US"/>
    </w:rPr>
  </w:style>
  <w:style w:type="table" w:styleId="LightShading-Accent1">
    <w:name w:val="Light Shading Accent 1"/>
    <w:basedOn w:val="TableNormal"/>
    <w:uiPriority w:val="60"/>
    <w:rsid w:val="00365AA1"/>
    <w:rPr>
      <w:color w:val="005381" w:themeColor="accent1" w:themeShade="BF"/>
    </w:rPr>
    <w:tblPr>
      <w:tblStyleRowBandSize w:val="1"/>
      <w:tblStyleColBandSize w:val="1"/>
      <w:tblBorders>
        <w:top w:val="single" w:sz="8" w:space="0" w:color="0070AD" w:themeColor="accent1"/>
        <w:bottom w:val="single" w:sz="8" w:space="0" w:color="0070AD" w:themeColor="accent1"/>
      </w:tblBorders>
    </w:tblPr>
    <w:tblStylePr w:type="firstRow">
      <w:pPr>
        <w:spacing w:before="0" w:after="0" w:line="240" w:lineRule="auto"/>
      </w:pPr>
      <w:rPr>
        <w:b/>
        <w:bCs/>
      </w:rPr>
      <w:tblPr/>
      <w:tcPr>
        <w:tcBorders>
          <w:top w:val="single" w:sz="8" w:space="0" w:color="0070AD" w:themeColor="accent1"/>
          <w:left w:val="nil"/>
          <w:bottom w:val="single" w:sz="8" w:space="0" w:color="0070AD" w:themeColor="accent1"/>
          <w:right w:val="nil"/>
          <w:insideH w:val="nil"/>
          <w:insideV w:val="nil"/>
        </w:tcBorders>
      </w:tcPr>
    </w:tblStylePr>
    <w:tblStylePr w:type="lastRow">
      <w:pPr>
        <w:spacing w:before="0" w:after="0" w:line="240" w:lineRule="auto"/>
      </w:pPr>
      <w:rPr>
        <w:b/>
        <w:bCs/>
      </w:rPr>
      <w:tblPr/>
      <w:tcPr>
        <w:tcBorders>
          <w:top w:val="single" w:sz="8" w:space="0" w:color="0070AD" w:themeColor="accent1"/>
          <w:left w:val="nil"/>
          <w:bottom w:val="single" w:sz="8" w:space="0" w:color="0070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1FF" w:themeFill="accent1" w:themeFillTint="3F"/>
      </w:tcPr>
    </w:tblStylePr>
    <w:tblStylePr w:type="band1Horz">
      <w:tblPr/>
      <w:tcPr>
        <w:tcBorders>
          <w:left w:val="nil"/>
          <w:right w:val="nil"/>
          <w:insideH w:val="nil"/>
          <w:insideV w:val="nil"/>
        </w:tcBorders>
        <w:shd w:val="clear" w:color="auto" w:fill="ABE1FF" w:themeFill="accent1" w:themeFillTint="3F"/>
      </w:tcPr>
    </w:tblStylePr>
  </w:style>
  <w:style w:type="paragraph" w:styleId="Revision">
    <w:name w:val="Revision"/>
    <w:hidden/>
    <w:uiPriority w:val="99"/>
    <w:semiHidden/>
    <w:rsid w:val="009614E1"/>
  </w:style>
  <w:style w:type="paragraph" w:customStyle="1" w:styleId="section">
    <w:name w:val="section"/>
    <w:basedOn w:val="Normal"/>
    <w:link w:val="sectionChar"/>
    <w:qFormat/>
    <w:rsid w:val="00CD0E6A"/>
    <w:pPr>
      <w:keepNext/>
      <w:spacing w:before="360" w:after="120" w:line="288" w:lineRule="auto"/>
    </w:pPr>
    <w:rPr>
      <w:rFonts w:ascii="Arial" w:hAnsi="Arial" w:cs="Arial"/>
      <w:b/>
    </w:rPr>
  </w:style>
  <w:style w:type="character" w:customStyle="1" w:styleId="sectionChar">
    <w:name w:val="section Char"/>
    <w:basedOn w:val="DefaultParagraphFont"/>
    <w:link w:val="section"/>
    <w:rsid w:val="00CD0E6A"/>
    <w:rPr>
      <w:rFonts w:ascii="Arial" w:hAnsi="Arial" w:cs="Arial"/>
      <w:b/>
    </w:rPr>
  </w:style>
  <w:style w:type="character" w:customStyle="1" w:styleId="Style">
    <w:name w:val="Style"/>
    <w:basedOn w:val="FootnoteReference"/>
    <w:rsid w:val="009B78EA"/>
    <w:rPr>
      <w:rFonts w:asciiTheme="minorHAnsi" w:hAnsiTheme="minorHAnsi"/>
      <w:b w:val="0"/>
      <w:bCs/>
      <w:sz w:val="18"/>
      <w:vertAlign w:val="superscript"/>
    </w:rPr>
  </w:style>
  <w:style w:type="paragraph" w:customStyle="1" w:styleId="ChapitrePR">
    <w:name w:val="Chapitre PR"/>
    <w:basedOn w:val="Normal"/>
    <w:link w:val="ChapitrePRChar"/>
    <w:qFormat/>
    <w:rsid w:val="00C91770"/>
    <w:pPr>
      <w:keepNext/>
      <w:spacing w:before="120" w:after="120"/>
    </w:pPr>
    <w:rPr>
      <w:rFonts w:ascii="Arial" w:hAnsi="Arial" w:cs="Arial"/>
      <w:b/>
      <w:sz w:val="20"/>
    </w:rPr>
  </w:style>
  <w:style w:type="character" w:customStyle="1" w:styleId="ChapitrePRChar">
    <w:name w:val="Chapitre PR Char"/>
    <w:basedOn w:val="DefaultParagraphFont"/>
    <w:link w:val="ChapitrePR"/>
    <w:rsid w:val="00C91770"/>
    <w:rPr>
      <w:rFonts w:ascii="Arial" w:hAnsi="Arial" w:cs="Arial"/>
      <w:b/>
    </w:rPr>
  </w:style>
  <w:style w:type="character" w:customStyle="1" w:styleId="UnresolvedMention1">
    <w:name w:val="Unresolved Mention1"/>
    <w:basedOn w:val="DefaultParagraphFont"/>
    <w:uiPriority w:val="99"/>
    <w:semiHidden/>
    <w:unhideWhenUsed/>
    <w:rsid w:val="009B4DE9"/>
    <w:rPr>
      <w:color w:val="808080"/>
      <w:shd w:val="clear" w:color="auto" w:fill="E6E6E6"/>
    </w:rPr>
  </w:style>
  <w:style w:type="paragraph" w:customStyle="1" w:styleId="AnnexePR">
    <w:name w:val="Annexe PR"/>
    <w:basedOn w:val="Normal"/>
    <w:link w:val="AnnexePRChar"/>
    <w:qFormat/>
    <w:rsid w:val="003E11DB"/>
    <w:pPr>
      <w:spacing w:before="120" w:after="120"/>
    </w:pPr>
    <w:rPr>
      <w:rFonts w:ascii="Arial" w:hAnsi="Arial" w:cs="Arial"/>
      <w:b/>
    </w:rPr>
  </w:style>
  <w:style w:type="character" w:customStyle="1" w:styleId="AnnexePRChar">
    <w:name w:val="Annexe PR Char"/>
    <w:basedOn w:val="DefaultParagraphFont"/>
    <w:link w:val="AnnexePR"/>
    <w:rsid w:val="003E11DB"/>
    <w:rPr>
      <w:rFonts w:ascii="Arial" w:hAnsi="Arial" w:cs="Arial"/>
      <w:b/>
      <w:sz w:val="18"/>
    </w:rPr>
  </w:style>
  <w:style w:type="character" w:styleId="UnresolvedMention">
    <w:name w:val="Unresolved Mention"/>
    <w:basedOn w:val="DefaultParagraphFont"/>
    <w:uiPriority w:val="99"/>
    <w:semiHidden/>
    <w:unhideWhenUsed/>
    <w:rsid w:val="0076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383">
      <w:bodyDiv w:val="1"/>
      <w:marLeft w:val="0"/>
      <w:marRight w:val="0"/>
      <w:marTop w:val="0"/>
      <w:marBottom w:val="0"/>
      <w:divBdr>
        <w:top w:val="none" w:sz="0" w:space="0" w:color="auto"/>
        <w:left w:val="none" w:sz="0" w:space="0" w:color="auto"/>
        <w:bottom w:val="none" w:sz="0" w:space="0" w:color="auto"/>
        <w:right w:val="none" w:sz="0" w:space="0" w:color="auto"/>
      </w:divBdr>
    </w:div>
    <w:div w:id="116607035">
      <w:bodyDiv w:val="1"/>
      <w:marLeft w:val="0"/>
      <w:marRight w:val="0"/>
      <w:marTop w:val="0"/>
      <w:marBottom w:val="0"/>
      <w:divBdr>
        <w:top w:val="none" w:sz="0" w:space="0" w:color="auto"/>
        <w:left w:val="none" w:sz="0" w:space="0" w:color="auto"/>
        <w:bottom w:val="none" w:sz="0" w:space="0" w:color="auto"/>
        <w:right w:val="none" w:sz="0" w:space="0" w:color="auto"/>
      </w:divBdr>
    </w:div>
    <w:div w:id="127431030">
      <w:bodyDiv w:val="1"/>
      <w:marLeft w:val="0"/>
      <w:marRight w:val="0"/>
      <w:marTop w:val="0"/>
      <w:marBottom w:val="0"/>
      <w:divBdr>
        <w:top w:val="none" w:sz="0" w:space="0" w:color="auto"/>
        <w:left w:val="none" w:sz="0" w:space="0" w:color="auto"/>
        <w:bottom w:val="none" w:sz="0" w:space="0" w:color="auto"/>
        <w:right w:val="none" w:sz="0" w:space="0" w:color="auto"/>
      </w:divBdr>
    </w:div>
    <w:div w:id="145586774">
      <w:bodyDiv w:val="1"/>
      <w:marLeft w:val="0"/>
      <w:marRight w:val="0"/>
      <w:marTop w:val="0"/>
      <w:marBottom w:val="0"/>
      <w:divBdr>
        <w:top w:val="none" w:sz="0" w:space="0" w:color="auto"/>
        <w:left w:val="none" w:sz="0" w:space="0" w:color="auto"/>
        <w:bottom w:val="none" w:sz="0" w:space="0" w:color="auto"/>
        <w:right w:val="none" w:sz="0" w:space="0" w:color="auto"/>
      </w:divBdr>
    </w:div>
    <w:div w:id="225144753">
      <w:bodyDiv w:val="1"/>
      <w:marLeft w:val="0"/>
      <w:marRight w:val="0"/>
      <w:marTop w:val="0"/>
      <w:marBottom w:val="0"/>
      <w:divBdr>
        <w:top w:val="none" w:sz="0" w:space="0" w:color="auto"/>
        <w:left w:val="none" w:sz="0" w:space="0" w:color="auto"/>
        <w:bottom w:val="none" w:sz="0" w:space="0" w:color="auto"/>
        <w:right w:val="none" w:sz="0" w:space="0" w:color="auto"/>
      </w:divBdr>
    </w:div>
    <w:div w:id="239952436">
      <w:bodyDiv w:val="1"/>
      <w:marLeft w:val="0"/>
      <w:marRight w:val="0"/>
      <w:marTop w:val="0"/>
      <w:marBottom w:val="0"/>
      <w:divBdr>
        <w:top w:val="none" w:sz="0" w:space="0" w:color="auto"/>
        <w:left w:val="none" w:sz="0" w:space="0" w:color="auto"/>
        <w:bottom w:val="none" w:sz="0" w:space="0" w:color="auto"/>
        <w:right w:val="none" w:sz="0" w:space="0" w:color="auto"/>
      </w:divBdr>
    </w:div>
    <w:div w:id="291910933">
      <w:bodyDiv w:val="1"/>
      <w:marLeft w:val="0"/>
      <w:marRight w:val="0"/>
      <w:marTop w:val="0"/>
      <w:marBottom w:val="0"/>
      <w:divBdr>
        <w:top w:val="none" w:sz="0" w:space="0" w:color="auto"/>
        <w:left w:val="none" w:sz="0" w:space="0" w:color="auto"/>
        <w:bottom w:val="none" w:sz="0" w:space="0" w:color="auto"/>
        <w:right w:val="none" w:sz="0" w:space="0" w:color="auto"/>
      </w:divBdr>
    </w:div>
    <w:div w:id="443498099">
      <w:bodyDiv w:val="1"/>
      <w:marLeft w:val="0"/>
      <w:marRight w:val="0"/>
      <w:marTop w:val="0"/>
      <w:marBottom w:val="0"/>
      <w:divBdr>
        <w:top w:val="none" w:sz="0" w:space="0" w:color="auto"/>
        <w:left w:val="none" w:sz="0" w:space="0" w:color="auto"/>
        <w:bottom w:val="none" w:sz="0" w:space="0" w:color="auto"/>
        <w:right w:val="none" w:sz="0" w:space="0" w:color="auto"/>
      </w:divBdr>
    </w:div>
    <w:div w:id="560487218">
      <w:bodyDiv w:val="1"/>
      <w:marLeft w:val="0"/>
      <w:marRight w:val="0"/>
      <w:marTop w:val="0"/>
      <w:marBottom w:val="0"/>
      <w:divBdr>
        <w:top w:val="none" w:sz="0" w:space="0" w:color="auto"/>
        <w:left w:val="none" w:sz="0" w:space="0" w:color="auto"/>
        <w:bottom w:val="none" w:sz="0" w:space="0" w:color="auto"/>
        <w:right w:val="none" w:sz="0" w:space="0" w:color="auto"/>
      </w:divBdr>
    </w:div>
    <w:div w:id="666903068">
      <w:bodyDiv w:val="1"/>
      <w:marLeft w:val="0"/>
      <w:marRight w:val="0"/>
      <w:marTop w:val="0"/>
      <w:marBottom w:val="0"/>
      <w:divBdr>
        <w:top w:val="none" w:sz="0" w:space="0" w:color="auto"/>
        <w:left w:val="none" w:sz="0" w:space="0" w:color="auto"/>
        <w:bottom w:val="none" w:sz="0" w:space="0" w:color="auto"/>
        <w:right w:val="none" w:sz="0" w:space="0" w:color="auto"/>
      </w:divBdr>
    </w:div>
    <w:div w:id="677578268">
      <w:bodyDiv w:val="1"/>
      <w:marLeft w:val="0"/>
      <w:marRight w:val="0"/>
      <w:marTop w:val="0"/>
      <w:marBottom w:val="0"/>
      <w:divBdr>
        <w:top w:val="none" w:sz="0" w:space="0" w:color="auto"/>
        <w:left w:val="none" w:sz="0" w:space="0" w:color="auto"/>
        <w:bottom w:val="none" w:sz="0" w:space="0" w:color="auto"/>
        <w:right w:val="none" w:sz="0" w:space="0" w:color="auto"/>
      </w:divBdr>
    </w:div>
    <w:div w:id="725448705">
      <w:bodyDiv w:val="1"/>
      <w:marLeft w:val="0"/>
      <w:marRight w:val="0"/>
      <w:marTop w:val="0"/>
      <w:marBottom w:val="0"/>
      <w:divBdr>
        <w:top w:val="none" w:sz="0" w:space="0" w:color="auto"/>
        <w:left w:val="none" w:sz="0" w:space="0" w:color="auto"/>
        <w:bottom w:val="none" w:sz="0" w:space="0" w:color="auto"/>
        <w:right w:val="none" w:sz="0" w:space="0" w:color="auto"/>
      </w:divBdr>
    </w:div>
    <w:div w:id="757100603">
      <w:bodyDiv w:val="1"/>
      <w:marLeft w:val="0"/>
      <w:marRight w:val="0"/>
      <w:marTop w:val="0"/>
      <w:marBottom w:val="0"/>
      <w:divBdr>
        <w:top w:val="none" w:sz="0" w:space="0" w:color="auto"/>
        <w:left w:val="none" w:sz="0" w:space="0" w:color="auto"/>
        <w:bottom w:val="none" w:sz="0" w:space="0" w:color="auto"/>
        <w:right w:val="none" w:sz="0" w:space="0" w:color="auto"/>
      </w:divBdr>
    </w:div>
    <w:div w:id="808330190">
      <w:bodyDiv w:val="1"/>
      <w:marLeft w:val="0"/>
      <w:marRight w:val="0"/>
      <w:marTop w:val="0"/>
      <w:marBottom w:val="0"/>
      <w:divBdr>
        <w:top w:val="none" w:sz="0" w:space="0" w:color="auto"/>
        <w:left w:val="none" w:sz="0" w:space="0" w:color="auto"/>
        <w:bottom w:val="none" w:sz="0" w:space="0" w:color="auto"/>
        <w:right w:val="none" w:sz="0" w:space="0" w:color="auto"/>
      </w:divBdr>
    </w:div>
    <w:div w:id="927157205">
      <w:bodyDiv w:val="1"/>
      <w:marLeft w:val="0"/>
      <w:marRight w:val="0"/>
      <w:marTop w:val="0"/>
      <w:marBottom w:val="0"/>
      <w:divBdr>
        <w:top w:val="none" w:sz="0" w:space="0" w:color="auto"/>
        <w:left w:val="none" w:sz="0" w:space="0" w:color="auto"/>
        <w:bottom w:val="none" w:sz="0" w:space="0" w:color="auto"/>
        <w:right w:val="none" w:sz="0" w:space="0" w:color="auto"/>
      </w:divBdr>
    </w:div>
    <w:div w:id="970792990">
      <w:bodyDiv w:val="1"/>
      <w:marLeft w:val="0"/>
      <w:marRight w:val="0"/>
      <w:marTop w:val="0"/>
      <w:marBottom w:val="0"/>
      <w:divBdr>
        <w:top w:val="none" w:sz="0" w:space="0" w:color="auto"/>
        <w:left w:val="none" w:sz="0" w:space="0" w:color="auto"/>
        <w:bottom w:val="none" w:sz="0" w:space="0" w:color="auto"/>
        <w:right w:val="none" w:sz="0" w:space="0" w:color="auto"/>
      </w:divBdr>
    </w:div>
    <w:div w:id="972324830">
      <w:bodyDiv w:val="1"/>
      <w:marLeft w:val="0"/>
      <w:marRight w:val="0"/>
      <w:marTop w:val="0"/>
      <w:marBottom w:val="0"/>
      <w:divBdr>
        <w:top w:val="none" w:sz="0" w:space="0" w:color="auto"/>
        <w:left w:val="none" w:sz="0" w:space="0" w:color="auto"/>
        <w:bottom w:val="none" w:sz="0" w:space="0" w:color="auto"/>
        <w:right w:val="none" w:sz="0" w:space="0" w:color="auto"/>
      </w:divBdr>
    </w:div>
    <w:div w:id="986275660">
      <w:bodyDiv w:val="1"/>
      <w:marLeft w:val="0"/>
      <w:marRight w:val="0"/>
      <w:marTop w:val="0"/>
      <w:marBottom w:val="0"/>
      <w:divBdr>
        <w:top w:val="none" w:sz="0" w:space="0" w:color="auto"/>
        <w:left w:val="none" w:sz="0" w:space="0" w:color="auto"/>
        <w:bottom w:val="none" w:sz="0" w:space="0" w:color="auto"/>
        <w:right w:val="none" w:sz="0" w:space="0" w:color="auto"/>
      </w:divBdr>
    </w:div>
    <w:div w:id="1025787417">
      <w:bodyDiv w:val="1"/>
      <w:marLeft w:val="0"/>
      <w:marRight w:val="0"/>
      <w:marTop w:val="0"/>
      <w:marBottom w:val="0"/>
      <w:divBdr>
        <w:top w:val="none" w:sz="0" w:space="0" w:color="auto"/>
        <w:left w:val="none" w:sz="0" w:space="0" w:color="auto"/>
        <w:bottom w:val="none" w:sz="0" w:space="0" w:color="auto"/>
        <w:right w:val="none" w:sz="0" w:space="0" w:color="auto"/>
      </w:divBdr>
    </w:div>
    <w:div w:id="1065445724">
      <w:bodyDiv w:val="1"/>
      <w:marLeft w:val="0"/>
      <w:marRight w:val="0"/>
      <w:marTop w:val="0"/>
      <w:marBottom w:val="0"/>
      <w:divBdr>
        <w:top w:val="none" w:sz="0" w:space="0" w:color="auto"/>
        <w:left w:val="none" w:sz="0" w:space="0" w:color="auto"/>
        <w:bottom w:val="none" w:sz="0" w:space="0" w:color="auto"/>
        <w:right w:val="none" w:sz="0" w:space="0" w:color="auto"/>
      </w:divBdr>
    </w:div>
    <w:div w:id="1175803170">
      <w:bodyDiv w:val="1"/>
      <w:marLeft w:val="0"/>
      <w:marRight w:val="0"/>
      <w:marTop w:val="0"/>
      <w:marBottom w:val="0"/>
      <w:divBdr>
        <w:top w:val="none" w:sz="0" w:space="0" w:color="auto"/>
        <w:left w:val="none" w:sz="0" w:space="0" w:color="auto"/>
        <w:bottom w:val="none" w:sz="0" w:space="0" w:color="auto"/>
        <w:right w:val="none" w:sz="0" w:space="0" w:color="auto"/>
      </w:divBdr>
    </w:div>
    <w:div w:id="1192458702">
      <w:bodyDiv w:val="1"/>
      <w:marLeft w:val="0"/>
      <w:marRight w:val="0"/>
      <w:marTop w:val="0"/>
      <w:marBottom w:val="0"/>
      <w:divBdr>
        <w:top w:val="none" w:sz="0" w:space="0" w:color="auto"/>
        <w:left w:val="none" w:sz="0" w:space="0" w:color="auto"/>
        <w:bottom w:val="none" w:sz="0" w:space="0" w:color="auto"/>
        <w:right w:val="none" w:sz="0" w:space="0" w:color="auto"/>
      </w:divBdr>
    </w:div>
    <w:div w:id="1392120437">
      <w:bodyDiv w:val="1"/>
      <w:marLeft w:val="0"/>
      <w:marRight w:val="0"/>
      <w:marTop w:val="0"/>
      <w:marBottom w:val="0"/>
      <w:divBdr>
        <w:top w:val="none" w:sz="0" w:space="0" w:color="auto"/>
        <w:left w:val="none" w:sz="0" w:space="0" w:color="auto"/>
        <w:bottom w:val="none" w:sz="0" w:space="0" w:color="auto"/>
        <w:right w:val="none" w:sz="0" w:space="0" w:color="auto"/>
      </w:divBdr>
    </w:div>
    <w:div w:id="1725987332">
      <w:bodyDiv w:val="1"/>
      <w:marLeft w:val="0"/>
      <w:marRight w:val="0"/>
      <w:marTop w:val="0"/>
      <w:marBottom w:val="0"/>
      <w:divBdr>
        <w:top w:val="none" w:sz="0" w:space="0" w:color="auto"/>
        <w:left w:val="none" w:sz="0" w:space="0" w:color="auto"/>
        <w:bottom w:val="none" w:sz="0" w:space="0" w:color="auto"/>
        <w:right w:val="none" w:sz="0" w:space="0" w:color="auto"/>
      </w:divBdr>
    </w:div>
    <w:div w:id="1755012846">
      <w:bodyDiv w:val="1"/>
      <w:marLeft w:val="0"/>
      <w:marRight w:val="0"/>
      <w:marTop w:val="0"/>
      <w:marBottom w:val="0"/>
      <w:divBdr>
        <w:top w:val="none" w:sz="0" w:space="0" w:color="auto"/>
        <w:left w:val="none" w:sz="0" w:space="0" w:color="auto"/>
        <w:bottom w:val="none" w:sz="0" w:space="0" w:color="auto"/>
        <w:right w:val="none" w:sz="0" w:space="0" w:color="auto"/>
      </w:divBdr>
    </w:div>
    <w:div w:id="1768236276">
      <w:bodyDiv w:val="1"/>
      <w:marLeft w:val="0"/>
      <w:marRight w:val="0"/>
      <w:marTop w:val="0"/>
      <w:marBottom w:val="0"/>
      <w:divBdr>
        <w:top w:val="none" w:sz="0" w:space="0" w:color="auto"/>
        <w:left w:val="none" w:sz="0" w:space="0" w:color="auto"/>
        <w:bottom w:val="none" w:sz="0" w:space="0" w:color="auto"/>
        <w:right w:val="none" w:sz="0" w:space="0" w:color="auto"/>
      </w:divBdr>
    </w:div>
    <w:div w:id="1773743039">
      <w:bodyDiv w:val="1"/>
      <w:marLeft w:val="0"/>
      <w:marRight w:val="0"/>
      <w:marTop w:val="0"/>
      <w:marBottom w:val="0"/>
      <w:divBdr>
        <w:top w:val="none" w:sz="0" w:space="0" w:color="auto"/>
        <w:left w:val="none" w:sz="0" w:space="0" w:color="auto"/>
        <w:bottom w:val="none" w:sz="0" w:space="0" w:color="auto"/>
        <w:right w:val="none" w:sz="0" w:space="0" w:color="auto"/>
      </w:divBdr>
    </w:div>
    <w:div w:id="1796213095">
      <w:bodyDiv w:val="1"/>
      <w:marLeft w:val="0"/>
      <w:marRight w:val="0"/>
      <w:marTop w:val="0"/>
      <w:marBottom w:val="0"/>
      <w:divBdr>
        <w:top w:val="none" w:sz="0" w:space="0" w:color="auto"/>
        <w:left w:val="none" w:sz="0" w:space="0" w:color="auto"/>
        <w:bottom w:val="none" w:sz="0" w:space="0" w:color="auto"/>
        <w:right w:val="none" w:sz="0" w:space="0" w:color="auto"/>
      </w:divBdr>
    </w:div>
    <w:div w:id="1855073647">
      <w:bodyDiv w:val="1"/>
      <w:marLeft w:val="0"/>
      <w:marRight w:val="0"/>
      <w:marTop w:val="0"/>
      <w:marBottom w:val="0"/>
      <w:divBdr>
        <w:top w:val="none" w:sz="0" w:space="0" w:color="auto"/>
        <w:left w:val="none" w:sz="0" w:space="0" w:color="auto"/>
        <w:bottom w:val="none" w:sz="0" w:space="0" w:color="auto"/>
        <w:right w:val="none" w:sz="0" w:space="0" w:color="auto"/>
      </w:divBdr>
    </w:div>
    <w:div w:id="20404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pgemini.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investors.capgemini.com/resul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ge.media-server.com/m6/p/8xyupm2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pgemini.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apgemini 2017_Cover slides">
  <a:themeElements>
    <a:clrScheme name="Custom 1">
      <a:dk1>
        <a:srgbClr val="000000"/>
      </a:dk1>
      <a:lt1>
        <a:sysClr val="window" lastClr="FFFFFF"/>
      </a:lt1>
      <a:dk2>
        <a:srgbClr val="12ABDB"/>
      </a:dk2>
      <a:lt2>
        <a:srgbClr val="EDEDED"/>
      </a:lt2>
      <a:accent1>
        <a:srgbClr val="0070AD"/>
      </a:accent1>
      <a:accent2>
        <a:srgbClr val="12ABDB"/>
      </a:accent2>
      <a:accent3>
        <a:srgbClr val="2B0A3D"/>
      </a:accent3>
      <a:accent4>
        <a:srgbClr val="FF304C"/>
      </a:accent4>
      <a:accent5>
        <a:srgbClr val="95E616"/>
      </a:accent5>
      <a:accent6>
        <a:srgbClr val="C2CF00"/>
      </a:accent6>
      <a:hlink>
        <a:srgbClr val="005481"/>
      </a:hlink>
      <a:folHlink>
        <a:srgbClr val="861763"/>
      </a:folHlink>
    </a:clrScheme>
    <a:fontScheme name="Capgemini">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ésentation1" id="{F4EDDD86-B8A8-46E1-81BA-C40220CF151C}" vid="{D76BB8BF-901C-4709-A70B-B9D859909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9A98FA4374042BE717D8826DCA6D8" ma:contentTypeVersion="0" ma:contentTypeDescription="Create a new document." ma:contentTypeScope="" ma:versionID="5772b44c21148d054db6019d1d2796b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38B34-2B0C-459D-A54D-3A42D5BB5A27}">
  <ds:schemaRefs>
    <ds:schemaRef ds:uri="http://schemas.microsoft.com/sharepoint/v3/contenttype/forms"/>
  </ds:schemaRefs>
</ds:datastoreItem>
</file>

<file path=customXml/itemProps2.xml><?xml version="1.0" encoding="utf-8"?>
<ds:datastoreItem xmlns:ds="http://schemas.openxmlformats.org/officeDocument/2006/customXml" ds:itemID="{F5D5B595-998E-4568-8CB1-1731CF446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A5087C-2D39-4C65-8E5F-97414933F4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E91876-88F9-42C6-9C2D-9E1A2FDF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4176</Words>
  <Characters>22139</Characters>
  <Application>Microsoft Office Word</Application>
  <DocSecurity>0</DocSecurity>
  <Lines>184</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Financial Communication</vt:lpstr>
      <vt:lpstr>Financial Communication</vt:lpstr>
    </vt:vector>
  </TitlesOfParts>
  <Company>CAPGEMINI</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Communication</dc:title>
  <dc:creator>CAPGEMINI</dc:creator>
  <cp:lastModifiedBy>Resare, Gunilla</cp:lastModifiedBy>
  <cp:revision>2</cp:revision>
  <cp:lastPrinted>2019-01-24T14:20:00Z</cp:lastPrinted>
  <dcterms:created xsi:type="dcterms:W3CDTF">2019-02-14T13:56:00Z</dcterms:created>
  <dcterms:modified xsi:type="dcterms:W3CDTF">2019-02-14T13:56:00Z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0x0101008489A98FA4374042BE717D8826DCA6D8</vt:lpwstr>
  </property>
</Properties>
</file>