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8E" w:rsidRPr="00EB2948" w:rsidRDefault="0078768E" w:rsidP="0078768E">
      <w:pPr>
        <w:pStyle w:val="Ingetavstnd"/>
        <w:ind w:left="5216"/>
        <w:jc w:val="right"/>
        <w:rPr>
          <w:rFonts w:ascii="Arial" w:hAnsi="Arial" w:cs="Arial"/>
        </w:rPr>
      </w:pPr>
      <w:bookmarkStart w:id="0" w:name="_GoBack"/>
      <w:bookmarkEnd w:id="0"/>
      <w:r>
        <w:rPr>
          <w:rFonts w:ascii="Arial" w:hAnsi="Arial" w:cs="Arial"/>
          <w:noProof/>
          <w:lang w:eastAsia="sv-SE"/>
        </w:rPr>
        <w:drawing>
          <wp:inline distT="0" distB="0" distL="0" distR="0">
            <wp:extent cx="1630000" cy="720000"/>
            <wp:effectExtent l="19050" t="0" r="8300" b="0"/>
            <wp:docPr id="1" name="Bildobjekt 0" descr="Bjurfors_ståend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stående_CMYK.eps"/>
                    <pic:cNvPicPr/>
                  </pic:nvPicPr>
                  <pic:blipFill>
                    <a:blip r:embed="rId6" cstate="print"/>
                    <a:srcRect t="6329" r="7230" b="13924"/>
                    <a:stretch>
                      <a:fillRect/>
                    </a:stretch>
                  </pic:blipFill>
                  <pic:spPr>
                    <a:xfrm>
                      <a:off x="0" y="0"/>
                      <a:ext cx="1630000" cy="720000"/>
                    </a:xfrm>
                    <a:prstGeom prst="rect">
                      <a:avLst/>
                    </a:prstGeom>
                  </pic:spPr>
                </pic:pic>
              </a:graphicData>
            </a:graphic>
          </wp:inline>
        </w:drawing>
      </w:r>
    </w:p>
    <w:p w:rsidR="0078768E" w:rsidRDefault="0078768E" w:rsidP="006A6EBB">
      <w:pPr>
        <w:pStyle w:val="Ingetavstnd"/>
        <w:rPr>
          <w:rFonts w:ascii="Arial" w:hAnsi="Arial" w:cs="Arial"/>
          <w:b/>
        </w:rPr>
      </w:pPr>
    </w:p>
    <w:p w:rsidR="0078768E" w:rsidRDefault="0078768E" w:rsidP="006A6EBB">
      <w:pPr>
        <w:pStyle w:val="Ingetavstnd"/>
        <w:rPr>
          <w:rFonts w:ascii="Arial" w:hAnsi="Arial" w:cs="Arial"/>
          <w:b/>
        </w:rPr>
      </w:pPr>
    </w:p>
    <w:p w:rsidR="002845AA" w:rsidRPr="00EB2948" w:rsidRDefault="00EE7DDE" w:rsidP="006A6EBB">
      <w:pPr>
        <w:pStyle w:val="Ingetavstnd"/>
        <w:rPr>
          <w:rFonts w:ascii="Arial" w:hAnsi="Arial" w:cs="Arial"/>
          <w:b/>
        </w:rPr>
      </w:pPr>
      <w:r>
        <w:rPr>
          <w:rFonts w:ascii="Arial" w:hAnsi="Arial" w:cs="Arial"/>
          <w:b/>
        </w:rPr>
        <w:t>Pressmeddelande</w:t>
      </w:r>
      <w:r>
        <w:rPr>
          <w:rFonts w:ascii="Arial" w:hAnsi="Arial" w:cs="Arial"/>
          <w:b/>
        </w:rPr>
        <w:tab/>
      </w:r>
      <w:r>
        <w:rPr>
          <w:rFonts w:ascii="Arial" w:hAnsi="Arial" w:cs="Arial"/>
          <w:b/>
        </w:rPr>
        <w:tab/>
      </w:r>
      <w:r>
        <w:rPr>
          <w:rFonts w:ascii="Arial" w:hAnsi="Arial" w:cs="Arial"/>
          <w:b/>
        </w:rPr>
        <w:tab/>
        <w:t xml:space="preserve">                 </w:t>
      </w:r>
      <w:r w:rsidR="004A37D3">
        <w:rPr>
          <w:rFonts w:ascii="Arial" w:hAnsi="Arial" w:cs="Arial"/>
          <w:sz w:val="20"/>
        </w:rPr>
        <w:t xml:space="preserve">Stockholm </w:t>
      </w:r>
      <w:r>
        <w:rPr>
          <w:rFonts w:ascii="Arial" w:hAnsi="Arial" w:cs="Arial"/>
          <w:sz w:val="20"/>
        </w:rPr>
        <w:t>10</w:t>
      </w:r>
      <w:r w:rsidR="00EE3DF0">
        <w:rPr>
          <w:rFonts w:ascii="Arial" w:hAnsi="Arial" w:cs="Arial"/>
          <w:sz w:val="20"/>
        </w:rPr>
        <w:t xml:space="preserve"> </w:t>
      </w:r>
      <w:r>
        <w:rPr>
          <w:rFonts w:ascii="Arial" w:hAnsi="Arial" w:cs="Arial"/>
          <w:sz w:val="20"/>
        </w:rPr>
        <w:t>september</w:t>
      </w:r>
      <w:r w:rsidR="004A37D3">
        <w:rPr>
          <w:rFonts w:ascii="Arial" w:hAnsi="Arial" w:cs="Arial"/>
          <w:sz w:val="20"/>
        </w:rPr>
        <w:t xml:space="preserve"> </w:t>
      </w:r>
      <w:r w:rsidR="0009475E">
        <w:rPr>
          <w:rFonts w:ascii="Arial" w:hAnsi="Arial" w:cs="Arial"/>
          <w:sz w:val="20"/>
        </w:rPr>
        <w:t>2014</w:t>
      </w:r>
    </w:p>
    <w:p w:rsidR="002845AA" w:rsidRDefault="002845AA" w:rsidP="006A6EBB">
      <w:pPr>
        <w:pStyle w:val="Ingetavstnd"/>
        <w:rPr>
          <w:rFonts w:ascii="Arial" w:hAnsi="Arial" w:cs="Arial"/>
          <w:b/>
        </w:rPr>
      </w:pPr>
    </w:p>
    <w:p w:rsidR="0009174F" w:rsidRPr="00EB2948" w:rsidRDefault="0009174F" w:rsidP="006A6EBB">
      <w:pPr>
        <w:pStyle w:val="Ingetavstnd"/>
        <w:rPr>
          <w:rFonts w:ascii="Arial" w:hAnsi="Arial" w:cs="Arial"/>
          <w:b/>
        </w:rPr>
      </w:pPr>
    </w:p>
    <w:p w:rsidR="00EE7DDE" w:rsidRPr="00EE7DDE" w:rsidRDefault="00EE7DDE" w:rsidP="00EE7DDE">
      <w:pPr>
        <w:rPr>
          <w:rFonts w:ascii="Arial" w:hAnsi="Arial" w:cs="Arial"/>
        </w:rPr>
      </w:pPr>
      <w:r w:rsidRPr="00EE7DDE">
        <w:rPr>
          <w:rFonts w:ascii="Arial" w:hAnsi="Arial" w:cs="Arial"/>
          <w:b/>
          <w:bCs/>
          <w:sz w:val="40"/>
          <w:szCs w:val="40"/>
        </w:rPr>
        <w:t xml:space="preserve">Så påverkas bostadspriserna av valet </w:t>
      </w:r>
    </w:p>
    <w:p w:rsidR="0009475E" w:rsidRPr="0009475E" w:rsidRDefault="0009475E" w:rsidP="0009475E">
      <w:pPr>
        <w:pStyle w:val="Ingetavstnd"/>
        <w:rPr>
          <w:rFonts w:ascii="Arial" w:hAnsi="Arial" w:cs="Arial"/>
          <w:b/>
          <w:sz w:val="28"/>
        </w:rPr>
      </w:pPr>
    </w:p>
    <w:p w:rsidR="00EE7DDE" w:rsidRPr="00EE7DDE" w:rsidRDefault="00EE7DDE" w:rsidP="00EE7DDE">
      <w:pPr>
        <w:rPr>
          <w:rFonts w:ascii="Arial" w:hAnsi="Arial" w:cs="Arial"/>
          <w:sz w:val="22"/>
        </w:rPr>
      </w:pPr>
      <w:r w:rsidRPr="00EE7DDE">
        <w:rPr>
          <w:rFonts w:ascii="Arial" w:hAnsi="Arial" w:cs="Arial"/>
          <w:b/>
          <w:bCs/>
          <w:sz w:val="22"/>
        </w:rPr>
        <w:t xml:space="preserve">Bostadspriserna kommer att gå ned om de rödgröna bildar regering efter valet. Om Alliansen sitter kvar kommer priserna att fortsätta uppåt. Det visar Bjurfors Bostadsbarometer som baseras på svar från 3041 invånare i Stockholm, Göteborg och Malmö. </w:t>
      </w:r>
    </w:p>
    <w:p w:rsidR="0009475E" w:rsidRPr="0009475E" w:rsidRDefault="0009475E" w:rsidP="0009475E">
      <w:pPr>
        <w:pStyle w:val="Ingetavstnd"/>
        <w:rPr>
          <w:rFonts w:ascii="Arial" w:hAnsi="Arial" w:cs="Arial"/>
          <w:b/>
          <w:sz w:val="20"/>
        </w:rPr>
      </w:pPr>
    </w:p>
    <w:p w:rsidR="00EE7DDE" w:rsidRPr="00EE7DDE" w:rsidRDefault="00EE7DDE" w:rsidP="00EE7DDE">
      <w:pPr>
        <w:pStyle w:val="Liststycke"/>
        <w:numPr>
          <w:ilvl w:val="0"/>
          <w:numId w:val="1"/>
        </w:numPr>
        <w:rPr>
          <w:rFonts w:ascii="Arial" w:hAnsi="Arial" w:cs="Arial"/>
          <w:sz w:val="20"/>
          <w:szCs w:val="20"/>
        </w:rPr>
      </w:pPr>
      <w:r w:rsidRPr="00EE7DDE">
        <w:rPr>
          <w:rFonts w:ascii="Arial" w:hAnsi="Arial" w:cs="Arial"/>
          <w:sz w:val="20"/>
          <w:szCs w:val="20"/>
        </w:rPr>
        <w:t>Valet kan få konsekvenser på bostadsmarknaden, som till stor del styrs av de disponibla inkomsterna, ränteläget och utbudet av bostäder. Förändras förutsättningarna för någon eller några av dessa faktorer påverkas också bostadsmarknaden, kommenterar Mats Ljung, styrelseordförande på Bjurfors Sverige AB.</w:t>
      </w:r>
    </w:p>
    <w:p w:rsidR="00EE7DDE" w:rsidRPr="00EE7DDE" w:rsidRDefault="00EE7DDE" w:rsidP="00EE7DDE">
      <w:pPr>
        <w:rPr>
          <w:rFonts w:ascii="Arial" w:hAnsi="Arial" w:cs="Arial"/>
          <w:sz w:val="20"/>
          <w:szCs w:val="20"/>
        </w:rPr>
      </w:pPr>
      <w:r w:rsidRPr="00EE7DDE">
        <w:rPr>
          <w:rFonts w:ascii="Arial" w:hAnsi="Arial" w:cs="Arial"/>
          <w:sz w:val="20"/>
          <w:szCs w:val="20"/>
        </w:rPr>
        <w:t> </w:t>
      </w:r>
    </w:p>
    <w:p w:rsidR="00EE7DDE" w:rsidRPr="00EE7DDE" w:rsidRDefault="00EE7DDE" w:rsidP="00EE7DDE">
      <w:pPr>
        <w:rPr>
          <w:rFonts w:ascii="Arial" w:hAnsi="Arial" w:cs="Arial"/>
          <w:sz w:val="20"/>
          <w:szCs w:val="20"/>
        </w:rPr>
      </w:pPr>
      <w:r w:rsidRPr="00EE7DDE">
        <w:rPr>
          <w:rFonts w:ascii="Arial" w:hAnsi="Arial" w:cs="Arial"/>
          <w:sz w:val="20"/>
          <w:szCs w:val="20"/>
        </w:rPr>
        <w:t xml:space="preserve">Undersökningen visar att nästan varannan storstadsbo, 45 procent, tror att valet påverkar bostadspriserna. Av de som tror att valet påverkar priserna tror mer än varannan, 55 procent, att en alliansregering kommer att leda till högre bostadspriser. Bara 4 procent tror att priserna kommer att gå ned om Alliansen får sitta kvar. Om valresultatet däremot slutar med att det blir en S-regering tror 34 procent på sjunkande priser. </w:t>
      </w:r>
    </w:p>
    <w:p w:rsidR="00EE7DDE" w:rsidRPr="00EE7DDE" w:rsidRDefault="00EE7DDE" w:rsidP="00EE7DDE">
      <w:pPr>
        <w:ind w:left="720"/>
        <w:contextualSpacing/>
        <w:rPr>
          <w:rFonts w:ascii="Arial" w:hAnsi="Arial" w:cs="Arial"/>
          <w:sz w:val="20"/>
          <w:szCs w:val="20"/>
        </w:rPr>
      </w:pPr>
      <w:r w:rsidRPr="00EE7DDE">
        <w:rPr>
          <w:rFonts w:ascii="Arial" w:hAnsi="Arial" w:cs="Arial"/>
          <w:sz w:val="20"/>
          <w:szCs w:val="20"/>
        </w:rPr>
        <w:t> </w:t>
      </w:r>
    </w:p>
    <w:p w:rsidR="00EE7DDE" w:rsidRPr="00EE7DDE" w:rsidRDefault="00EE7DDE" w:rsidP="00EE7DDE">
      <w:pPr>
        <w:pStyle w:val="Liststycke"/>
        <w:numPr>
          <w:ilvl w:val="0"/>
          <w:numId w:val="1"/>
        </w:numPr>
        <w:rPr>
          <w:rFonts w:ascii="Arial" w:hAnsi="Arial" w:cs="Arial"/>
          <w:sz w:val="20"/>
          <w:szCs w:val="20"/>
        </w:rPr>
      </w:pPr>
      <w:r w:rsidRPr="00EE7DDE">
        <w:rPr>
          <w:rFonts w:ascii="Arial" w:hAnsi="Arial" w:cs="Arial"/>
          <w:sz w:val="20"/>
          <w:szCs w:val="20"/>
        </w:rPr>
        <w:t>Många tror att priserna kommer att gå ned om de rödgröna bildar regering efter valet. Det kan förklaras av att de känner osäkerhet kring vad ett regeringsskifte innebär för bostadsmarknaden. De rödgröna partierna har framfört förslag som påverkar bostadspriser nedåt, exempelvis ökade skatter för de med höga inkomster, ökad beskattning av banksektorn och en ny fastighetsskatt som framförallt Vänsterpartiet kräver, kommenterar Mats Ljung, styrelseordförande på Bjurfors Sverige AB.</w:t>
      </w:r>
    </w:p>
    <w:p w:rsidR="00EE7DDE" w:rsidRPr="00EE7DDE" w:rsidRDefault="00EE7DDE" w:rsidP="00EE7DDE">
      <w:pPr>
        <w:ind w:left="360"/>
        <w:contextualSpacing/>
        <w:rPr>
          <w:rFonts w:ascii="Arial" w:hAnsi="Arial" w:cs="Arial"/>
          <w:sz w:val="20"/>
          <w:szCs w:val="20"/>
        </w:rPr>
      </w:pPr>
      <w:r w:rsidRPr="00EE7DDE">
        <w:rPr>
          <w:rFonts w:ascii="Arial" w:hAnsi="Arial" w:cs="Arial"/>
          <w:sz w:val="20"/>
          <w:szCs w:val="20"/>
        </w:rPr>
        <w:t> </w:t>
      </w:r>
    </w:p>
    <w:p w:rsidR="00EE7DDE" w:rsidRPr="00EE7DDE" w:rsidRDefault="00EE7DDE" w:rsidP="00EE7DDE">
      <w:pPr>
        <w:rPr>
          <w:rFonts w:ascii="Arial" w:hAnsi="Arial" w:cs="Arial"/>
          <w:sz w:val="20"/>
          <w:szCs w:val="20"/>
        </w:rPr>
      </w:pPr>
      <w:r w:rsidRPr="00EE7DDE">
        <w:rPr>
          <w:rFonts w:ascii="Arial" w:hAnsi="Arial" w:cs="Arial"/>
          <w:sz w:val="20"/>
          <w:szCs w:val="20"/>
        </w:rPr>
        <w:t>Skulle Socialdemokraterna bilda regering med Miljöpartiet är det ännu fler som tror att priserna kommer att sjunka, 39 procent. Om Vänsterpartiet hamnar i en regering tillsammans med Socialdemokraterna tror hela 47 procent att priserna dyker. Vid en blocköverskridande regering tror en majoritet, 58 procent, att priserna kommer att vara oförändrade. 29 procent tror på ökade priser.</w:t>
      </w:r>
    </w:p>
    <w:p w:rsidR="00EE7DDE" w:rsidRDefault="00EE7DDE" w:rsidP="00EE7DDE">
      <w:pPr>
        <w:ind w:left="360"/>
        <w:rPr>
          <w:rFonts w:ascii="Arial" w:hAnsi="Arial" w:cs="Arial"/>
          <w:sz w:val="20"/>
          <w:szCs w:val="20"/>
        </w:rPr>
      </w:pPr>
    </w:p>
    <w:p w:rsidR="00EE7DDE" w:rsidRPr="00EE7DDE" w:rsidRDefault="00EE7DDE" w:rsidP="00EE7DDE">
      <w:pPr>
        <w:ind w:left="360"/>
        <w:rPr>
          <w:rFonts w:ascii="Arial" w:hAnsi="Arial" w:cs="Arial"/>
          <w:sz w:val="20"/>
          <w:szCs w:val="20"/>
        </w:rPr>
      </w:pPr>
      <w:r w:rsidRPr="00EE7DDE">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256"/>
        <w:gridCol w:w="1842"/>
        <w:gridCol w:w="1843"/>
        <w:gridCol w:w="1843"/>
      </w:tblGrid>
      <w:tr w:rsidR="00EE7DDE" w:rsidRPr="00EE7DDE" w:rsidTr="00EE7DDE">
        <w:tc>
          <w:tcPr>
            <w:tcW w:w="8784" w:type="dxa"/>
            <w:gridSpan w:val="4"/>
            <w:tcBorders>
              <w:top w:val="nil"/>
              <w:left w:val="nil"/>
              <w:bottom w:val="single" w:sz="8" w:space="0" w:color="7F7F7F"/>
              <w:right w:val="nil"/>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xml:space="preserve">Så TROR </w:t>
            </w:r>
            <w:r w:rsidRPr="00EE7DDE">
              <w:rPr>
                <w:rFonts w:ascii="Arial" w:hAnsi="Arial" w:cs="Arial"/>
                <w:b/>
                <w:bCs/>
                <w:caps/>
                <w:color w:val="FF0000"/>
                <w:sz w:val="20"/>
                <w:szCs w:val="20"/>
              </w:rPr>
              <w:t>storstadsborna</w:t>
            </w:r>
            <w:r w:rsidRPr="00EE7DDE">
              <w:rPr>
                <w:rFonts w:ascii="Arial" w:hAnsi="Arial" w:cs="Arial"/>
                <w:b/>
                <w:bCs/>
                <w:caps/>
                <w:sz w:val="20"/>
                <w:szCs w:val="20"/>
              </w:rPr>
              <w:t xml:space="preserve"> ATT OLIKA REGERINGSALTERNATIV PÅVERKAR bostadspriserna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Upp</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Lika</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Ned</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Alliansregering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55 %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41 %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S-regering</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30 %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36 %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34 %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29 %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32 %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39 %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S+Mp+V</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27 %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26 %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proofErr w:type="gramStart"/>
            <w:r w:rsidRPr="00EE7DDE">
              <w:rPr>
                <w:rFonts w:ascii="Arial" w:hAnsi="Arial" w:cs="Arial"/>
                <w:sz w:val="20"/>
                <w:szCs w:val="20"/>
              </w:rPr>
              <w:t>47%</w:t>
            </w:r>
            <w:proofErr w:type="gramEnd"/>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Blocköverskridande 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29 %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58 %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13 %</w:t>
            </w:r>
          </w:p>
        </w:tc>
      </w:tr>
    </w:tbl>
    <w:p w:rsidR="00EE7DDE" w:rsidRPr="00EE7DDE" w:rsidRDefault="00EE7DDE" w:rsidP="00EE7DDE">
      <w:pPr>
        <w:rPr>
          <w:rFonts w:ascii="Arial" w:eastAsiaTheme="minorHAnsi" w:hAnsi="Arial" w:cs="Arial"/>
          <w:sz w:val="20"/>
          <w:szCs w:val="20"/>
          <w:lang w:eastAsia="en-US"/>
        </w:rPr>
      </w:pPr>
      <w:r w:rsidRPr="00EE7DDE">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256"/>
        <w:gridCol w:w="1842"/>
        <w:gridCol w:w="1843"/>
        <w:gridCol w:w="1843"/>
      </w:tblGrid>
      <w:tr w:rsidR="00EE7DDE" w:rsidRPr="00EE7DDE" w:rsidTr="00EE7DDE">
        <w:tc>
          <w:tcPr>
            <w:tcW w:w="8784" w:type="dxa"/>
            <w:gridSpan w:val="4"/>
            <w:tcBorders>
              <w:top w:val="nil"/>
              <w:left w:val="nil"/>
              <w:bottom w:val="single" w:sz="8" w:space="0" w:color="7F7F7F"/>
              <w:right w:val="nil"/>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xml:space="preserve">Så TROR </w:t>
            </w:r>
            <w:r w:rsidRPr="00EE7DDE">
              <w:rPr>
                <w:rFonts w:ascii="Arial" w:hAnsi="Arial" w:cs="Arial"/>
                <w:b/>
                <w:bCs/>
                <w:caps/>
                <w:color w:val="FF0000"/>
                <w:sz w:val="20"/>
                <w:szCs w:val="20"/>
              </w:rPr>
              <w:t>GÖTEBORGARNA</w:t>
            </w:r>
            <w:r w:rsidRPr="00EE7DDE">
              <w:rPr>
                <w:rFonts w:ascii="Arial" w:hAnsi="Arial" w:cs="Arial"/>
                <w:b/>
                <w:bCs/>
                <w:caps/>
                <w:sz w:val="20"/>
                <w:szCs w:val="20"/>
              </w:rPr>
              <w:t xml:space="preserve"> ATT OLIKA REGERINGSALTERNATIV PÅVERKAR bostadspriserna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Upp</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Lika</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Ned</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Alliansregering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55 %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41 %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S-regering</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33 %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35 %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32 %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34 %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31 %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36 %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S+Mp+V</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32 %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25 %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43 %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lastRenderedPageBreak/>
              <w:t>Blocköverskridande 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31 %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57 %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12 %</w:t>
            </w:r>
          </w:p>
        </w:tc>
      </w:tr>
    </w:tbl>
    <w:p w:rsidR="00EE7DDE" w:rsidRPr="00EE7DDE" w:rsidRDefault="00EE7DDE" w:rsidP="00EE7DDE">
      <w:pPr>
        <w:rPr>
          <w:rFonts w:ascii="Arial" w:eastAsiaTheme="minorHAnsi" w:hAnsi="Arial" w:cs="Arial"/>
          <w:sz w:val="20"/>
          <w:szCs w:val="20"/>
          <w:lang w:eastAsia="en-US"/>
        </w:rPr>
      </w:pPr>
      <w:r w:rsidRPr="00EE7DDE">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256"/>
        <w:gridCol w:w="1842"/>
        <w:gridCol w:w="1843"/>
        <w:gridCol w:w="1843"/>
      </w:tblGrid>
      <w:tr w:rsidR="00EE7DDE" w:rsidRPr="00EE7DDE" w:rsidTr="00EE7DDE">
        <w:tc>
          <w:tcPr>
            <w:tcW w:w="8784" w:type="dxa"/>
            <w:gridSpan w:val="4"/>
            <w:tcBorders>
              <w:top w:val="nil"/>
              <w:left w:val="nil"/>
              <w:bottom w:val="single" w:sz="8" w:space="0" w:color="7F7F7F"/>
              <w:right w:val="nil"/>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xml:space="preserve">Så TROR </w:t>
            </w:r>
            <w:r w:rsidRPr="00EE7DDE">
              <w:rPr>
                <w:rFonts w:ascii="Arial" w:hAnsi="Arial" w:cs="Arial"/>
                <w:b/>
                <w:bCs/>
                <w:caps/>
                <w:color w:val="FF0000"/>
                <w:sz w:val="20"/>
                <w:szCs w:val="20"/>
              </w:rPr>
              <w:t>MALMÖBORNA</w:t>
            </w:r>
            <w:r w:rsidRPr="00EE7DDE">
              <w:rPr>
                <w:rFonts w:ascii="Arial" w:hAnsi="Arial" w:cs="Arial"/>
                <w:b/>
                <w:bCs/>
                <w:caps/>
                <w:sz w:val="20"/>
                <w:szCs w:val="20"/>
              </w:rPr>
              <w:t xml:space="preserve"> ATT OLIKA REGERINGSALTERNATIV PÅVERKAR bostadspriserna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Upp</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Lika</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Ned</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Alliansregering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52 %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44 %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S-regering</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23 %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32 %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45 %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24 %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28 %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48 %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S+Mp+V</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22 %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18 %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60 %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Blocköverskridande 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29 %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56 %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15 %</w:t>
            </w:r>
          </w:p>
        </w:tc>
      </w:tr>
    </w:tbl>
    <w:p w:rsidR="00EE7DDE" w:rsidRPr="00EE7DDE" w:rsidRDefault="00EE7DDE" w:rsidP="00EE7DDE">
      <w:pPr>
        <w:rPr>
          <w:rFonts w:ascii="Arial" w:eastAsiaTheme="minorHAnsi" w:hAnsi="Arial" w:cs="Arial"/>
          <w:sz w:val="20"/>
          <w:szCs w:val="20"/>
          <w:lang w:eastAsia="en-US"/>
        </w:rPr>
      </w:pPr>
      <w:r w:rsidRPr="00EE7DDE">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256"/>
        <w:gridCol w:w="1842"/>
        <w:gridCol w:w="1843"/>
        <w:gridCol w:w="1843"/>
      </w:tblGrid>
      <w:tr w:rsidR="00EE7DDE" w:rsidRPr="00EE7DDE" w:rsidTr="00EE7DDE">
        <w:tc>
          <w:tcPr>
            <w:tcW w:w="8784" w:type="dxa"/>
            <w:gridSpan w:val="4"/>
            <w:tcBorders>
              <w:top w:val="nil"/>
              <w:left w:val="nil"/>
              <w:bottom w:val="single" w:sz="8" w:space="0" w:color="7F7F7F"/>
              <w:right w:val="nil"/>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xml:space="preserve">Så TROR </w:t>
            </w:r>
            <w:r w:rsidRPr="00EE7DDE">
              <w:rPr>
                <w:rFonts w:ascii="Arial" w:hAnsi="Arial" w:cs="Arial"/>
                <w:b/>
                <w:bCs/>
                <w:caps/>
                <w:color w:val="FF0000"/>
                <w:sz w:val="20"/>
                <w:szCs w:val="20"/>
              </w:rPr>
              <w:t>STOCKHOLMARNA</w:t>
            </w:r>
            <w:r w:rsidRPr="00EE7DDE">
              <w:rPr>
                <w:rFonts w:ascii="Arial" w:hAnsi="Arial" w:cs="Arial"/>
                <w:b/>
                <w:bCs/>
                <w:caps/>
                <w:sz w:val="20"/>
                <w:szCs w:val="20"/>
              </w:rPr>
              <w:t xml:space="preserve"> ATT OLIKA REGERINGSALTERNATIV PÅVERKAR bostadspriserna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b/>
                <w:bCs/>
                <w:caps/>
                <w:sz w:val="20"/>
                <w:szCs w:val="20"/>
              </w:rPr>
              <w:t> </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Upp</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Lika</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Ned</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Alliansregering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56 %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40 %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S-regering</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30 %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38 %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32 %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29 %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33 %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38 %</w:t>
            </w:r>
          </w:p>
        </w:tc>
      </w:tr>
      <w:tr w:rsidR="00EE7DDE" w:rsidRPr="00EE7DDE" w:rsidTr="00EE7DDE">
        <w:tc>
          <w:tcPr>
            <w:tcW w:w="3256" w:type="dxa"/>
            <w:tcBorders>
              <w:top w:val="nil"/>
              <w:left w:val="nil"/>
              <w:bottom w:val="nil"/>
              <w:right w:val="single" w:sz="8" w:space="0" w:color="7F7F7F"/>
            </w:tcBorders>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Regering med S+Mp+V</w:t>
            </w:r>
          </w:p>
        </w:tc>
        <w:tc>
          <w:tcPr>
            <w:tcW w:w="1842"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26 %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28 %</w:t>
            </w:r>
          </w:p>
        </w:tc>
        <w:tc>
          <w:tcPr>
            <w:tcW w:w="1843" w:type="dxa"/>
            <w:shd w:val="clear" w:color="auto" w:fill="F2F2F2"/>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46 %</w:t>
            </w:r>
          </w:p>
        </w:tc>
      </w:tr>
      <w:tr w:rsidR="00EE7DDE" w:rsidRPr="00EE7DDE" w:rsidTr="00EE7DDE">
        <w:tc>
          <w:tcPr>
            <w:tcW w:w="3256" w:type="dxa"/>
            <w:tcBorders>
              <w:top w:val="nil"/>
              <w:left w:val="nil"/>
              <w:bottom w:val="nil"/>
              <w:right w:val="single" w:sz="8" w:space="0" w:color="7F7F7F"/>
            </w:tcBorders>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caps/>
                <w:sz w:val="20"/>
                <w:szCs w:val="20"/>
              </w:rPr>
              <w:t>Blocköverskridande regering</w:t>
            </w:r>
          </w:p>
        </w:tc>
        <w:tc>
          <w:tcPr>
            <w:tcW w:w="1842"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28 %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59 %</w:t>
            </w:r>
          </w:p>
        </w:tc>
        <w:tc>
          <w:tcPr>
            <w:tcW w:w="1843" w:type="dxa"/>
            <w:tcMar>
              <w:top w:w="0" w:type="dxa"/>
              <w:left w:w="108" w:type="dxa"/>
              <w:bottom w:w="0" w:type="dxa"/>
              <w:right w:w="108" w:type="dxa"/>
            </w:tcMar>
            <w:hideMark/>
          </w:tcPr>
          <w:p w:rsidR="00EE7DDE" w:rsidRPr="00EE7DDE" w:rsidRDefault="00EE7DDE">
            <w:pPr>
              <w:rPr>
                <w:rFonts w:ascii="Arial" w:eastAsiaTheme="minorHAnsi" w:hAnsi="Arial" w:cs="Arial"/>
                <w:sz w:val="20"/>
                <w:szCs w:val="20"/>
                <w:lang w:eastAsia="en-US"/>
              </w:rPr>
            </w:pPr>
            <w:r w:rsidRPr="00EE7DDE">
              <w:rPr>
                <w:rFonts w:ascii="Arial" w:hAnsi="Arial" w:cs="Arial"/>
                <w:sz w:val="20"/>
                <w:szCs w:val="20"/>
              </w:rPr>
              <w:t>13 %</w:t>
            </w:r>
          </w:p>
        </w:tc>
      </w:tr>
    </w:tbl>
    <w:p w:rsidR="00EE7DDE" w:rsidRPr="00EE7DDE" w:rsidRDefault="00EE7DDE" w:rsidP="00EE7DDE">
      <w:pPr>
        <w:rPr>
          <w:rFonts w:ascii="Arial" w:eastAsiaTheme="minorHAnsi" w:hAnsi="Arial" w:cs="Arial"/>
          <w:sz w:val="20"/>
          <w:szCs w:val="20"/>
          <w:lang w:eastAsia="en-US"/>
        </w:rPr>
      </w:pPr>
      <w:r w:rsidRPr="00EE7DDE">
        <w:rPr>
          <w:rFonts w:ascii="Arial" w:hAnsi="Arial" w:cs="Arial"/>
          <w:sz w:val="20"/>
          <w:szCs w:val="20"/>
        </w:rPr>
        <w:t> </w:t>
      </w:r>
    </w:p>
    <w:p w:rsidR="00EE7DDE" w:rsidRPr="00EE7DDE" w:rsidRDefault="00EE7DDE" w:rsidP="00EE7DDE">
      <w:pPr>
        <w:rPr>
          <w:rFonts w:ascii="Arial" w:hAnsi="Arial" w:cs="Arial"/>
          <w:b/>
          <w:sz w:val="20"/>
          <w:szCs w:val="20"/>
        </w:rPr>
      </w:pPr>
      <w:r w:rsidRPr="00EE7DDE">
        <w:rPr>
          <w:rFonts w:ascii="Arial" w:hAnsi="Arial" w:cs="Arial"/>
          <w:b/>
          <w:sz w:val="20"/>
          <w:szCs w:val="20"/>
        </w:rPr>
        <w:t xml:space="preserve">För ytterligare information kontakta: </w:t>
      </w:r>
    </w:p>
    <w:p w:rsidR="00EE7DDE" w:rsidRDefault="00EE7DDE" w:rsidP="00EE7DDE">
      <w:pPr>
        <w:rPr>
          <w:rFonts w:ascii="Arial" w:hAnsi="Arial" w:cs="Arial"/>
          <w:sz w:val="20"/>
          <w:szCs w:val="20"/>
        </w:rPr>
      </w:pPr>
      <w:r w:rsidRPr="00EE7DDE">
        <w:rPr>
          <w:rFonts w:ascii="Arial" w:hAnsi="Arial" w:cs="Arial"/>
          <w:sz w:val="20"/>
          <w:szCs w:val="20"/>
        </w:rPr>
        <w:t>Mats Ljung, Styrelse</w:t>
      </w:r>
      <w:r>
        <w:rPr>
          <w:rFonts w:ascii="Arial" w:hAnsi="Arial" w:cs="Arial"/>
          <w:sz w:val="20"/>
          <w:szCs w:val="20"/>
        </w:rPr>
        <w:t>ordförande Bjurfors Sverige AB</w:t>
      </w:r>
    </w:p>
    <w:p w:rsidR="00EE7DDE" w:rsidRDefault="00EE7DDE" w:rsidP="00EE7DDE">
      <w:pPr>
        <w:rPr>
          <w:rStyle w:val="phone"/>
          <w:rFonts w:ascii="Arial" w:hAnsi="Arial" w:cs="Arial"/>
          <w:sz w:val="20"/>
          <w:szCs w:val="20"/>
        </w:rPr>
      </w:pPr>
      <w:proofErr w:type="spellStart"/>
      <w:r w:rsidRPr="00EE7DDE">
        <w:rPr>
          <w:rFonts w:ascii="Arial" w:hAnsi="Arial" w:cs="Arial"/>
          <w:sz w:val="20"/>
          <w:szCs w:val="20"/>
        </w:rPr>
        <w:t>tel</w:t>
      </w:r>
      <w:proofErr w:type="spellEnd"/>
      <w:r w:rsidRPr="00EE7DDE">
        <w:rPr>
          <w:rFonts w:ascii="Arial" w:hAnsi="Arial" w:cs="Arial"/>
          <w:sz w:val="20"/>
          <w:szCs w:val="20"/>
        </w:rPr>
        <w:t xml:space="preserve"> </w:t>
      </w:r>
      <w:r w:rsidRPr="00EE7DDE">
        <w:rPr>
          <w:rStyle w:val="phone"/>
          <w:rFonts w:ascii="Arial" w:hAnsi="Arial" w:cs="Arial"/>
          <w:sz w:val="20"/>
          <w:szCs w:val="20"/>
        </w:rPr>
        <w:t>031-733 20 12</w:t>
      </w:r>
    </w:p>
    <w:p w:rsidR="00EE7DDE" w:rsidRPr="00EE7DDE" w:rsidRDefault="00EE7DDE" w:rsidP="00EE7DDE">
      <w:pPr>
        <w:rPr>
          <w:rFonts w:ascii="Arial" w:hAnsi="Arial" w:cs="Arial"/>
          <w:sz w:val="20"/>
          <w:szCs w:val="20"/>
        </w:rPr>
      </w:pPr>
      <w:r>
        <w:rPr>
          <w:rStyle w:val="phone"/>
          <w:rFonts w:ascii="Arial" w:hAnsi="Arial" w:cs="Arial"/>
          <w:sz w:val="20"/>
          <w:szCs w:val="20"/>
        </w:rPr>
        <w:t>mats.ljung@bjurfors.se</w:t>
      </w:r>
    </w:p>
    <w:p w:rsidR="00EE7DDE" w:rsidRDefault="00EE7DDE" w:rsidP="00EE7DDE"/>
    <w:p w:rsidR="00EE7DDE" w:rsidRDefault="00EE7DDE" w:rsidP="00EE7DDE">
      <w:pPr>
        <w:rPr>
          <w:rFonts w:ascii="Arial" w:hAnsi="Arial" w:cs="Arial"/>
          <w:sz w:val="20"/>
        </w:rPr>
      </w:pPr>
    </w:p>
    <w:p w:rsidR="00EE7DDE" w:rsidRDefault="00EE7DDE" w:rsidP="00EE7DDE">
      <w:pPr>
        <w:rPr>
          <w:rFonts w:ascii="Arial" w:hAnsi="Arial" w:cs="Arial"/>
          <w:sz w:val="20"/>
        </w:rPr>
      </w:pPr>
    </w:p>
    <w:p w:rsidR="00EE7DDE" w:rsidRPr="00EE7DDE" w:rsidRDefault="00EE7DDE" w:rsidP="00EE7DDE">
      <w:pPr>
        <w:rPr>
          <w:rFonts w:ascii="Arial" w:hAnsi="Arial" w:cs="Arial"/>
          <w:sz w:val="20"/>
        </w:rPr>
      </w:pPr>
    </w:p>
    <w:p w:rsidR="00EE7DDE" w:rsidRPr="00EE7DDE" w:rsidRDefault="00EE7DDE" w:rsidP="00EE7DDE">
      <w:pPr>
        <w:rPr>
          <w:rFonts w:ascii="Arial" w:hAnsi="Arial" w:cs="Arial"/>
          <w:sz w:val="20"/>
        </w:rPr>
      </w:pPr>
      <w:r w:rsidRPr="00EE7DDE">
        <w:rPr>
          <w:rFonts w:ascii="Arial" w:hAnsi="Arial" w:cs="Arial"/>
          <w:b/>
          <w:bCs/>
          <w:color w:val="000000"/>
          <w:sz w:val="20"/>
        </w:rPr>
        <w:t xml:space="preserve">Om Bjurfors Bostadsbarometer </w:t>
      </w:r>
      <w:r w:rsidRPr="00EE7DDE">
        <w:rPr>
          <w:rFonts w:ascii="Arial" w:hAnsi="Arial" w:cs="Arial"/>
          <w:color w:val="000000"/>
          <w:sz w:val="20"/>
        </w:rPr>
        <w:br/>
        <w:t xml:space="preserve">Bjurfors Bostadsbarometer är en återkommande undersökning om bostadsfrågor i Stockholm, Göteborg och Malmö. Den senaste undersökningen genomfördes av TNS Sifo på uppdrag av Bjurfors. Totalt svarade 1020 respondenter i Malmö med omnejd, 1017 i Stockholms län och 1021 i Stor-Göteborg. Insamlingsperioden var mellan den 22 och 29 augusti 2014. </w:t>
      </w:r>
    </w:p>
    <w:p w:rsidR="00EE7DDE" w:rsidRDefault="00EE7DDE" w:rsidP="00EE7DDE">
      <w:pPr>
        <w:rPr>
          <w:rFonts w:ascii="Arial" w:hAnsi="Arial" w:cs="Arial"/>
          <w:color w:val="000000"/>
          <w:sz w:val="20"/>
        </w:rPr>
      </w:pPr>
    </w:p>
    <w:p w:rsidR="00EE7DDE" w:rsidRPr="00EE7DDE" w:rsidRDefault="00EE7DDE" w:rsidP="00EE7DDE">
      <w:pPr>
        <w:rPr>
          <w:rFonts w:ascii="Arial" w:hAnsi="Arial" w:cs="Arial"/>
          <w:sz w:val="20"/>
        </w:rPr>
      </w:pPr>
      <w:r w:rsidRPr="00EE7DDE">
        <w:rPr>
          <w:rFonts w:ascii="Arial" w:hAnsi="Arial" w:cs="Arial"/>
          <w:color w:val="000000"/>
          <w:sz w:val="20"/>
        </w:rPr>
        <w:t> </w:t>
      </w:r>
    </w:p>
    <w:p w:rsidR="00EE7DDE" w:rsidRPr="00EE7DDE" w:rsidRDefault="00EE7DDE" w:rsidP="00EE7DDE">
      <w:pPr>
        <w:rPr>
          <w:rFonts w:ascii="Arial" w:hAnsi="Arial" w:cs="Arial"/>
          <w:sz w:val="20"/>
        </w:rPr>
      </w:pPr>
      <w:r w:rsidRPr="00EE7DDE">
        <w:rPr>
          <w:rFonts w:ascii="Arial" w:hAnsi="Arial" w:cs="Arial"/>
          <w:b/>
          <w:bCs/>
          <w:color w:val="000000"/>
          <w:sz w:val="20"/>
        </w:rPr>
        <w:t>Om Bjurfors</w:t>
      </w:r>
    </w:p>
    <w:p w:rsidR="002845AA" w:rsidRPr="00EE7DDE" w:rsidRDefault="00EE7DDE" w:rsidP="00EE7DDE">
      <w:pPr>
        <w:rPr>
          <w:rFonts w:ascii="Arial" w:hAnsi="Arial" w:cs="Arial"/>
          <w:sz w:val="20"/>
        </w:rPr>
      </w:pPr>
      <w:r w:rsidRPr="00EE7DDE">
        <w:rPr>
          <w:rFonts w:ascii="Arial" w:hAnsi="Arial" w:cs="Arial"/>
          <w:i/>
          <w:iCs/>
          <w:sz w:val="20"/>
        </w:rPr>
        <w:t>Bjurfors är en av de marknadsledande fastighetsmäklarkedjorna i Sverige och är verksamma inom såväl privatmarknaden som den kommersiella fastighetsmarknaden. Bjurfors har cirka 370 medarbetare, och har konto</w:t>
      </w:r>
      <w:r w:rsidRPr="00EE7DDE">
        <w:rPr>
          <w:rFonts w:ascii="Arial" w:hAnsi="Arial" w:cs="Arial"/>
          <w:sz w:val="20"/>
        </w:rPr>
        <w:t>r i Stockholm, Göteborg, Malmö</w:t>
      </w:r>
      <w:r w:rsidRPr="00EE7DDE">
        <w:rPr>
          <w:rFonts w:ascii="Arial" w:hAnsi="Arial" w:cs="Arial"/>
          <w:i/>
          <w:iCs/>
          <w:sz w:val="20"/>
        </w:rPr>
        <w:t>, Linköping, Västerås, Halmstad, Åre, Bohuslän och i Båstad samt på Gotland, franska Rivieran och i Spanien.</w:t>
      </w:r>
      <w:r w:rsidRPr="00EE7DDE">
        <w:rPr>
          <w:rFonts w:ascii="Arial" w:hAnsi="Arial" w:cs="Arial"/>
          <w:sz w:val="18"/>
        </w:rPr>
        <w:t> </w:t>
      </w:r>
    </w:p>
    <w:sectPr w:rsidR="002845AA" w:rsidRPr="00EE7DDE" w:rsidSect="003B1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0335"/>
    <w:multiLevelType w:val="hybridMultilevel"/>
    <w:tmpl w:val="1F125E32"/>
    <w:lvl w:ilvl="0" w:tplc="461C2C18">
      <w:start w:val="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BB"/>
    <w:rsid w:val="00022B87"/>
    <w:rsid w:val="0003085B"/>
    <w:rsid w:val="0009174F"/>
    <w:rsid w:val="0009475E"/>
    <w:rsid w:val="000D2580"/>
    <w:rsid w:val="000E00B1"/>
    <w:rsid w:val="00146A25"/>
    <w:rsid w:val="001B519B"/>
    <w:rsid w:val="001E6CE5"/>
    <w:rsid w:val="00224F3C"/>
    <w:rsid w:val="002802C6"/>
    <w:rsid w:val="002845AA"/>
    <w:rsid w:val="002A65F0"/>
    <w:rsid w:val="003079E4"/>
    <w:rsid w:val="00342296"/>
    <w:rsid w:val="00377A25"/>
    <w:rsid w:val="003B10F3"/>
    <w:rsid w:val="003E517B"/>
    <w:rsid w:val="00402E69"/>
    <w:rsid w:val="00495657"/>
    <w:rsid w:val="004A37D3"/>
    <w:rsid w:val="004B2156"/>
    <w:rsid w:val="004C4FC2"/>
    <w:rsid w:val="00540ED1"/>
    <w:rsid w:val="005A3863"/>
    <w:rsid w:val="005B0AA7"/>
    <w:rsid w:val="005D263D"/>
    <w:rsid w:val="005E49EA"/>
    <w:rsid w:val="005F2069"/>
    <w:rsid w:val="006A6EBB"/>
    <w:rsid w:val="006B21C2"/>
    <w:rsid w:val="0078768E"/>
    <w:rsid w:val="00792C14"/>
    <w:rsid w:val="008558E1"/>
    <w:rsid w:val="00863C94"/>
    <w:rsid w:val="008A4518"/>
    <w:rsid w:val="008B6039"/>
    <w:rsid w:val="008C573C"/>
    <w:rsid w:val="008D78D4"/>
    <w:rsid w:val="00924630"/>
    <w:rsid w:val="00946D31"/>
    <w:rsid w:val="009815E9"/>
    <w:rsid w:val="00B16910"/>
    <w:rsid w:val="00B63714"/>
    <w:rsid w:val="00C11E57"/>
    <w:rsid w:val="00C51C8E"/>
    <w:rsid w:val="00C9382E"/>
    <w:rsid w:val="00CE066E"/>
    <w:rsid w:val="00CE4799"/>
    <w:rsid w:val="00CF67C1"/>
    <w:rsid w:val="00D278BA"/>
    <w:rsid w:val="00DA5329"/>
    <w:rsid w:val="00E11DBD"/>
    <w:rsid w:val="00E55844"/>
    <w:rsid w:val="00E62E70"/>
    <w:rsid w:val="00EA3A8A"/>
    <w:rsid w:val="00EB2948"/>
    <w:rsid w:val="00EE3DF0"/>
    <w:rsid w:val="00EE7DDE"/>
    <w:rsid w:val="00F231DB"/>
    <w:rsid w:val="00F50A04"/>
    <w:rsid w:val="00F732AD"/>
    <w:rsid w:val="00F75226"/>
    <w:rsid w:val="00FA79F0"/>
    <w:rsid w:val="00FE5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95">
      <w:bodyDiv w:val="1"/>
      <w:marLeft w:val="0"/>
      <w:marRight w:val="0"/>
      <w:marTop w:val="0"/>
      <w:marBottom w:val="0"/>
      <w:divBdr>
        <w:top w:val="none" w:sz="0" w:space="0" w:color="auto"/>
        <w:left w:val="none" w:sz="0" w:space="0" w:color="auto"/>
        <w:bottom w:val="none" w:sz="0" w:space="0" w:color="auto"/>
        <w:right w:val="none" w:sz="0" w:space="0" w:color="auto"/>
      </w:divBdr>
    </w:div>
    <w:div w:id="146627573">
      <w:bodyDiv w:val="1"/>
      <w:marLeft w:val="0"/>
      <w:marRight w:val="0"/>
      <w:marTop w:val="0"/>
      <w:marBottom w:val="0"/>
      <w:divBdr>
        <w:top w:val="none" w:sz="0" w:space="0" w:color="auto"/>
        <w:left w:val="none" w:sz="0" w:space="0" w:color="auto"/>
        <w:bottom w:val="none" w:sz="0" w:space="0" w:color="auto"/>
        <w:right w:val="none" w:sz="0" w:space="0" w:color="auto"/>
      </w:divBdr>
    </w:div>
    <w:div w:id="271254157">
      <w:bodyDiv w:val="1"/>
      <w:marLeft w:val="0"/>
      <w:marRight w:val="0"/>
      <w:marTop w:val="0"/>
      <w:marBottom w:val="0"/>
      <w:divBdr>
        <w:top w:val="none" w:sz="0" w:space="0" w:color="auto"/>
        <w:left w:val="none" w:sz="0" w:space="0" w:color="auto"/>
        <w:bottom w:val="none" w:sz="0" w:space="0" w:color="auto"/>
        <w:right w:val="none" w:sz="0" w:space="0" w:color="auto"/>
      </w:divBdr>
    </w:div>
    <w:div w:id="373310745">
      <w:bodyDiv w:val="1"/>
      <w:marLeft w:val="0"/>
      <w:marRight w:val="0"/>
      <w:marTop w:val="0"/>
      <w:marBottom w:val="0"/>
      <w:divBdr>
        <w:top w:val="none" w:sz="0" w:space="0" w:color="auto"/>
        <w:left w:val="none" w:sz="0" w:space="0" w:color="auto"/>
        <w:bottom w:val="none" w:sz="0" w:space="0" w:color="auto"/>
        <w:right w:val="none" w:sz="0" w:space="0" w:color="auto"/>
      </w:divBdr>
    </w:div>
    <w:div w:id="1884168326">
      <w:bodyDiv w:val="1"/>
      <w:marLeft w:val="0"/>
      <w:marRight w:val="0"/>
      <w:marTop w:val="0"/>
      <w:marBottom w:val="0"/>
      <w:divBdr>
        <w:top w:val="none" w:sz="0" w:space="0" w:color="auto"/>
        <w:left w:val="none" w:sz="0" w:space="0" w:color="auto"/>
        <w:bottom w:val="none" w:sz="0" w:space="0" w:color="auto"/>
        <w:right w:val="none" w:sz="0" w:space="0" w:color="auto"/>
      </w:divBdr>
    </w:div>
    <w:div w:id="1936665424">
      <w:bodyDiv w:val="1"/>
      <w:marLeft w:val="0"/>
      <w:marRight w:val="0"/>
      <w:marTop w:val="0"/>
      <w:marBottom w:val="0"/>
      <w:divBdr>
        <w:top w:val="none" w:sz="0" w:space="0" w:color="auto"/>
        <w:left w:val="none" w:sz="0" w:space="0" w:color="auto"/>
        <w:bottom w:val="none" w:sz="0" w:space="0" w:color="auto"/>
        <w:right w:val="none" w:sz="0" w:space="0" w:color="auto"/>
      </w:divBdr>
    </w:div>
    <w:div w:id="2033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3292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Kristina</cp:lastModifiedBy>
  <cp:revision>2</cp:revision>
  <cp:lastPrinted>2014-02-03T14:28:00Z</cp:lastPrinted>
  <dcterms:created xsi:type="dcterms:W3CDTF">2014-09-10T07:36:00Z</dcterms:created>
  <dcterms:modified xsi:type="dcterms:W3CDTF">2014-09-10T07:36:00Z</dcterms:modified>
</cp:coreProperties>
</file>