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94" w:rsidRPr="00703D3C" w:rsidRDefault="003F2094" w:rsidP="00703D3C">
      <w:pPr>
        <w:pStyle w:val="Rub1"/>
      </w:pPr>
      <w:r>
        <w:t>PRESSMEDDELANDE 2012-02-2</w:t>
      </w:r>
      <w:bookmarkStart w:id="0" w:name="Text"/>
      <w:bookmarkEnd w:id="0"/>
      <w:r w:rsidR="00F51C2C">
        <w:t>3</w:t>
      </w:r>
    </w:p>
    <w:p w:rsidR="00AA0E13" w:rsidRDefault="00AA0E13" w:rsidP="00703D3C">
      <w:pPr>
        <w:spacing w:after="187" w:line="240" w:lineRule="auto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3F2094" w:rsidRPr="00703D3C" w:rsidRDefault="00867A2E" w:rsidP="00703D3C">
      <w:pPr>
        <w:spacing w:after="187" w:line="240" w:lineRule="auto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 xml:space="preserve">Konstnärsnämnden fördelar 13 </w:t>
      </w:r>
      <w:r w:rsidR="00757EF8">
        <w:rPr>
          <w:b/>
          <w:bCs/>
          <w:color w:val="000000"/>
          <w:kern w:val="36"/>
          <w:sz w:val="28"/>
          <w:szCs w:val="28"/>
        </w:rPr>
        <w:t xml:space="preserve">miljoner kronor </w:t>
      </w:r>
      <w:r w:rsidR="003F2094" w:rsidRPr="00F767AA">
        <w:rPr>
          <w:b/>
          <w:bCs/>
          <w:color w:val="000000"/>
          <w:kern w:val="36"/>
          <w:sz w:val="28"/>
          <w:szCs w:val="28"/>
        </w:rPr>
        <w:t xml:space="preserve">till teater-, dans- och filmkonstnärer </w:t>
      </w:r>
    </w:p>
    <w:p w:rsidR="00AA0E13" w:rsidRPr="00117BC9" w:rsidRDefault="003F2094" w:rsidP="00703D3C">
      <w:pPr>
        <w:spacing w:line="240" w:lineRule="auto"/>
        <w:rPr>
          <w:color w:val="000000"/>
          <w:szCs w:val="21"/>
        </w:rPr>
      </w:pPr>
      <w:r w:rsidRPr="00F767AA">
        <w:rPr>
          <w:b/>
          <w:bCs/>
          <w:color w:val="000000"/>
          <w:szCs w:val="21"/>
        </w:rPr>
        <w:t>Kons</w:t>
      </w:r>
      <w:r>
        <w:rPr>
          <w:b/>
          <w:bCs/>
          <w:color w:val="000000"/>
          <w:szCs w:val="21"/>
        </w:rPr>
        <w:t>tnärsnämndens fördelning av 2012</w:t>
      </w:r>
      <w:r w:rsidRPr="00F767AA">
        <w:rPr>
          <w:b/>
          <w:bCs/>
          <w:color w:val="000000"/>
          <w:szCs w:val="21"/>
        </w:rPr>
        <w:t xml:space="preserve"> års arbetsstipendier, målinriktade arbetsstipendier och projektbidrag till verksamma inom teater, dans och film </w:t>
      </w:r>
      <w:r>
        <w:rPr>
          <w:b/>
          <w:bCs/>
          <w:color w:val="000000"/>
          <w:szCs w:val="21"/>
        </w:rPr>
        <w:t>beslutades den 20 februari. Totalt får 15</w:t>
      </w:r>
      <w:r w:rsidR="00BA5AAA">
        <w:rPr>
          <w:b/>
          <w:bCs/>
          <w:color w:val="000000"/>
          <w:szCs w:val="21"/>
        </w:rPr>
        <w:t>0</w:t>
      </w:r>
      <w:r w:rsidRPr="00F767AA">
        <w:rPr>
          <w:b/>
          <w:bCs/>
          <w:color w:val="000000"/>
          <w:szCs w:val="21"/>
        </w:rPr>
        <w:t xml:space="preserve"> personer dela </w:t>
      </w:r>
      <w:r w:rsidRPr="0041616B">
        <w:rPr>
          <w:b/>
          <w:bCs/>
          <w:color w:val="000000"/>
          <w:szCs w:val="21"/>
        </w:rPr>
        <w:t xml:space="preserve">på </w:t>
      </w:r>
      <w:r w:rsidRPr="0041616B">
        <w:rPr>
          <w:b/>
          <w:color w:val="000000"/>
          <w:szCs w:val="21"/>
        </w:rPr>
        <w:t>drygt 13 miljoner kronor</w:t>
      </w:r>
      <w:r w:rsidR="0041616B">
        <w:rPr>
          <w:b/>
          <w:color w:val="000000"/>
          <w:szCs w:val="21"/>
        </w:rPr>
        <w:t>.</w:t>
      </w:r>
    </w:p>
    <w:p w:rsidR="00703D3C" w:rsidRDefault="003F2094" w:rsidP="00703D3C">
      <w:pPr>
        <w:spacing w:line="240" w:lineRule="auto"/>
        <w:rPr>
          <w:color w:val="000000"/>
          <w:szCs w:val="21"/>
        </w:rPr>
      </w:pPr>
      <w:r w:rsidRPr="00F767AA">
        <w:rPr>
          <w:color w:val="000000"/>
          <w:szCs w:val="21"/>
        </w:rPr>
        <w:t>I årets omgång har </w:t>
      </w:r>
      <w:r>
        <w:rPr>
          <w:color w:val="000000"/>
          <w:szCs w:val="21"/>
        </w:rPr>
        <w:t>1</w:t>
      </w:r>
      <w:r w:rsidR="00867A2E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185</w:t>
      </w:r>
      <w:r w:rsidRPr="00F767AA">
        <w:rPr>
          <w:color w:val="000000"/>
          <w:szCs w:val="21"/>
        </w:rPr>
        <w:t> ansökninga</w:t>
      </w:r>
      <w:r>
        <w:rPr>
          <w:color w:val="000000"/>
          <w:szCs w:val="21"/>
        </w:rPr>
        <w:t xml:space="preserve">r behandlats och </w:t>
      </w:r>
      <w:r w:rsidR="00EE3E44">
        <w:rPr>
          <w:color w:val="000000"/>
          <w:szCs w:val="21"/>
        </w:rPr>
        <w:t>a</w:t>
      </w:r>
      <w:r>
        <w:rPr>
          <w:color w:val="000000"/>
          <w:szCs w:val="21"/>
        </w:rPr>
        <w:t xml:space="preserve">v dessa </w:t>
      </w:r>
      <w:r w:rsidRPr="00F767AA">
        <w:rPr>
          <w:color w:val="000000"/>
          <w:szCs w:val="21"/>
        </w:rPr>
        <w:t>beviljade</w:t>
      </w:r>
      <w:r>
        <w:rPr>
          <w:color w:val="000000"/>
          <w:szCs w:val="21"/>
        </w:rPr>
        <w:t xml:space="preserve">s </w:t>
      </w:r>
      <w:r w:rsidR="009C65D2">
        <w:rPr>
          <w:color w:val="000000"/>
          <w:szCs w:val="21"/>
        </w:rPr>
        <w:t>150</w:t>
      </w:r>
      <w:r w:rsidRPr="00AA0E13">
        <w:rPr>
          <w:color w:val="000000"/>
          <w:szCs w:val="21"/>
        </w:rPr>
        <w:t xml:space="preserve"> personer</w:t>
      </w:r>
      <w:r w:rsidR="0041616B" w:rsidRPr="00AA0E13">
        <w:rPr>
          <w:color w:val="000000"/>
          <w:szCs w:val="21"/>
        </w:rPr>
        <w:t xml:space="preserve"> totalt </w:t>
      </w:r>
      <w:r w:rsidR="0041616B" w:rsidRPr="00AA0E13">
        <w:rPr>
          <w:bCs/>
          <w:color w:val="000000"/>
          <w:szCs w:val="21"/>
        </w:rPr>
        <w:t>13 335 000 kronor</w:t>
      </w:r>
      <w:r w:rsidR="00EE3E44" w:rsidRPr="00AA0E13">
        <w:rPr>
          <w:color w:val="000000"/>
          <w:szCs w:val="21"/>
        </w:rPr>
        <w:t>.</w:t>
      </w:r>
      <w:r>
        <w:rPr>
          <w:color w:val="000000"/>
          <w:szCs w:val="21"/>
        </w:rPr>
        <w:t xml:space="preserve"> </w:t>
      </w:r>
      <w:r w:rsidR="00EE3E44">
        <w:rPr>
          <w:color w:val="000000"/>
          <w:szCs w:val="21"/>
        </w:rPr>
        <w:t>Fördelningen</w:t>
      </w:r>
      <w:r>
        <w:rPr>
          <w:color w:val="000000"/>
          <w:szCs w:val="21"/>
        </w:rPr>
        <w:t xml:space="preserve"> till verksamma personer inom dansområdet </w:t>
      </w:r>
      <w:r w:rsidR="00AA0E13">
        <w:rPr>
          <w:color w:val="000000"/>
          <w:szCs w:val="21"/>
        </w:rPr>
        <w:t>blev</w:t>
      </w:r>
      <w:r>
        <w:rPr>
          <w:color w:val="000000"/>
          <w:szCs w:val="21"/>
        </w:rPr>
        <w:t xml:space="preserve"> 4 210 000 kronor, inom teaterområdet 3 770 000 kronor och inom filmområdet tilldelades 5 355 000 kronor.</w:t>
      </w:r>
      <w:r w:rsidR="00FC2D15">
        <w:rPr>
          <w:color w:val="000000"/>
          <w:szCs w:val="21"/>
        </w:rPr>
        <w:t xml:space="preserve"> </w:t>
      </w:r>
      <w:r w:rsidR="00EE3E44">
        <w:rPr>
          <w:color w:val="000000"/>
          <w:szCs w:val="21"/>
        </w:rPr>
        <w:t>Det sammanlagda sökta beloppet var 105 472 771 kr.</w:t>
      </w:r>
    </w:p>
    <w:p w:rsidR="00703D3C" w:rsidRDefault="00703D3C" w:rsidP="00703D3C">
      <w:pPr>
        <w:spacing w:line="24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Här </w:t>
      </w:r>
      <w:r w:rsidRPr="00F767AA">
        <w:rPr>
          <w:color w:val="000000"/>
          <w:szCs w:val="21"/>
        </w:rPr>
        <w:t>presenteras åre</w:t>
      </w:r>
      <w:r>
        <w:rPr>
          <w:color w:val="000000"/>
          <w:szCs w:val="21"/>
        </w:rPr>
        <w:t xml:space="preserve">ts beviljade arbetsstipendiater </w:t>
      </w:r>
      <w:r w:rsidRPr="00F767AA">
        <w:rPr>
          <w:color w:val="000000"/>
          <w:szCs w:val="21"/>
        </w:rPr>
        <w:t>och projektbidrag</w:t>
      </w:r>
      <w:r>
        <w:rPr>
          <w:color w:val="000000"/>
          <w:szCs w:val="21"/>
        </w:rPr>
        <w:t xml:space="preserve"> inom teater, dans och film</w:t>
      </w:r>
      <w:r w:rsidRPr="00F767AA">
        <w:rPr>
          <w:color w:val="000000"/>
          <w:szCs w:val="21"/>
        </w:rPr>
        <w:t>:</w:t>
      </w:r>
    </w:p>
    <w:p w:rsidR="00F263D6" w:rsidRPr="00117BC9" w:rsidRDefault="003B2851" w:rsidP="00F263D6">
      <w:pPr>
        <w:pStyle w:val="Normalwebb"/>
        <w:spacing w:before="0" w:after="0"/>
        <w:rPr>
          <w:color w:val="000000"/>
          <w:sz w:val="21"/>
          <w:szCs w:val="21"/>
        </w:rPr>
      </w:pPr>
      <w:hyperlink r:id="rId6" w:tooltip="Arbetsstipendium TEATER, DANS, FILM 2012" w:history="1">
        <w:r w:rsidR="00F263D6" w:rsidRPr="00117BC9">
          <w:rPr>
            <w:rStyle w:val="Hyperlnk"/>
            <w:sz w:val="21"/>
            <w:szCs w:val="21"/>
          </w:rPr>
          <w:t>Arbetsstipendier Teater, Dans, Film 2012</w:t>
        </w:r>
        <w:r w:rsidR="00F263D6" w:rsidRPr="00117BC9">
          <w:rPr>
            <w:color w:val="641F1F"/>
            <w:sz w:val="21"/>
            <w:szCs w:val="21"/>
            <w:u w:val="single"/>
          </w:rPr>
          <w:br/>
        </w:r>
      </w:hyperlink>
      <w:hyperlink r:id="rId7" w:tooltip="Målinriktade arb.stip. TE DA FI 2012" w:history="1">
        <w:r w:rsidR="00F263D6" w:rsidRPr="00117BC9">
          <w:rPr>
            <w:rStyle w:val="Hyperlnk"/>
            <w:sz w:val="21"/>
            <w:szCs w:val="21"/>
          </w:rPr>
          <w:t>Målinriktade arbetsstipendier Teater, Dans, Film 2012</w:t>
        </w:r>
        <w:r w:rsidR="00F263D6" w:rsidRPr="00117BC9">
          <w:rPr>
            <w:color w:val="641F1F"/>
            <w:sz w:val="21"/>
            <w:szCs w:val="21"/>
            <w:u w:val="single"/>
          </w:rPr>
          <w:br/>
        </w:r>
      </w:hyperlink>
      <w:hyperlink r:id="rId8" w:tooltip="Projektbidrag TE DA FI 2012" w:history="1">
        <w:r w:rsidR="00F263D6" w:rsidRPr="00117BC9">
          <w:rPr>
            <w:rStyle w:val="Hyperlnk"/>
            <w:sz w:val="21"/>
            <w:szCs w:val="21"/>
          </w:rPr>
          <w:t>Projektbidrag Teater, Dans, Film 2012</w:t>
        </w:r>
        <w:r w:rsidR="00F263D6" w:rsidRPr="00117BC9">
          <w:rPr>
            <w:color w:val="641F1F"/>
            <w:sz w:val="21"/>
            <w:szCs w:val="21"/>
            <w:u w:val="single"/>
          </w:rPr>
          <w:br/>
        </w:r>
      </w:hyperlink>
      <w:hyperlink r:id="rId9" w:tooltip="TEATER, DANS, FILM alla projektbidrag och arbetsstip. 2012" w:history="1">
        <w:r w:rsidR="00F263D6" w:rsidRPr="00117BC9">
          <w:rPr>
            <w:rStyle w:val="Hyperlnk"/>
            <w:sz w:val="21"/>
            <w:szCs w:val="21"/>
          </w:rPr>
          <w:t>Alla AR, MR, PR teater, dans, film i bokstavsordning 2012</w:t>
        </w:r>
      </w:hyperlink>
    </w:p>
    <w:p w:rsidR="00AA0E13" w:rsidRPr="00117BC9" w:rsidRDefault="00AA0E13" w:rsidP="00AA0E13">
      <w:pPr>
        <w:rPr>
          <w:szCs w:val="21"/>
        </w:rPr>
      </w:pPr>
    </w:p>
    <w:p w:rsidR="00867A2E" w:rsidRDefault="003F2094" w:rsidP="003F2094">
      <w:pPr>
        <w:spacing w:line="240" w:lineRule="auto"/>
        <w:rPr>
          <w:color w:val="000000"/>
          <w:szCs w:val="21"/>
        </w:rPr>
      </w:pPr>
      <w:r w:rsidRPr="00F767AA">
        <w:rPr>
          <w:color w:val="000000"/>
          <w:szCs w:val="21"/>
        </w:rPr>
        <w:t xml:space="preserve">De konstnärer som nu får stöd är verksamma inom ett mycket brett </w:t>
      </w:r>
      <w:r w:rsidR="0041616B">
        <w:rPr>
          <w:color w:val="000000"/>
          <w:szCs w:val="21"/>
        </w:rPr>
        <w:t>fält. H</w:t>
      </w:r>
      <w:r w:rsidRPr="00F767AA">
        <w:rPr>
          <w:color w:val="000000"/>
          <w:szCs w:val="21"/>
        </w:rPr>
        <w:t>är återfinns representanter för </w:t>
      </w:r>
      <w:r w:rsidR="0041616B">
        <w:rPr>
          <w:color w:val="000000"/>
          <w:szCs w:val="21"/>
        </w:rPr>
        <w:t>de större</w:t>
      </w:r>
      <w:r w:rsidRPr="00F767AA">
        <w:rPr>
          <w:color w:val="000000"/>
          <w:szCs w:val="21"/>
        </w:rPr>
        <w:t xml:space="preserve"> yrkesgrupper</w:t>
      </w:r>
      <w:r w:rsidR="0041616B">
        <w:rPr>
          <w:color w:val="000000"/>
          <w:szCs w:val="21"/>
        </w:rPr>
        <w:t xml:space="preserve">na skådespelare, </w:t>
      </w:r>
      <w:r w:rsidR="0041616B" w:rsidRPr="00F767AA">
        <w:rPr>
          <w:color w:val="000000"/>
          <w:szCs w:val="21"/>
        </w:rPr>
        <w:t>dansare</w:t>
      </w:r>
      <w:r w:rsidR="0041616B">
        <w:rPr>
          <w:color w:val="000000"/>
          <w:szCs w:val="21"/>
        </w:rPr>
        <w:t>, regissörer och</w:t>
      </w:r>
      <w:r w:rsidRPr="00F767AA">
        <w:rPr>
          <w:color w:val="000000"/>
          <w:szCs w:val="21"/>
        </w:rPr>
        <w:t xml:space="preserve"> filmare men </w:t>
      </w:r>
      <w:r w:rsidR="00867A2E">
        <w:rPr>
          <w:color w:val="000000"/>
          <w:szCs w:val="21"/>
        </w:rPr>
        <w:t>mindre</w:t>
      </w:r>
      <w:r w:rsidR="008D185F">
        <w:rPr>
          <w:color w:val="000000"/>
          <w:szCs w:val="21"/>
        </w:rPr>
        <w:t xml:space="preserve"> </w:t>
      </w:r>
      <w:r w:rsidR="00867A2E">
        <w:rPr>
          <w:color w:val="000000"/>
          <w:szCs w:val="21"/>
        </w:rPr>
        <w:t>yrkes</w:t>
      </w:r>
      <w:r w:rsidR="0041616B">
        <w:rPr>
          <w:color w:val="000000"/>
          <w:szCs w:val="21"/>
        </w:rPr>
        <w:t xml:space="preserve">kategorier är också representerade som </w:t>
      </w:r>
      <w:r w:rsidRPr="00F767AA">
        <w:rPr>
          <w:color w:val="000000"/>
          <w:szCs w:val="21"/>
        </w:rPr>
        <w:t xml:space="preserve">nycirkusartister, </w:t>
      </w:r>
      <w:r w:rsidR="0041616B">
        <w:rPr>
          <w:color w:val="000000"/>
          <w:szCs w:val="21"/>
        </w:rPr>
        <w:t>scenografer, maskörer, mimare, dockspelare, koreografer och filmanimatörer.</w:t>
      </w:r>
      <w:r w:rsidR="008C305C" w:rsidRPr="008C305C">
        <w:rPr>
          <w:color w:val="000000"/>
          <w:szCs w:val="21"/>
        </w:rPr>
        <w:t xml:space="preserve"> </w:t>
      </w:r>
    </w:p>
    <w:p w:rsidR="003F2094" w:rsidRPr="008C305C" w:rsidRDefault="00867A2E" w:rsidP="003F2094">
      <w:pPr>
        <w:spacing w:line="240" w:lineRule="auto"/>
        <w:rPr>
          <w:i/>
          <w:color w:val="000000"/>
          <w:szCs w:val="21"/>
        </w:rPr>
      </w:pPr>
      <w:r>
        <w:rPr>
          <w:color w:val="000000"/>
          <w:szCs w:val="21"/>
        </w:rPr>
        <w:t>Inom filmområdet gavs projektstöd till e</w:t>
      </w:r>
      <w:r w:rsidR="008C305C" w:rsidRPr="0041616B">
        <w:rPr>
          <w:color w:val="000000"/>
          <w:szCs w:val="21"/>
        </w:rPr>
        <w:t>tt flertal animationsprojekt</w:t>
      </w:r>
      <w:r w:rsidR="008C305C">
        <w:rPr>
          <w:color w:val="000000"/>
          <w:szCs w:val="21"/>
        </w:rPr>
        <w:t xml:space="preserve">, t. ex Mario Adamssons projekt </w:t>
      </w:r>
      <w:r w:rsidR="008C305C" w:rsidRPr="0041616B">
        <w:rPr>
          <w:i/>
          <w:color w:val="000000"/>
          <w:szCs w:val="21"/>
        </w:rPr>
        <w:t>”</w:t>
      </w:r>
      <w:r w:rsidR="008C305C">
        <w:rPr>
          <w:i/>
          <w:color w:val="000000"/>
          <w:szCs w:val="21"/>
        </w:rPr>
        <w:t>Främlingen</w:t>
      </w:r>
      <w:r w:rsidR="008C305C" w:rsidRPr="0041616B">
        <w:rPr>
          <w:i/>
          <w:color w:val="000000"/>
          <w:szCs w:val="21"/>
        </w:rPr>
        <w:t>”,</w:t>
      </w:r>
      <w:r w:rsidR="008C305C">
        <w:rPr>
          <w:color w:val="000000"/>
          <w:szCs w:val="21"/>
        </w:rPr>
        <w:t xml:space="preserve"> </w:t>
      </w:r>
      <w:proofErr w:type="spellStart"/>
      <w:r w:rsidR="008C305C">
        <w:rPr>
          <w:color w:val="000000"/>
          <w:szCs w:val="21"/>
        </w:rPr>
        <w:t>Monne</w:t>
      </w:r>
      <w:proofErr w:type="spellEnd"/>
      <w:r w:rsidR="008C305C">
        <w:rPr>
          <w:color w:val="000000"/>
          <w:szCs w:val="21"/>
        </w:rPr>
        <w:t xml:space="preserve"> </w:t>
      </w:r>
      <w:r w:rsidR="008C305C" w:rsidRPr="0041616B">
        <w:rPr>
          <w:color w:val="000000"/>
          <w:szCs w:val="21"/>
        </w:rPr>
        <w:t>Lindströms</w:t>
      </w:r>
      <w:r w:rsidR="008C305C">
        <w:rPr>
          <w:color w:val="000000"/>
          <w:szCs w:val="21"/>
        </w:rPr>
        <w:t xml:space="preserve"> ”</w:t>
      </w:r>
      <w:r w:rsidR="008C305C">
        <w:rPr>
          <w:i/>
          <w:color w:val="000000"/>
          <w:szCs w:val="21"/>
        </w:rPr>
        <w:t xml:space="preserve">Pinsamt och hemligt” </w:t>
      </w:r>
      <w:r w:rsidR="008C305C">
        <w:rPr>
          <w:color w:val="000000"/>
          <w:szCs w:val="21"/>
        </w:rPr>
        <w:t>samt</w:t>
      </w:r>
      <w:r w:rsidR="008C305C" w:rsidRPr="00C31D1F">
        <w:rPr>
          <w:i/>
          <w:color w:val="000000"/>
          <w:szCs w:val="21"/>
        </w:rPr>
        <w:t xml:space="preserve"> </w:t>
      </w:r>
      <w:proofErr w:type="spellStart"/>
      <w:r w:rsidR="008C305C" w:rsidRPr="008D185F">
        <w:rPr>
          <w:color w:val="000000"/>
          <w:szCs w:val="21"/>
        </w:rPr>
        <w:t>Ivica</w:t>
      </w:r>
      <w:proofErr w:type="spellEnd"/>
      <w:r w:rsidR="008C305C" w:rsidRPr="008D185F">
        <w:rPr>
          <w:color w:val="000000"/>
          <w:szCs w:val="21"/>
        </w:rPr>
        <w:t xml:space="preserve"> </w:t>
      </w:r>
      <w:proofErr w:type="spellStart"/>
      <w:r w:rsidR="008C305C" w:rsidRPr="008D185F">
        <w:rPr>
          <w:color w:val="000000"/>
          <w:szCs w:val="21"/>
        </w:rPr>
        <w:t>Zubak</w:t>
      </w:r>
      <w:proofErr w:type="spellEnd"/>
      <w:r w:rsidR="008C305C" w:rsidRPr="008D185F">
        <w:rPr>
          <w:color w:val="000000"/>
          <w:szCs w:val="21"/>
        </w:rPr>
        <w:t xml:space="preserve"> för </w:t>
      </w:r>
      <w:r w:rsidR="008C305C" w:rsidRPr="008D185F">
        <w:rPr>
          <w:i/>
          <w:color w:val="000000"/>
          <w:szCs w:val="21"/>
        </w:rPr>
        <w:t>”1st Love”</w:t>
      </w:r>
      <w:r w:rsidR="008C305C">
        <w:rPr>
          <w:i/>
          <w:color w:val="000000"/>
          <w:szCs w:val="21"/>
        </w:rPr>
        <w:t>.</w:t>
      </w:r>
      <w:r w:rsidR="008C305C" w:rsidRPr="008C305C">
        <w:rPr>
          <w:color w:val="000000"/>
          <w:szCs w:val="21"/>
        </w:rPr>
        <w:t xml:space="preserve"> </w:t>
      </w:r>
      <w:r w:rsidR="008C305C">
        <w:rPr>
          <w:color w:val="000000"/>
          <w:szCs w:val="21"/>
        </w:rPr>
        <w:t>Bland andra verksamma inom filmområdet beviljades</w:t>
      </w:r>
      <w:r w:rsidR="008C305C" w:rsidRPr="00F767AA">
        <w:rPr>
          <w:color w:val="000000"/>
          <w:szCs w:val="21"/>
        </w:rPr>
        <w:t xml:space="preserve"> </w:t>
      </w:r>
      <w:r w:rsidR="008C305C">
        <w:rPr>
          <w:color w:val="000000"/>
          <w:szCs w:val="21"/>
        </w:rPr>
        <w:t xml:space="preserve">de större projektbidragen bl. a till dokumentärfilmaren Staffan Julén för projektet </w:t>
      </w:r>
      <w:r w:rsidR="008C305C" w:rsidRPr="0041616B">
        <w:rPr>
          <w:i/>
          <w:color w:val="000000"/>
          <w:szCs w:val="21"/>
        </w:rPr>
        <w:t>”</w:t>
      </w:r>
      <w:proofErr w:type="spellStart"/>
      <w:r w:rsidR="008C305C" w:rsidRPr="0041616B">
        <w:rPr>
          <w:i/>
          <w:color w:val="000000"/>
          <w:szCs w:val="21"/>
        </w:rPr>
        <w:t>Yasuni</w:t>
      </w:r>
      <w:proofErr w:type="spellEnd"/>
      <w:r w:rsidR="008C305C" w:rsidRPr="0041616B">
        <w:rPr>
          <w:i/>
          <w:color w:val="000000"/>
          <w:szCs w:val="21"/>
        </w:rPr>
        <w:t>”</w:t>
      </w:r>
      <w:r w:rsidR="008C305C">
        <w:rPr>
          <w:i/>
          <w:color w:val="000000"/>
          <w:szCs w:val="21"/>
        </w:rPr>
        <w:t xml:space="preserve">, </w:t>
      </w:r>
      <w:r w:rsidR="008C305C" w:rsidRPr="008D185F">
        <w:rPr>
          <w:color w:val="000000"/>
          <w:szCs w:val="21"/>
        </w:rPr>
        <w:t xml:space="preserve">Nima </w:t>
      </w:r>
      <w:proofErr w:type="spellStart"/>
      <w:r w:rsidR="008C305C" w:rsidRPr="008D185F">
        <w:rPr>
          <w:color w:val="000000"/>
          <w:szCs w:val="21"/>
        </w:rPr>
        <w:t>Sarvestani</w:t>
      </w:r>
      <w:proofErr w:type="spellEnd"/>
      <w:r w:rsidR="008C305C" w:rsidRPr="008D185F">
        <w:rPr>
          <w:color w:val="000000"/>
          <w:szCs w:val="21"/>
        </w:rPr>
        <w:t xml:space="preserve"> för</w:t>
      </w:r>
      <w:r w:rsidR="008C305C">
        <w:rPr>
          <w:i/>
          <w:color w:val="000000"/>
          <w:szCs w:val="21"/>
        </w:rPr>
        <w:t xml:space="preserve"> ”No burkhas </w:t>
      </w:r>
      <w:proofErr w:type="spellStart"/>
      <w:r w:rsidR="008C305C">
        <w:rPr>
          <w:i/>
          <w:color w:val="000000"/>
          <w:szCs w:val="21"/>
        </w:rPr>
        <w:t>behind</w:t>
      </w:r>
      <w:proofErr w:type="spellEnd"/>
      <w:r w:rsidR="008C305C">
        <w:rPr>
          <w:i/>
          <w:color w:val="000000"/>
          <w:szCs w:val="21"/>
        </w:rPr>
        <w:t xml:space="preserve"> bars” </w:t>
      </w:r>
      <w:r w:rsidR="008C305C" w:rsidRPr="0041616B">
        <w:rPr>
          <w:color w:val="000000"/>
          <w:szCs w:val="21"/>
        </w:rPr>
        <w:t>och Malin Andersson</w:t>
      </w:r>
      <w:r w:rsidR="008C305C">
        <w:rPr>
          <w:color w:val="000000"/>
          <w:szCs w:val="21"/>
        </w:rPr>
        <w:t>s</w:t>
      </w:r>
      <w:r w:rsidR="008C305C">
        <w:rPr>
          <w:i/>
          <w:color w:val="000000"/>
          <w:szCs w:val="21"/>
        </w:rPr>
        <w:t xml:space="preserve"> ”Blodssystrar 2” </w:t>
      </w:r>
      <w:r w:rsidR="008C305C" w:rsidRPr="008D185F">
        <w:rPr>
          <w:color w:val="000000"/>
          <w:szCs w:val="21"/>
        </w:rPr>
        <w:t xml:space="preserve">och några projektstöd gick till </w:t>
      </w:r>
      <w:r w:rsidR="008C305C">
        <w:rPr>
          <w:color w:val="000000"/>
          <w:szCs w:val="21"/>
        </w:rPr>
        <w:t xml:space="preserve">kortare </w:t>
      </w:r>
      <w:r w:rsidR="008C305C" w:rsidRPr="008D185F">
        <w:rPr>
          <w:color w:val="000000"/>
          <w:szCs w:val="21"/>
        </w:rPr>
        <w:t>konstfilmsprojekt som</w:t>
      </w:r>
      <w:r w:rsidR="008C305C">
        <w:rPr>
          <w:i/>
          <w:color w:val="000000"/>
          <w:szCs w:val="21"/>
        </w:rPr>
        <w:t xml:space="preserve"> </w:t>
      </w:r>
      <w:proofErr w:type="spellStart"/>
      <w:r w:rsidR="008C305C">
        <w:rPr>
          <w:color w:val="000000"/>
          <w:szCs w:val="21"/>
        </w:rPr>
        <w:t>Minka</w:t>
      </w:r>
      <w:proofErr w:type="spellEnd"/>
      <w:r w:rsidR="008C305C">
        <w:rPr>
          <w:color w:val="000000"/>
          <w:szCs w:val="21"/>
        </w:rPr>
        <w:t xml:space="preserve"> </w:t>
      </w:r>
      <w:proofErr w:type="spellStart"/>
      <w:r w:rsidR="008C305C">
        <w:rPr>
          <w:color w:val="000000"/>
          <w:szCs w:val="21"/>
        </w:rPr>
        <w:t>Jakersens</w:t>
      </w:r>
      <w:proofErr w:type="spellEnd"/>
      <w:r w:rsidR="008C305C">
        <w:rPr>
          <w:color w:val="000000"/>
          <w:szCs w:val="21"/>
        </w:rPr>
        <w:t xml:space="preserve"> </w:t>
      </w:r>
      <w:r w:rsidR="008C305C" w:rsidRPr="0041616B">
        <w:rPr>
          <w:i/>
          <w:color w:val="000000"/>
          <w:szCs w:val="21"/>
        </w:rPr>
        <w:t xml:space="preserve">”The </w:t>
      </w:r>
      <w:proofErr w:type="spellStart"/>
      <w:r w:rsidR="008C305C" w:rsidRPr="0041616B">
        <w:rPr>
          <w:i/>
          <w:color w:val="000000"/>
          <w:szCs w:val="21"/>
        </w:rPr>
        <w:t>yearning</w:t>
      </w:r>
      <w:proofErr w:type="spellEnd"/>
      <w:r w:rsidR="008C305C" w:rsidRPr="0041616B">
        <w:rPr>
          <w:i/>
          <w:color w:val="000000"/>
          <w:szCs w:val="21"/>
        </w:rPr>
        <w:t xml:space="preserve"> </w:t>
      </w:r>
      <w:proofErr w:type="spellStart"/>
      <w:r w:rsidR="008C305C" w:rsidRPr="0041616B">
        <w:rPr>
          <w:i/>
          <w:color w:val="000000"/>
          <w:szCs w:val="21"/>
        </w:rPr>
        <w:t>room</w:t>
      </w:r>
      <w:proofErr w:type="spellEnd"/>
      <w:r w:rsidR="008C305C" w:rsidRPr="0041616B">
        <w:rPr>
          <w:i/>
          <w:color w:val="000000"/>
          <w:szCs w:val="21"/>
        </w:rPr>
        <w:t>”</w:t>
      </w:r>
      <w:r w:rsidR="008C305C">
        <w:rPr>
          <w:i/>
          <w:color w:val="000000"/>
          <w:szCs w:val="21"/>
        </w:rPr>
        <w:t>.</w:t>
      </w:r>
      <w:r w:rsidR="008C305C">
        <w:rPr>
          <w:color w:val="000000"/>
          <w:szCs w:val="21"/>
        </w:rPr>
        <w:t xml:space="preserve"> </w:t>
      </w:r>
    </w:p>
    <w:p w:rsidR="00F263D6" w:rsidRDefault="00C03C2C" w:rsidP="003F2094">
      <w:pPr>
        <w:spacing w:line="240" w:lineRule="auto"/>
        <w:rPr>
          <w:color w:val="000000"/>
          <w:szCs w:val="21"/>
        </w:rPr>
      </w:pPr>
      <w:r w:rsidRPr="00FC2D15">
        <w:rPr>
          <w:color w:val="000000"/>
          <w:szCs w:val="21"/>
        </w:rPr>
        <w:t>Inom dans</w:t>
      </w:r>
      <w:r>
        <w:rPr>
          <w:color w:val="000000"/>
          <w:szCs w:val="21"/>
        </w:rPr>
        <w:t xml:space="preserve">området tilldelade arbetsgruppen de </w:t>
      </w:r>
      <w:r w:rsidR="00E450E9">
        <w:rPr>
          <w:color w:val="000000"/>
          <w:szCs w:val="21"/>
        </w:rPr>
        <w:t>högre</w:t>
      </w:r>
      <w:r>
        <w:rPr>
          <w:color w:val="000000"/>
          <w:szCs w:val="21"/>
        </w:rPr>
        <w:t xml:space="preserve"> projektbidragen om 200 000 kronor till koreograferna Mårten Spångbergs projekt </w:t>
      </w:r>
      <w:r w:rsidRPr="00C03C2C">
        <w:rPr>
          <w:i/>
          <w:color w:val="000000"/>
          <w:szCs w:val="21"/>
        </w:rPr>
        <w:t>”</w:t>
      </w:r>
      <w:r>
        <w:rPr>
          <w:i/>
          <w:color w:val="000000"/>
          <w:szCs w:val="21"/>
        </w:rPr>
        <w:t xml:space="preserve">The force, the </w:t>
      </w:r>
      <w:proofErr w:type="spellStart"/>
      <w:r>
        <w:rPr>
          <w:i/>
          <w:color w:val="000000"/>
          <w:szCs w:val="21"/>
        </w:rPr>
        <w:t>Movie</w:t>
      </w:r>
      <w:proofErr w:type="spellEnd"/>
      <w:r>
        <w:rPr>
          <w:i/>
          <w:color w:val="000000"/>
          <w:szCs w:val="21"/>
        </w:rPr>
        <w:t xml:space="preserve">, the </w:t>
      </w:r>
      <w:proofErr w:type="spellStart"/>
      <w:r>
        <w:rPr>
          <w:i/>
          <w:color w:val="000000"/>
          <w:szCs w:val="21"/>
        </w:rPr>
        <w:t>V</w:t>
      </w:r>
      <w:r w:rsidRPr="00C03C2C">
        <w:rPr>
          <w:i/>
          <w:color w:val="000000"/>
          <w:szCs w:val="21"/>
        </w:rPr>
        <w:t>ague</w:t>
      </w:r>
      <w:proofErr w:type="spellEnd"/>
      <w:r w:rsidRPr="00C03C2C">
        <w:rPr>
          <w:i/>
          <w:color w:val="000000"/>
          <w:szCs w:val="21"/>
        </w:rPr>
        <w:t>”</w:t>
      </w:r>
      <w:r w:rsidR="009B0014">
        <w:rPr>
          <w:color w:val="000000"/>
          <w:szCs w:val="21"/>
        </w:rPr>
        <w:t xml:space="preserve"> och till</w:t>
      </w:r>
      <w:r>
        <w:rPr>
          <w:color w:val="000000"/>
          <w:szCs w:val="21"/>
        </w:rPr>
        <w:t xml:space="preserve"> Malin </w:t>
      </w:r>
      <w:proofErr w:type="spellStart"/>
      <w:r>
        <w:rPr>
          <w:color w:val="000000"/>
          <w:szCs w:val="21"/>
        </w:rPr>
        <w:t>Elgans</w:t>
      </w:r>
      <w:proofErr w:type="spellEnd"/>
      <w:r w:rsidR="009B0014">
        <w:rPr>
          <w:color w:val="000000"/>
          <w:szCs w:val="21"/>
        </w:rPr>
        <w:t xml:space="preserve"> </w:t>
      </w:r>
      <w:r w:rsidRPr="00C03C2C">
        <w:rPr>
          <w:i/>
          <w:color w:val="000000"/>
          <w:szCs w:val="21"/>
        </w:rPr>
        <w:t>”Kostymfilm</w:t>
      </w:r>
      <w:r w:rsidR="009B0014">
        <w:rPr>
          <w:i/>
          <w:color w:val="000000"/>
          <w:szCs w:val="21"/>
        </w:rPr>
        <w:t>”</w:t>
      </w:r>
      <w:r w:rsidR="009B0014">
        <w:rPr>
          <w:color w:val="000000"/>
          <w:szCs w:val="21"/>
        </w:rPr>
        <w:t xml:space="preserve">. </w:t>
      </w:r>
      <w:r w:rsidR="008C305C">
        <w:rPr>
          <w:color w:val="000000"/>
          <w:szCs w:val="21"/>
        </w:rPr>
        <w:t>Arbetsgruppen valde att förd</w:t>
      </w:r>
      <w:r w:rsidR="008C305C" w:rsidRPr="008C305C">
        <w:rPr>
          <w:color w:val="000000"/>
          <w:szCs w:val="21"/>
        </w:rPr>
        <w:t xml:space="preserve">ela </w:t>
      </w:r>
      <w:r w:rsidR="008C305C">
        <w:rPr>
          <w:color w:val="000000"/>
          <w:szCs w:val="21"/>
        </w:rPr>
        <w:t xml:space="preserve">hela </w:t>
      </w:r>
      <w:r w:rsidR="008C305C" w:rsidRPr="008C305C">
        <w:rPr>
          <w:color w:val="000000"/>
          <w:szCs w:val="21"/>
        </w:rPr>
        <w:t xml:space="preserve">25 arbetsstipendier om 70 000 </w:t>
      </w:r>
      <w:r w:rsidR="008C305C">
        <w:rPr>
          <w:color w:val="000000"/>
          <w:szCs w:val="21"/>
        </w:rPr>
        <w:t xml:space="preserve">kronor vardera </w:t>
      </w:r>
      <w:r w:rsidR="008C305C" w:rsidRPr="008C305C">
        <w:rPr>
          <w:color w:val="000000"/>
          <w:szCs w:val="21"/>
        </w:rPr>
        <w:t>till dansare och koreografer</w:t>
      </w:r>
      <w:r w:rsidR="008C305C">
        <w:rPr>
          <w:i/>
          <w:color w:val="000000"/>
          <w:szCs w:val="21"/>
        </w:rPr>
        <w:t>.</w:t>
      </w:r>
    </w:p>
    <w:p w:rsidR="00C03C2C" w:rsidRDefault="00C03C2C" w:rsidP="003F2094">
      <w:pPr>
        <w:spacing w:line="240" w:lineRule="auto"/>
        <w:rPr>
          <w:color w:val="000000"/>
          <w:szCs w:val="21"/>
        </w:rPr>
      </w:pPr>
      <w:r>
        <w:rPr>
          <w:color w:val="000000"/>
          <w:szCs w:val="21"/>
        </w:rPr>
        <w:lastRenderedPageBreak/>
        <w:t>Inom teater</w:t>
      </w:r>
      <w:r w:rsidR="00F847E2">
        <w:rPr>
          <w:color w:val="000000"/>
          <w:szCs w:val="21"/>
        </w:rPr>
        <w:t xml:space="preserve"> fördelade</w:t>
      </w:r>
      <w:r w:rsidR="009B0014">
        <w:rPr>
          <w:color w:val="000000"/>
          <w:szCs w:val="21"/>
        </w:rPr>
        <w:t xml:space="preserve"> arbetsgruppen de större projektbidragen </w:t>
      </w:r>
      <w:r w:rsidR="009B0014" w:rsidRPr="00C03C2C">
        <w:rPr>
          <w:color w:val="000000"/>
          <w:szCs w:val="21"/>
        </w:rPr>
        <w:t>till nycirkus</w:t>
      </w:r>
      <w:r w:rsidR="009B0014">
        <w:rPr>
          <w:color w:val="000000"/>
          <w:szCs w:val="21"/>
        </w:rPr>
        <w:t>regissören</w:t>
      </w:r>
      <w:r w:rsidR="009B0014" w:rsidRPr="00C03C2C">
        <w:rPr>
          <w:color w:val="000000"/>
          <w:szCs w:val="21"/>
        </w:rPr>
        <w:t xml:space="preserve"> Marie-André </w:t>
      </w:r>
      <w:proofErr w:type="spellStart"/>
      <w:r w:rsidR="009B0014" w:rsidRPr="00C03C2C">
        <w:rPr>
          <w:color w:val="000000"/>
          <w:szCs w:val="21"/>
        </w:rPr>
        <w:t>Robitailles</w:t>
      </w:r>
      <w:proofErr w:type="spellEnd"/>
      <w:r w:rsidR="009B0014" w:rsidRPr="00C03C2C">
        <w:rPr>
          <w:color w:val="000000"/>
          <w:szCs w:val="21"/>
        </w:rPr>
        <w:t xml:space="preserve"> projekt </w:t>
      </w:r>
      <w:r w:rsidR="009B0014">
        <w:rPr>
          <w:i/>
          <w:color w:val="000000"/>
          <w:szCs w:val="21"/>
        </w:rPr>
        <w:t xml:space="preserve">”The </w:t>
      </w:r>
      <w:proofErr w:type="spellStart"/>
      <w:r w:rsidR="009B0014">
        <w:rPr>
          <w:i/>
          <w:color w:val="000000"/>
          <w:szCs w:val="21"/>
        </w:rPr>
        <w:t>Gynoîde</w:t>
      </w:r>
      <w:proofErr w:type="spellEnd"/>
      <w:r w:rsidR="009B0014" w:rsidRPr="009B0014">
        <w:rPr>
          <w:color w:val="000000"/>
          <w:szCs w:val="21"/>
        </w:rPr>
        <w:t>” och</w:t>
      </w:r>
      <w:r w:rsidR="009B0014">
        <w:rPr>
          <w:color w:val="000000"/>
          <w:szCs w:val="21"/>
        </w:rPr>
        <w:t xml:space="preserve"> Anders Wiréns uppsättning av </w:t>
      </w:r>
      <w:r w:rsidR="009B0014" w:rsidRPr="009B0014">
        <w:rPr>
          <w:i/>
          <w:color w:val="000000"/>
          <w:szCs w:val="21"/>
        </w:rPr>
        <w:t>”</w:t>
      </w:r>
      <w:proofErr w:type="spellStart"/>
      <w:r w:rsidR="009B0014">
        <w:rPr>
          <w:i/>
          <w:color w:val="000000"/>
          <w:szCs w:val="21"/>
        </w:rPr>
        <w:t>Timvikarien</w:t>
      </w:r>
      <w:r w:rsidR="00757EF8">
        <w:rPr>
          <w:i/>
          <w:color w:val="000000"/>
          <w:szCs w:val="21"/>
        </w:rPr>
        <w:t>-</w:t>
      </w:r>
      <w:proofErr w:type="spellEnd"/>
      <w:r w:rsidR="00757EF8" w:rsidRPr="00757EF8">
        <w:rPr>
          <w:i/>
          <w:color w:val="000000"/>
          <w:szCs w:val="21"/>
        </w:rPr>
        <w:t xml:space="preserve"> </w:t>
      </w:r>
      <w:r w:rsidR="00757EF8">
        <w:rPr>
          <w:i/>
          <w:color w:val="000000"/>
          <w:szCs w:val="21"/>
        </w:rPr>
        <w:t>en h</w:t>
      </w:r>
      <w:r w:rsidR="00757EF8" w:rsidRPr="009B0014">
        <w:rPr>
          <w:i/>
          <w:color w:val="000000"/>
          <w:szCs w:val="21"/>
        </w:rPr>
        <w:t>emtjänstopera</w:t>
      </w:r>
      <w:r w:rsidR="009B0014">
        <w:rPr>
          <w:i/>
          <w:color w:val="000000"/>
          <w:szCs w:val="21"/>
        </w:rPr>
        <w:t xml:space="preserve">”. </w:t>
      </w:r>
      <w:r w:rsidR="009B0014" w:rsidRPr="009B0014">
        <w:rPr>
          <w:color w:val="000000"/>
          <w:szCs w:val="21"/>
        </w:rPr>
        <w:t xml:space="preserve">Man fördelade också </w:t>
      </w:r>
      <w:r w:rsidR="009B0014">
        <w:rPr>
          <w:color w:val="000000"/>
          <w:szCs w:val="21"/>
        </w:rPr>
        <w:t xml:space="preserve">närmare 1 miljon kronor </w:t>
      </w:r>
      <w:r w:rsidR="00E450E9">
        <w:rPr>
          <w:color w:val="000000"/>
          <w:szCs w:val="21"/>
        </w:rPr>
        <w:t>till sexton</w:t>
      </w:r>
      <w:r w:rsidR="009B0014" w:rsidRPr="009B0014">
        <w:rPr>
          <w:color w:val="000000"/>
          <w:szCs w:val="21"/>
        </w:rPr>
        <w:t xml:space="preserve"> målinriktade arbetsstipendier för</w:t>
      </w:r>
      <w:r w:rsidR="00E450E9">
        <w:rPr>
          <w:color w:val="000000"/>
          <w:szCs w:val="21"/>
        </w:rPr>
        <w:t xml:space="preserve"> olika</w:t>
      </w:r>
      <w:r w:rsidR="009B0014" w:rsidRPr="009B0014">
        <w:rPr>
          <w:color w:val="000000"/>
          <w:szCs w:val="21"/>
        </w:rPr>
        <w:t xml:space="preserve"> utvecklings- och researcharbeten</w:t>
      </w:r>
      <w:r w:rsidR="00E450E9">
        <w:rPr>
          <w:color w:val="000000"/>
          <w:szCs w:val="21"/>
        </w:rPr>
        <w:t>. De gick</w:t>
      </w:r>
      <w:r w:rsidR="009B0014" w:rsidRPr="009B0014">
        <w:rPr>
          <w:color w:val="000000"/>
          <w:szCs w:val="21"/>
        </w:rPr>
        <w:t xml:space="preserve"> </w:t>
      </w:r>
      <w:proofErr w:type="spellStart"/>
      <w:r w:rsidR="009B0014" w:rsidRPr="009B0014">
        <w:rPr>
          <w:color w:val="000000"/>
          <w:szCs w:val="21"/>
        </w:rPr>
        <w:t>bl</w:t>
      </w:r>
      <w:proofErr w:type="spellEnd"/>
      <w:r w:rsidR="009B0014" w:rsidRPr="009B0014">
        <w:rPr>
          <w:color w:val="000000"/>
          <w:szCs w:val="21"/>
        </w:rPr>
        <w:t xml:space="preserve"> a </w:t>
      </w:r>
      <w:r w:rsidR="00E450E9">
        <w:rPr>
          <w:color w:val="000000"/>
          <w:szCs w:val="21"/>
        </w:rPr>
        <w:t xml:space="preserve">till skådespelaren </w:t>
      </w:r>
      <w:r w:rsidR="009B0014" w:rsidRPr="009B0014">
        <w:rPr>
          <w:color w:val="000000"/>
          <w:szCs w:val="21"/>
        </w:rPr>
        <w:t>Anna Lyon</w:t>
      </w:r>
      <w:r w:rsidR="00E450E9">
        <w:rPr>
          <w:color w:val="000000"/>
          <w:szCs w:val="21"/>
        </w:rPr>
        <w:t xml:space="preserve"> för eget arbete med en ny Strindbergföreställning, dockspelaren Silvia Bergman för en fortsatt utveckling av en dockföreställning och till konstnärliga ledaren Manal Masri för att utveckla Teater Foratts verksamhet.</w:t>
      </w:r>
    </w:p>
    <w:p w:rsidR="00F263D6" w:rsidRDefault="003F2094" w:rsidP="003F2094">
      <w:pPr>
        <w:spacing w:line="240" w:lineRule="auto"/>
        <w:rPr>
          <w:color w:val="000000"/>
          <w:szCs w:val="21"/>
        </w:rPr>
      </w:pPr>
      <w:r w:rsidRPr="00F767AA">
        <w:rPr>
          <w:color w:val="000000"/>
          <w:szCs w:val="21"/>
        </w:rPr>
        <w:t xml:space="preserve">En del av stipendiaterna är i början av sin konstnärliga bana, </w:t>
      </w:r>
      <w:r w:rsidR="00EE3E44">
        <w:rPr>
          <w:color w:val="000000"/>
          <w:szCs w:val="21"/>
        </w:rPr>
        <w:t>medan andra har lång erfarenhet.</w:t>
      </w:r>
      <w:r w:rsidR="00C03C2C">
        <w:rPr>
          <w:color w:val="000000"/>
          <w:szCs w:val="21"/>
        </w:rPr>
        <w:t xml:space="preserve"> </w:t>
      </w:r>
      <w:r w:rsidRPr="00F767AA">
        <w:rPr>
          <w:color w:val="000000"/>
          <w:szCs w:val="21"/>
        </w:rPr>
        <w:t xml:space="preserve">Det var </w:t>
      </w:r>
      <w:r w:rsidR="00C03C2C">
        <w:rPr>
          <w:color w:val="000000"/>
          <w:szCs w:val="21"/>
        </w:rPr>
        <w:t xml:space="preserve">totalt </w:t>
      </w:r>
      <w:r w:rsidRPr="00F767AA">
        <w:rPr>
          <w:color w:val="000000"/>
          <w:szCs w:val="21"/>
        </w:rPr>
        <w:t>en något större andel kvinnor som ansökte</w:t>
      </w:r>
      <w:r w:rsidR="00C03C2C">
        <w:rPr>
          <w:color w:val="000000"/>
          <w:szCs w:val="21"/>
        </w:rPr>
        <w:t xml:space="preserve">; </w:t>
      </w:r>
      <w:proofErr w:type="gramStart"/>
      <w:r w:rsidR="00C03C2C">
        <w:rPr>
          <w:color w:val="000000"/>
          <w:szCs w:val="21"/>
        </w:rPr>
        <w:t>58%</w:t>
      </w:r>
      <w:proofErr w:type="gramEnd"/>
      <w:r w:rsidR="00C03C2C">
        <w:rPr>
          <w:color w:val="000000"/>
          <w:szCs w:val="21"/>
        </w:rPr>
        <w:t xml:space="preserve"> kvinnor och 42 % män. </w:t>
      </w:r>
      <w:r w:rsidR="009C00CF">
        <w:rPr>
          <w:color w:val="000000"/>
          <w:szCs w:val="21"/>
        </w:rPr>
        <w:t xml:space="preserve">Antalet fördelade stöd könsmässigt blev </w:t>
      </w:r>
      <w:r w:rsidR="00C03C2C">
        <w:rPr>
          <w:color w:val="000000"/>
          <w:szCs w:val="21"/>
        </w:rPr>
        <w:t>för teater</w:t>
      </w:r>
      <w:r w:rsidR="009C00CF">
        <w:rPr>
          <w:color w:val="000000"/>
          <w:szCs w:val="21"/>
        </w:rPr>
        <w:t>området</w:t>
      </w:r>
      <w:r w:rsidR="00C03C2C">
        <w:rPr>
          <w:color w:val="000000"/>
          <w:szCs w:val="21"/>
        </w:rPr>
        <w:t xml:space="preserve"> </w:t>
      </w:r>
      <w:proofErr w:type="gramStart"/>
      <w:r w:rsidR="00C03C2C">
        <w:rPr>
          <w:color w:val="000000"/>
          <w:szCs w:val="21"/>
        </w:rPr>
        <w:t>58%</w:t>
      </w:r>
      <w:proofErr w:type="gramEnd"/>
      <w:r w:rsidR="00C03C2C">
        <w:rPr>
          <w:color w:val="000000"/>
          <w:szCs w:val="21"/>
        </w:rPr>
        <w:t xml:space="preserve"> kv</w:t>
      </w:r>
      <w:r w:rsidR="009C00CF">
        <w:rPr>
          <w:color w:val="000000"/>
          <w:szCs w:val="21"/>
        </w:rPr>
        <w:t>innor</w:t>
      </w:r>
      <w:r w:rsidR="00C03C2C">
        <w:rPr>
          <w:color w:val="000000"/>
          <w:szCs w:val="21"/>
        </w:rPr>
        <w:t xml:space="preserve"> och 42% m</w:t>
      </w:r>
      <w:r w:rsidR="009C00CF">
        <w:rPr>
          <w:color w:val="000000"/>
          <w:szCs w:val="21"/>
        </w:rPr>
        <w:t>än</w:t>
      </w:r>
      <w:r w:rsidR="00C03C2C">
        <w:rPr>
          <w:color w:val="000000"/>
          <w:szCs w:val="21"/>
        </w:rPr>
        <w:t xml:space="preserve">, </w:t>
      </w:r>
      <w:r w:rsidRPr="00F767AA">
        <w:rPr>
          <w:color w:val="000000"/>
          <w:szCs w:val="21"/>
        </w:rPr>
        <w:t xml:space="preserve"> </w:t>
      </w:r>
      <w:r w:rsidR="009C00CF">
        <w:rPr>
          <w:color w:val="000000"/>
          <w:szCs w:val="21"/>
        </w:rPr>
        <w:t xml:space="preserve">till </w:t>
      </w:r>
      <w:r w:rsidRPr="00F767AA">
        <w:rPr>
          <w:color w:val="000000"/>
          <w:szCs w:val="21"/>
        </w:rPr>
        <w:t xml:space="preserve">dansområdet </w:t>
      </w:r>
      <w:r w:rsidR="009C00CF">
        <w:rPr>
          <w:color w:val="000000"/>
          <w:szCs w:val="21"/>
        </w:rPr>
        <w:t>68% kvinnor och 32%  män</w:t>
      </w:r>
      <w:r w:rsidRPr="00F767AA">
        <w:rPr>
          <w:color w:val="000000"/>
          <w:szCs w:val="21"/>
        </w:rPr>
        <w:t xml:space="preserve"> </w:t>
      </w:r>
      <w:r w:rsidR="009C00CF">
        <w:rPr>
          <w:color w:val="000000"/>
          <w:szCs w:val="21"/>
        </w:rPr>
        <w:t xml:space="preserve">och inom </w:t>
      </w:r>
      <w:r w:rsidRPr="00F767AA">
        <w:rPr>
          <w:color w:val="000000"/>
          <w:szCs w:val="21"/>
        </w:rPr>
        <w:t xml:space="preserve">filmområdet </w:t>
      </w:r>
      <w:r w:rsidR="00EE3E44">
        <w:rPr>
          <w:color w:val="000000"/>
          <w:szCs w:val="21"/>
        </w:rPr>
        <w:t xml:space="preserve">46 </w:t>
      </w:r>
      <w:r w:rsidR="009C00CF">
        <w:rPr>
          <w:color w:val="000000"/>
          <w:szCs w:val="21"/>
        </w:rPr>
        <w:t>%</w:t>
      </w:r>
      <w:r w:rsidRPr="00F767AA">
        <w:rPr>
          <w:color w:val="000000"/>
          <w:szCs w:val="21"/>
        </w:rPr>
        <w:t xml:space="preserve"> </w:t>
      </w:r>
      <w:r w:rsidR="009C00CF" w:rsidRPr="00F767AA">
        <w:rPr>
          <w:color w:val="000000"/>
          <w:szCs w:val="21"/>
        </w:rPr>
        <w:t xml:space="preserve">kvinnor </w:t>
      </w:r>
      <w:r w:rsidR="009C00CF">
        <w:rPr>
          <w:color w:val="000000"/>
          <w:szCs w:val="21"/>
        </w:rPr>
        <w:t>och 54 % män.</w:t>
      </w:r>
      <w:r w:rsidR="00F263D6">
        <w:rPr>
          <w:color w:val="000000"/>
          <w:szCs w:val="21"/>
        </w:rPr>
        <w:br/>
      </w:r>
      <w:r w:rsidR="00EE3E44">
        <w:rPr>
          <w:color w:val="000000"/>
          <w:szCs w:val="21"/>
        </w:rPr>
        <w:t xml:space="preserve">Se länk om mer </w:t>
      </w:r>
      <w:r w:rsidR="009C65D2">
        <w:rPr>
          <w:color w:val="000000"/>
          <w:szCs w:val="21"/>
        </w:rPr>
        <w:t>statistik</w:t>
      </w:r>
      <w:r w:rsidR="00F263D6">
        <w:rPr>
          <w:color w:val="000000"/>
          <w:szCs w:val="21"/>
        </w:rPr>
        <w:t>:</w:t>
      </w:r>
      <w:r w:rsidR="00F263D6">
        <w:rPr>
          <w:color w:val="000000"/>
          <w:szCs w:val="21"/>
        </w:rPr>
        <w:br/>
      </w:r>
      <w:hyperlink r:id="rId10" w:history="1">
        <w:r w:rsidR="00F263D6" w:rsidRPr="00F263D6">
          <w:rPr>
            <w:rStyle w:val="Hyperlnk"/>
            <w:szCs w:val="21"/>
          </w:rPr>
          <w:t xml:space="preserve">Statistik fördelning </w:t>
        </w:r>
        <w:proofErr w:type="spellStart"/>
        <w:r w:rsidR="00F263D6" w:rsidRPr="00F263D6">
          <w:rPr>
            <w:rStyle w:val="Hyperlnk"/>
            <w:szCs w:val="21"/>
          </w:rPr>
          <w:t>män-kvinnor</w:t>
        </w:r>
        <w:proofErr w:type="spellEnd"/>
        <w:r w:rsidR="00F263D6" w:rsidRPr="00F263D6">
          <w:rPr>
            <w:rStyle w:val="Hyperlnk"/>
            <w:szCs w:val="21"/>
          </w:rPr>
          <w:t xml:space="preserve"> teater, film, dans 2012</w:t>
        </w:r>
      </w:hyperlink>
    </w:p>
    <w:p w:rsidR="003F2094" w:rsidRDefault="003F2094" w:rsidP="003F2094">
      <w:pPr>
        <w:spacing w:line="240" w:lineRule="auto"/>
        <w:rPr>
          <w:color w:val="000000"/>
          <w:szCs w:val="21"/>
        </w:rPr>
      </w:pPr>
      <w:r w:rsidRPr="00F767AA">
        <w:rPr>
          <w:color w:val="000000"/>
          <w:szCs w:val="21"/>
        </w:rPr>
        <w:br/>
        <w:t>Arbetsstipendier är Konstnärsnämndens stöd till konstnärers allmänna verksamhet och syftar till att förbättra möjligheterna att fördjupa sig och vidareutvecklas i sitt yrke. De målinriktade arbetsstipendierna är ekonomiskt stöd för en specifik arbetsuppgift som konstnären planerar</w:t>
      </w:r>
      <w:r w:rsidR="00EE3E44">
        <w:rPr>
          <w:color w:val="000000"/>
          <w:szCs w:val="21"/>
        </w:rPr>
        <w:t xml:space="preserve"> själv</w:t>
      </w:r>
      <w:r w:rsidRPr="00F767AA">
        <w:rPr>
          <w:color w:val="000000"/>
          <w:szCs w:val="21"/>
        </w:rPr>
        <w:t xml:space="preserve">. Projektbidragen avser ofta mer omfattande arbeten som även </w:t>
      </w:r>
      <w:r w:rsidR="00EE3E44">
        <w:rPr>
          <w:color w:val="000000"/>
          <w:szCs w:val="21"/>
        </w:rPr>
        <w:t xml:space="preserve">kan inbegripa andra medverkande. </w:t>
      </w:r>
      <w:r>
        <w:rPr>
          <w:color w:val="000000"/>
          <w:szCs w:val="21"/>
        </w:rPr>
        <w:br/>
      </w:r>
    </w:p>
    <w:p w:rsidR="00FC2D15" w:rsidRPr="00F767AA" w:rsidRDefault="003F2094" w:rsidP="003F2094">
      <w:pPr>
        <w:spacing w:line="240" w:lineRule="auto"/>
        <w:rPr>
          <w:color w:val="000000"/>
          <w:szCs w:val="21"/>
        </w:rPr>
      </w:pPr>
      <w:r w:rsidRPr="00F767AA">
        <w:rPr>
          <w:color w:val="000000"/>
          <w:szCs w:val="21"/>
        </w:rPr>
        <w:t>Beslut</w:t>
      </w:r>
      <w:r w:rsidR="00E450E9">
        <w:rPr>
          <w:color w:val="000000"/>
          <w:szCs w:val="21"/>
        </w:rPr>
        <w:t>en</w:t>
      </w:r>
      <w:r w:rsidRPr="00F767AA">
        <w:rPr>
          <w:color w:val="000000"/>
          <w:szCs w:val="21"/>
        </w:rPr>
        <w:t xml:space="preserve"> om arbetsstipendier och projektbidrag fattas av Konstnärsnämndens arbetsgrupp för teater-, dans- och filmkonstnärer som består av 12 personer som är yrkesverksamma inom teater-, dans- och filmområdet. </w:t>
      </w:r>
      <w:r w:rsidR="00EE3E44">
        <w:rPr>
          <w:color w:val="000000"/>
          <w:szCs w:val="21"/>
        </w:rPr>
        <w:t xml:space="preserve">Vilka som nu är representerade i </w:t>
      </w:r>
      <w:r w:rsidR="00EE3E44" w:rsidRPr="00F767AA">
        <w:rPr>
          <w:color w:val="000000"/>
          <w:szCs w:val="21"/>
        </w:rPr>
        <w:t>arbetsgruppen</w:t>
      </w:r>
      <w:r w:rsidR="00EE3E44">
        <w:rPr>
          <w:color w:val="000000"/>
          <w:szCs w:val="21"/>
        </w:rPr>
        <w:t xml:space="preserve"> </w:t>
      </w:r>
      <w:r w:rsidRPr="00F767AA">
        <w:rPr>
          <w:color w:val="000000"/>
          <w:szCs w:val="21"/>
        </w:rPr>
        <w:t>finns att lä</w:t>
      </w:r>
      <w:r w:rsidR="00FC2D15">
        <w:rPr>
          <w:color w:val="000000"/>
          <w:szCs w:val="21"/>
        </w:rPr>
        <w:t xml:space="preserve">sa </w:t>
      </w:r>
      <w:r w:rsidR="00EE3E44">
        <w:rPr>
          <w:color w:val="000000"/>
          <w:szCs w:val="21"/>
        </w:rPr>
        <w:t>här</w:t>
      </w:r>
      <w:r w:rsidR="00FC2D15">
        <w:rPr>
          <w:color w:val="000000"/>
          <w:szCs w:val="21"/>
        </w:rPr>
        <w:t>:</w:t>
      </w:r>
      <w:r w:rsidR="00F263D6">
        <w:rPr>
          <w:color w:val="000000"/>
          <w:szCs w:val="21"/>
        </w:rPr>
        <w:t xml:space="preserve"> </w:t>
      </w:r>
      <w:hyperlink r:id="rId11" w:history="1">
        <w:r w:rsidR="00FC2D15" w:rsidRPr="00CF3609">
          <w:rPr>
            <w:rStyle w:val="Hyperlnk"/>
            <w:szCs w:val="21"/>
          </w:rPr>
          <w:t>http://www.konstnarsnamnden.se/default.aspx?id=11882</w:t>
        </w:r>
      </w:hyperlink>
      <w:r w:rsidR="00FC2D15">
        <w:rPr>
          <w:color w:val="000000"/>
          <w:szCs w:val="21"/>
        </w:rPr>
        <w:t xml:space="preserve"> </w:t>
      </w:r>
    </w:p>
    <w:p w:rsidR="003F2094" w:rsidRDefault="003F2094" w:rsidP="003F2094">
      <w:pPr>
        <w:pStyle w:val="NormalEnkel"/>
      </w:pPr>
    </w:p>
    <w:p w:rsidR="003F2094" w:rsidRPr="00F767AA" w:rsidRDefault="003F2094" w:rsidP="003F2094">
      <w:pPr>
        <w:pStyle w:val="NormalEnkel"/>
      </w:pPr>
      <w:r w:rsidRPr="005A6B0F">
        <w:t>Kontaktinformation:</w:t>
      </w:r>
    </w:p>
    <w:p w:rsidR="003F2094" w:rsidRPr="00F767AA" w:rsidRDefault="003F2094" w:rsidP="003F2094">
      <w:pPr>
        <w:pStyle w:val="NormalEnkel"/>
      </w:pPr>
      <w:r w:rsidRPr="00F767AA">
        <w:t>Tina Pettersson</w:t>
      </w:r>
    </w:p>
    <w:p w:rsidR="003F2094" w:rsidRPr="00F767AA" w:rsidRDefault="003F2094" w:rsidP="003F2094">
      <w:pPr>
        <w:pStyle w:val="NormalEnkel"/>
      </w:pPr>
      <w:r w:rsidRPr="00F767AA">
        <w:t>Handläggare</w:t>
      </w:r>
    </w:p>
    <w:p w:rsidR="003F2094" w:rsidRPr="00F767AA" w:rsidRDefault="003B2851" w:rsidP="003F2094">
      <w:pPr>
        <w:pStyle w:val="NormalEnkel"/>
      </w:pPr>
      <w:hyperlink r:id="rId12" w:history="1">
        <w:r w:rsidR="003F2094" w:rsidRPr="005E1AE2">
          <w:rPr>
            <w:rStyle w:val="Hyperlnk"/>
          </w:rPr>
          <w:t>tina.pettersson@konstnarsnamnden.se</w:t>
        </w:r>
      </w:hyperlink>
    </w:p>
    <w:p w:rsidR="003F2094" w:rsidRPr="00F767AA" w:rsidRDefault="003F2094" w:rsidP="003F2094">
      <w:pPr>
        <w:pStyle w:val="NormalEnkel"/>
      </w:pPr>
      <w:r w:rsidRPr="00F767AA">
        <w:t>Telefon (direkt) 08-506 550 58</w:t>
      </w:r>
      <w:r>
        <w:t>, 00</w:t>
      </w:r>
    </w:p>
    <w:p w:rsidR="00B143B5" w:rsidRDefault="003B2851">
      <w:hyperlink r:id="rId13" w:history="1">
        <w:r w:rsidR="00703D3C" w:rsidRPr="005E1AE2">
          <w:rPr>
            <w:rStyle w:val="Hyperlnk"/>
          </w:rPr>
          <w:t>www.konstnarsnamnden.se</w:t>
        </w:r>
      </w:hyperlink>
    </w:p>
    <w:sectPr w:rsidR="00B143B5" w:rsidSect="008D1FF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495" w:right="1531" w:bottom="1418" w:left="4082" w:header="1588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F4C" w:rsidRDefault="00AC7F4C" w:rsidP="001B1239">
      <w:pPr>
        <w:spacing w:after="0" w:line="240" w:lineRule="auto"/>
      </w:pPr>
      <w:r>
        <w:separator/>
      </w:r>
    </w:p>
  </w:endnote>
  <w:endnote w:type="continuationSeparator" w:id="0">
    <w:p w:rsidR="00AC7F4C" w:rsidRDefault="00AC7F4C" w:rsidP="001B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/>
    </w:tblPr>
    <w:tblGrid>
      <w:gridCol w:w="766"/>
      <w:gridCol w:w="5727"/>
      <w:gridCol w:w="765"/>
    </w:tblGrid>
    <w:tr w:rsidR="00F767AA" w:rsidTr="00F767AA">
      <w:tc>
        <w:tcPr>
          <w:tcW w:w="1134" w:type="dxa"/>
          <w:shd w:val="clear" w:color="auto" w:fill="auto"/>
          <w:vAlign w:val="bottom"/>
        </w:tcPr>
        <w:p w:rsidR="00F767AA" w:rsidRDefault="00AC7F4C">
          <w:pPr>
            <w:pStyle w:val="Sidfot"/>
          </w:pPr>
          <w:bookmarkStart w:id="3" w:name="xxSidfot2"/>
        </w:p>
      </w:tc>
      <w:tc>
        <w:tcPr>
          <w:tcW w:w="8505" w:type="dxa"/>
          <w:shd w:val="clear" w:color="auto" w:fill="auto"/>
          <w:vAlign w:val="bottom"/>
        </w:tcPr>
        <w:p w:rsidR="00F767AA" w:rsidRDefault="00AC7F4C">
          <w:pPr>
            <w:pStyle w:val="Sidfot"/>
            <w:jc w:val="left"/>
          </w:pPr>
        </w:p>
      </w:tc>
      <w:tc>
        <w:tcPr>
          <w:tcW w:w="1134" w:type="dxa"/>
          <w:shd w:val="clear" w:color="auto" w:fill="auto"/>
          <w:vAlign w:val="bottom"/>
        </w:tcPr>
        <w:p w:rsidR="00F767AA" w:rsidRDefault="00AC7F4C" w:rsidP="00741BA9">
          <w:pPr>
            <w:pStyle w:val="Sidfot"/>
          </w:pPr>
          <w:bookmarkStart w:id="4" w:name="xxSidnr2"/>
          <w:bookmarkEnd w:id="4"/>
        </w:p>
      </w:tc>
    </w:tr>
    <w:bookmarkEnd w:id="3"/>
  </w:tbl>
  <w:p w:rsidR="00F42DAC" w:rsidRDefault="00AC7F4C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/>
    </w:tblPr>
    <w:tblGrid>
      <w:gridCol w:w="766"/>
      <w:gridCol w:w="5727"/>
      <w:gridCol w:w="765"/>
    </w:tblGrid>
    <w:tr w:rsidR="00F767AA" w:rsidRPr="004D6541" w:rsidTr="00F767AA">
      <w:tc>
        <w:tcPr>
          <w:tcW w:w="1134" w:type="dxa"/>
          <w:shd w:val="clear" w:color="auto" w:fill="auto"/>
          <w:vAlign w:val="bottom"/>
        </w:tcPr>
        <w:p w:rsidR="00F767AA" w:rsidRPr="004D6541" w:rsidRDefault="00AC7F4C">
          <w:pPr>
            <w:pStyle w:val="Sidfot"/>
          </w:pPr>
          <w:bookmarkStart w:id="8" w:name="xxSidfot1"/>
        </w:p>
      </w:tc>
      <w:tc>
        <w:tcPr>
          <w:tcW w:w="8505" w:type="dxa"/>
          <w:shd w:val="clear" w:color="auto" w:fill="auto"/>
          <w:vAlign w:val="bottom"/>
        </w:tcPr>
        <w:p w:rsidR="00F767AA" w:rsidRPr="004D6541" w:rsidRDefault="00AC7F4C">
          <w:pPr>
            <w:pStyle w:val="Sidfot"/>
          </w:pPr>
          <w:bookmarkStart w:id="9" w:name="xxAdress1"/>
          <w:bookmarkEnd w:id="9"/>
        </w:p>
      </w:tc>
      <w:tc>
        <w:tcPr>
          <w:tcW w:w="1134" w:type="dxa"/>
          <w:shd w:val="clear" w:color="auto" w:fill="auto"/>
          <w:vAlign w:val="bottom"/>
        </w:tcPr>
        <w:p w:rsidR="00F767AA" w:rsidRPr="004D6541" w:rsidRDefault="00AC7F4C" w:rsidP="00741BA9">
          <w:pPr>
            <w:pStyle w:val="Sidfot"/>
          </w:pPr>
          <w:bookmarkStart w:id="10" w:name="xxSidnr1"/>
          <w:bookmarkEnd w:id="10"/>
        </w:p>
      </w:tc>
    </w:tr>
    <w:bookmarkEnd w:id="8"/>
  </w:tbl>
  <w:p w:rsidR="00F42DAC" w:rsidRDefault="00AC7F4C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F4C" w:rsidRDefault="00AC7F4C" w:rsidP="001B1239">
      <w:pPr>
        <w:spacing w:after="0" w:line="240" w:lineRule="auto"/>
      </w:pPr>
      <w:r>
        <w:separator/>
      </w:r>
    </w:p>
  </w:footnote>
  <w:footnote w:type="continuationSeparator" w:id="0">
    <w:p w:rsidR="00AC7F4C" w:rsidRDefault="00AC7F4C" w:rsidP="001B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/>
    </w:tblPr>
    <w:tblGrid>
      <w:gridCol w:w="3658"/>
      <w:gridCol w:w="6321"/>
    </w:tblGrid>
    <w:tr w:rsidR="00F767AA" w:rsidTr="00F767AA">
      <w:trPr>
        <w:trHeight w:val="964"/>
      </w:trPr>
      <w:tc>
        <w:tcPr>
          <w:tcW w:w="9979" w:type="dxa"/>
          <w:gridSpan w:val="2"/>
          <w:shd w:val="clear" w:color="auto" w:fill="auto"/>
        </w:tcPr>
        <w:p w:rsidR="00F767AA" w:rsidRDefault="00703D3C">
          <w:pPr>
            <w:pStyle w:val="Sidhuvud"/>
          </w:pPr>
          <w:bookmarkStart w:id="1" w:name="xxLogga2"/>
          <w:bookmarkStart w:id="2" w:name="xxTabellSid2"/>
          <w:bookmarkEnd w:id="1"/>
          <w:r>
            <w:rPr>
              <w:noProof/>
            </w:rPr>
            <w:drawing>
              <wp:inline distT="0" distB="0" distL="0" distR="0">
                <wp:extent cx="2329179" cy="284479"/>
                <wp:effectExtent l="19050" t="0" r="0" b="0"/>
                <wp:docPr id="4" name="Bild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9179" cy="284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767AA" w:rsidTr="00F767AA">
      <w:tc>
        <w:tcPr>
          <w:tcW w:w="3658" w:type="dxa"/>
          <w:shd w:val="clear" w:color="auto" w:fill="auto"/>
        </w:tcPr>
        <w:p w:rsidR="00F767AA" w:rsidRDefault="00AC7F4C">
          <w:pPr>
            <w:pStyle w:val="Sidhuvud"/>
            <w:jc w:val="right"/>
          </w:pPr>
        </w:p>
      </w:tc>
      <w:tc>
        <w:tcPr>
          <w:tcW w:w="6321" w:type="dxa"/>
          <w:shd w:val="clear" w:color="auto" w:fill="auto"/>
        </w:tcPr>
        <w:p w:rsidR="00F767AA" w:rsidRDefault="00AC7F4C">
          <w:pPr>
            <w:pStyle w:val="Sidhuvud"/>
            <w:jc w:val="right"/>
          </w:pPr>
        </w:p>
      </w:tc>
    </w:tr>
    <w:bookmarkEnd w:id="2"/>
  </w:tbl>
  <w:p w:rsidR="00F42DAC" w:rsidRDefault="00AC7F4C" w:rsidP="00453C00">
    <w:pPr>
      <w:pStyle w:val="Sidhuvud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/>
    </w:tblPr>
    <w:tblGrid>
      <w:gridCol w:w="3658"/>
      <w:gridCol w:w="6321"/>
    </w:tblGrid>
    <w:tr w:rsidR="00F767AA" w:rsidTr="00F767AA">
      <w:trPr>
        <w:trHeight w:val="907"/>
      </w:trPr>
      <w:tc>
        <w:tcPr>
          <w:tcW w:w="9979" w:type="dxa"/>
          <w:gridSpan w:val="2"/>
          <w:shd w:val="clear" w:color="auto" w:fill="auto"/>
        </w:tcPr>
        <w:p w:rsidR="00F767AA" w:rsidRDefault="00703D3C">
          <w:pPr>
            <w:pStyle w:val="Sidhuvud"/>
          </w:pPr>
          <w:bookmarkStart w:id="5" w:name="xxLogga1"/>
          <w:bookmarkStart w:id="6" w:name="xxTabellSid1"/>
          <w:bookmarkEnd w:id="5"/>
          <w:r>
            <w:rPr>
              <w:noProof/>
            </w:rPr>
            <w:drawing>
              <wp:inline distT="0" distB="0" distL="0" distR="0">
                <wp:extent cx="2329179" cy="284479"/>
                <wp:effectExtent l="19050" t="0" r="0" b="0"/>
                <wp:docPr id="3" name="Bild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9179" cy="284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7" w:name="Logga"/>
          <w:bookmarkEnd w:id="7"/>
        </w:p>
      </w:tc>
    </w:tr>
    <w:tr w:rsidR="00F767AA" w:rsidTr="00F767AA">
      <w:trPr>
        <w:trHeight w:hRule="exact" w:val="1701"/>
      </w:trPr>
      <w:tc>
        <w:tcPr>
          <w:tcW w:w="3658" w:type="dxa"/>
          <w:shd w:val="clear" w:color="auto" w:fill="auto"/>
        </w:tcPr>
        <w:p w:rsidR="00F767AA" w:rsidRDefault="00703D3C">
          <w:pPr>
            <w:pStyle w:val="Sidhuvud"/>
            <w:spacing w:before="60"/>
            <w:jc w:val="right"/>
          </w:pPr>
          <w:r>
            <w:rPr>
              <w:noProof/>
            </w:rPr>
            <w:drawing>
              <wp:inline distT="0" distB="0" distL="0" distR="0">
                <wp:extent cx="1133475" cy="981075"/>
                <wp:effectExtent l="19050" t="0" r="9525" b="0"/>
                <wp:docPr id="2" name="Bild 1" descr="KN_Brevmall_Adress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N_Brevmall_Adress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1" w:type="dxa"/>
          <w:shd w:val="clear" w:color="auto" w:fill="auto"/>
        </w:tcPr>
        <w:p w:rsidR="00F767AA" w:rsidRDefault="00AC7F4C">
          <w:pPr>
            <w:pStyle w:val="Sidhuvud"/>
            <w:jc w:val="right"/>
          </w:pPr>
        </w:p>
      </w:tc>
    </w:tr>
    <w:bookmarkEnd w:id="6"/>
  </w:tbl>
  <w:p w:rsidR="00F42DAC" w:rsidRPr="00C70539" w:rsidRDefault="00AC7F4C" w:rsidP="00C70539">
    <w:pPr>
      <w:pStyle w:val="Sidhuvud"/>
      <w:spacing w:line="240" w:lineRule="auto"/>
      <w:rPr>
        <w:sz w:val="4"/>
        <w:szCs w:val="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094"/>
    <w:rsid w:val="00037311"/>
    <w:rsid w:val="00117BC9"/>
    <w:rsid w:val="001B1239"/>
    <w:rsid w:val="001C78DD"/>
    <w:rsid w:val="00234FE6"/>
    <w:rsid w:val="00275075"/>
    <w:rsid w:val="00360725"/>
    <w:rsid w:val="003B2851"/>
    <w:rsid w:val="003F2094"/>
    <w:rsid w:val="0041616B"/>
    <w:rsid w:val="005A6B0F"/>
    <w:rsid w:val="00703D3C"/>
    <w:rsid w:val="00757EF8"/>
    <w:rsid w:val="00790D62"/>
    <w:rsid w:val="007961EB"/>
    <w:rsid w:val="007F2A5A"/>
    <w:rsid w:val="00867A2E"/>
    <w:rsid w:val="008C27EB"/>
    <w:rsid w:val="008C305C"/>
    <w:rsid w:val="008D185F"/>
    <w:rsid w:val="00914BFB"/>
    <w:rsid w:val="00933850"/>
    <w:rsid w:val="009B0014"/>
    <w:rsid w:val="009C00CF"/>
    <w:rsid w:val="009C65D2"/>
    <w:rsid w:val="00AA0E13"/>
    <w:rsid w:val="00AC7F4C"/>
    <w:rsid w:val="00BA5AAA"/>
    <w:rsid w:val="00C03C2C"/>
    <w:rsid w:val="00E450E9"/>
    <w:rsid w:val="00E55CDF"/>
    <w:rsid w:val="00EB3265"/>
    <w:rsid w:val="00EC38E7"/>
    <w:rsid w:val="00EE3E44"/>
    <w:rsid w:val="00F23595"/>
    <w:rsid w:val="00F263D6"/>
    <w:rsid w:val="00F51C2C"/>
    <w:rsid w:val="00F847E2"/>
    <w:rsid w:val="00FC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094"/>
    <w:pPr>
      <w:spacing w:after="120" w:line="270" w:lineRule="atLeast"/>
    </w:pPr>
    <w:rPr>
      <w:rFonts w:ascii="Times New Roman" w:eastAsia="Times New Roman" w:hAnsi="Times New Roman" w:cs="Times New Roman"/>
      <w:sz w:val="21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3F2094"/>
    <w:pPr>
      <w:spacing w:after="0" w:line="210" w:lineRule="atLeast"/>
    </w:pPr>
    <w:rPr>
      <w:rFonts w:ascii="Arial" w:hAnsi="Arial"/>
      <w:sz w:val="15"/>
    </w:rPr>
  </w:style>
  <w:style w:type="character" w:customStyle="1" w:styleId="SidhuvudChar">
    <w:name w:val="Sidhuvud Char"/>
    <w:basedOn w:val="Standardstycketeckensnitt"/>
    <w:link w:val="Sidhuvud"/>
    <w:rsid w:val="003F2094"/>
    <w:rPr>
      <w:rFonts w:ascii="Arial" w:eastAsia="Times New Roman" w:hAnsi="Arial" w:cs="Times New Roman"/>
      <w:sz w:val="15"/>
      <w:szCs w:val="24"/>
      <w:lang w:eastAsia="sv-SE"/>
    </w:rPr>
  </w:style>
  <w:style w:type="paragraph" w:styleId="Sidfot">
    <w:name w:val="footer"/>
    <w:basedOn w:val="Normal"/>
    <w:link w:val="SidfotChar"/>
    <w:rsid w:val="003F2094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rsid w:val="003F2094"/>
    <w:rPr>
      <w:rFonts w:ascii="Arial" w:eastAsia="Times New Roman" w:hAnsi="Arial" w:cs="Times New Roman"/>
      <w:sz w:val="16"/>
      <w:szCs w:val="24"/>
      <w:lang w:eastAsia="sv-SE"/>
    </w:rPr>
  </w:style>
  <w:style w:type="paragraph" w:customStyle="1" w:styleId="Rub1">
    <w:name w:val="Rub_1"/>
    <w:basedOn w:val="Normal"/>
    <w:next w:val="Normal"/>
    <w:autoRedefine/>
    <w:qFormat/>
    <w:rsid w:val="003F2094"/>
    <w:pPr>
      <w:keepNext/>
      <w:keepLines/>
      <w:tabs>
        <w:tab w:val="left" w:pos="1871"/>
      </w:tabs>
      <w:spacing w:before="360"/>
      <w:outlineLvl w:val="0"/>
    </w:pPr>
    <w:rPr>
      <w:b/>
      <w:caps/>
    </w:rPr>
  </w:style>
  <w:style w:type="character" w:styleId="Hyperlnk">
    <w:name w:val="Hyperlink"/>
    <w:basedOn w:val="Standardstycketeckensnitt"/>
    <w:rsid w:val="003F2094"/>
    <w:rPr>
      <w:color w:val="0000FF"/>
      <w:u w:val="single"/>
      <w:lang w:val="sv-SE"/>
    </w:rPr>
  </w:style>
  <w:style w:type="table" w:styleId="Tabellrutnt">
    <w:name w:val="Table Grid"/>
    <w:basedOn w:val="Normaltabell"/>
    <w:rsid w:val="003F2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nkel">
    <w:name w:val="NormalEnkel"/>
    <w:basedOn w:val="Normal"/>
    <w:rsid w:val="003F2094"/>
    <w:pPr>
      <w:spacing w:after="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F2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2094"/>
    <w:rPr>
      <w:rFonts w:ascii="Tahoma" w:eastAsia="Times New Roman" w:hAnsi="Tahoma" w:cs="Tahoma"/>
      <w:sz w:val="16"/>
      <w:szCs w:val="1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263D6"/>
    <w:pPr>
      <w:spacing w:before="120" w:after="240" w:line="240" w:lineRule="auto"/>
    </w:pPr>
    <w:rPr>
      <w:sz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117BC9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67A2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67A2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67A2E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67A2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67A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318">
                      <w:marLeft w:val="0"/>
                      <w:marRight w:val="0"/>
                      <w:marTop w:val="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tnarsnamnden.se/Sve/PDFer/Projektbidrag%20-Te%20Fi%20Da%202012.pdf" TargetMode="External"/><Relationship Id="rId13" Type="http://schemas.openxmlformats.org/officeDocument/2006/relationships/hyperlink" Target="http://www.konstnarsnamnden.s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onstnarsnamnden.se/Sve/PDFer/M%C3%A5linr.Arb.Stip%20te%20fi%20da%202012.pdf" TargetMode="External"/><Relationship Id="rId12" Type="http://schemas.openxmlformats.org/officeDocument/2006/relationships/hyperlink" Target="mailto:tina.pettersson@konstnarsnamnden.se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konstnarsnamnden.se/Sve/PDFer/Arbetsstipendium%20Te%20Fi%20Da%202012.pdf" TargetMode="External"/><Relationship Id="rId11" Type="http://schemas.openxmlformats.org/officeDocument/2006/relationships/hyperlink" Target="http://www.konstnarsnamnden.se/default.aspx?id=11882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file:///C:\Users\tinap\AppData\Local\Microsoft\Windows\Temporary%20Internet%20Files\Content.Outlook\Beslut-Protokoll\Statistik%20Te%20Fi%20Da%20f&#246;rdelning%20m&#228;n-kvinnor%202012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konstnarsnamnden.se/Sve/PDFer/Bifall%20alla%20AR-MR-PR%20te%20fi%20da%202012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Pettersson</dc:creator>
  <cp:lastModifiedBy>Tina Pettersson</cp:lastModifiedBy>
  <cp:revision>4</cp:revision>
  <cp:lastPrinted>2012-02-23T15:39:00Z</cp:lastPrinted>
  <dcterms:created xsi:type="dcterms:W3CDTF">2012-02-23T15:37:00Z</dcterms:created>
  <dcterms:modified xsi:type="dcterms:W3CDTF">2012-02-23T15:39:00Z</dcterms:modified>
</cp:coreProperties>
</file>