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48" w:rsidRDefault="00943F48" w:rsidP="00943F48">
      <w:pPr>
        <w:pStyle w:val="Overskrift2"/>
        <w:jc w:val="right"/>
      </w:pPr>
      <w:r w:rsidRPr="00DA35BF">
        <w:rPr>
          <w:rFonts w:ascii="Calibri" w:hAnsi="Calibri"/>
          <w:noProof/>
          <w:lang w:eastAsia="nb-NO"/>
        </w:rPr>
        <w:drawing>
          <wp:inline distT="0" distB="0" distL="0" distR="0" wp14:anchorId="42B9F34C" wp14:editId="72B78EC9">
            <wp:extent cx="1571625" cy="314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F6F" w:rsidRDefault="00476F6F" w:rsidP="004D5DBA">
      <w:pPr>
        <w:pStyle w:val="Overskrift2"/>
      </w:pPr>
    </w:p>
    <w:p w:rsidR="00476F6F" w:rsidRPr="005E4DFE" w:rsidRDefault="00476F6F" w:rsidP="00476F6F">
      <w:pPr>
        <w:rPr>
          <w:rFonts w:ascii="Calibri" w:hAnsi="Calibri"/>
        </w:rPr>
      </w:pPr>
      <w:r w:rsidRPr="005E4DFE">
        <w:rPr>
          <w:rFonts w:ascii="Calibri" w:hAnsi="Calibri"/>
        </w:rPr>
        <w:t>LINDORFFANALYSEN UTGAVE 1, 2017</w:t>
      </w:r>
      <w:r w:rsidRPr="005E4DFE">
        <w:rPr>
          <w:rFonts w:ascii="Calibri" w:hAnsi="Calibri"/>
        </w:rPr>
        <w:br/>
      </w:r>
      <w:r w:rsidR="005E4DFE" w:rsidRPr="005E4DFE">
        <w:rPr>
          <w:rFonts w:ascii="Calibri" w:hAnsi="Calibri"/>
        </w:rPr>
        <w:t>Hordaland – fylkes- og kommuneoversikt</w:t>
      </w:r>
    </w:p>
    <w:p w:rsidR="004D5DBA" w:rsidRPr="005E4DFE" w:rsidRDefault="00325B8C" w:rsidP="004D5DBA">
      <w:pPr>
        <w:pStyle w:val="Overskrift2"/>
        <w:rPr>
          <w:rFonts w:ascii="Calibri" w:hAnsi="Calibri" w:cstheme="minorHAnsi"/>
          <w:b/>
          <w:color w:val="000000" w:themeColor="text1"/>
          <w:sz w:val="28"/>
          <w:szCs w:val="28"/>
        </w:rPr>
      </w:pPr>
      <w:r w:rsidRPr="005E4DFE">
        <w:rPr>
          <w:rFonts w:ascii="Calibri" w:hAnsi="Calibri" w:cstheme="minorHAnsi"/>
          <w:b/>
          <w:color w:val="000000" w:themeColor="text1"/>
          <w:sz w:val="28"/>
          <w:szCs w:val="28"/>
        </w:rPr>
        <w:t>Flere med</w:t>
      </w:r>
      <w:r w:rsidR="001262FB" w:rsidRPr="005E4DFE">
        <w:rPr>
          <w:rFonts w:ascii="Calibri" w:hAnsi="Calibri" w:cstheme="minorHAnsi"/>
          <w:b/>
          <w:color w:val="000000" w:themeColor="text1"/>
          <w:sz w:val="28"/>
          <w:szCs w:val="28"/>
        </w:rPr>
        <w:t xml:space="preserve"> betalingsproblemer i Hordaland</w:t>
      </w:r>
    </w:p>
    <w:p w:rsidR="00313F0F" w:rsidRDefault="004D5DBA" w:rsidP="004D5DBA">
      <w:pPr>
        <w:rPr>
          <w:rFonts w:ascii="Calibri" w:hAnsi="Calibri"/>
          <w:b/>
        </w:rPr>
      </w:pPr>
      <w:r>
        <w:br/>
      </w:r>
      <w:r w:rsidRPr="00D24AF8">
        <w:rPr>
          <w:rFonts w:ascii="Calibri" w:hAnsi="Calibri"/>
          <w:b/>
        </w:rPr>
        <w:t>Mens befolkningen som helhet klarer seg bedre, er det stadig flere på Sør-Vestlandet som sliter med betalingsproblemer</w:t>
      </w:r>
      <w:r w:rsidR="0008410A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>I Hordaland står rundt 20.000 personer oppført med betalingsanmerkning</w:t>
      </w:r>
      <w:r w:rsidR="003C5A7C">
        <w:rPr>
          <w:rFonts w:ascii="Calibri" w:hAnsi="Calibri"/>
          <w:b/>
        </w:rPr>
        <w:t xml:space="preserve">. De </w:t>
      </w:r>
      <w:r w:rsidR="0008410A">
        <w:rPr>
          <w:rFonts w:ascii="Calibri" w:hAnsi="Calibri"/>
          <w:b/>
        </w:rPr>
        <w:t xml:space="preserve">skylder </w:t>
      </w:r>
      <w:r w:rsidR="006F7602">
        <w:rPr>
          <w:rFonts w:ascii="Calibri" w:hAnsi="Calibri"/>
          <w:b/>
        </w:rPr>
        <w:t>i overkant av</w:t>
      </w:r>
      <w:r w:rsidR="00313F0F">
        <w:rPr>
          <w:rFonts w:ascii="Calibri" w:hAnsi="Calibri"/>
          <w:b/>
        </w:rPr>
        <w:t xml:space="preserve"> 3 milliarder kroner totalt. </w:t>
      </w:r>
    </w:p>
    <w:p w:rsidR="006515A3" w:rsidRDefault="0008410A" w:rsidP="004D5DBA">
      <w:pPr>
        <w:rPr>
          <w:rFonts w:ascii="Calibri" w:hAnsi="Calibri"/>
        </w:rPr>
      </w:pPr>
      <w:r>
        <w:rPr>
          <w:rFonts w:ascii="Calibri" w:hAnsi="Calibri"/>
        </w:rPr>
        <w:t xml:space="preserve">Det kommer frem i </w:t>
      </w:r>
      <w:proofErr w:type="spellStart"/>
      <w:r>
        <w:rPr>
          <w:rFonts w:ascii="Calibri" w:hAnsi="Calibri"/>
        </w:rPr>
        <w:t>Lindorffanalysen</w:t>
      </w:r>
      <w:proofErr w:type="spellEnd"/>
      <w:r w:rsidR="00324C59">
        <w:rPr>
          <w:rFonts w:ascii="Calibri" w:hAnsi="Calibri"/>
        </w:rPr>
        <w:t xml:space="preserve">, som </w:t>
      </w:r>
      <w:r w:rsidR="003D39DC" w:rsidRPr="00D24AF8">
        <w:rPr>
          <w:rFonts w:ascii="Calibri" w:hAnsi="Calibri"/>
        </w:rPr>
        <w:t>viser i hvilken grad</w:t>
      </w:r>
      <w:r w:rsidR="00324C59">
        <w:rPr>
          <w:rFonts w:ascii="Calibri" w:hAnsi="Calibri"/>
        </w:rPr>
        <w:t xml:space="preserve"> nordmenn gjør opp gjelden sin. Analysen </w:t>
      </w:r>
      <w:r w:rsidR="003D39DC" w:rsidRPr="00D24AF8">
        <w:rPr>
          <w:rFonts w:ascii="Calibri" w:hAnsi="Calibri"/>
        </w:rPr>
        <w:t>gir en oversikt over utviklingen innen betalingsanmerkninger</w:t>
      </w:r>
      <w:r w:rsidR="00324C59">
        <w:rPr>
          <w:rFonts w:ascii="Calibri" w:hAnsi="Calibri"/>
        </w:rPr>
        <w:t>; inkassokrav som ikke er betalt, etter gjentatte purringer</w:t>
      </w:r>
      <w:r w:rsidR="003D39DC" w:rsidRPr="00D24AF8">
        <w:rPr>
          <w:rFonts w:ascii="Calibri" w:hAnsi="Calibri"/>
        </w:rPr>
        <w:t xml:space="preserve">. </w:t>
      </w:r>
      <w:r w:rsidR="003D39DC" w:rsidRPr="00A45EE7">
        <w:rPr>
          <w:rFonts w:ascii="Calibri" w:hAnsi="Calibri"/>
          <w:u w:val="single"/>
        </w:rPr>
        <w:t>Alle tall gjelder for fjerde kvartal 2016, sammenlignet med tilsvarende periode foregående år.</w:t>
      </w:r>
      <w:r w:rsidR="003D39DC" w:rsidRPr="00D24AF8">
        <w:rPr>
          <w:rFonts w:ascii="Calibri" w:hAnsi="Calibri"/>
        </w:rPr>
        <w:t xml:space="preserve"> </w:t>
      </w:r>
    </w:p>
    <w:p w:rsidR="000B1EEF" w:rsidRDefault="006515A3" w:rsidP="004D5DBA">
      <w:pPr>
        <w:rPr>
          <w:rFonts w:ascii="Calibri" w:hAnsi="Calibri"/>
        </w:rPr>
      </w:pPr>
      <w:r>
        <w:rPr>
          <w:rFonts w:ascii="Calibri" w:hAnsi="Calibri"/>
          <w:b/>
        </w:rPr>
        <w:t>Blant</w:t>
      </w:r>
      <w:r w:rsidRPr="006515A3">
        <w:rPr>
          <w:rFonts w:ascii="Calibri" w:hAnsi="Calibri"/>
          <w:b/>
        </w:rPr>
        <w:t xml:space="preserve"> fylkene med dårligst utvikling</w:t>
      </w:r>
      <w:r>
        <w:rPr>
          <w:rFonts w:ascii="Calibri" w:hAnsi="Calibri"/>
        </w:rPr>
        <w:br/>
      </w:r>
      <w:r w:rsidR="00C130C6">
        <w:rPr>
          <w:rFonts w:ascii="Calibri" w:hAnsi="Calibri"/>
        </w:rPr>
        <w:t>Oljefylkene, med Rogaland og Vest-Agder i spissen, har landets mest negative utvikling når det gjelder antal</w:t>
      </w:r>
      <w:r w:rsidR="00445C24">
        <w:rPr>
          <w:rFonts w:ascii="Calibri" w:hAnsi="Calibri"/>
        </w:rPr>
        <w:t xml:space="preserve">l personer med betalingsanmerkninger – etterfulgt av </w:t>
      </w:r>
      <w:r w:rsidR="000B1EEF">
        <w:rPr>
          <w:rFonts w:ascii="Calibri" w:hAnsi="Calibri"/>
        </w:rPr>
        <w:t xml:space="preserve">Hordaland, som er nummer tre på denne lista. </w:t>
      </w:r>
    </w:p>
    <w:p w:rsidR="000C77E4" w:rsidRDefault="00D31F35" w:rsidP="004D5DBA">
      <w:pPr>
        <w:rPr>
          <w:rFonts w:ascii="Calibri" w:hAnsi="Calibri"/>
        </w:rPr>
      </w:pPr>
      <w:r>
        <w:rPr>
          <w:rFonts w:ascii="Calibri" w:hAnsi="Calibri"/>
        </w:rPr>
        <w:t>I Hordaland har</w:t>
      </w:r>
      <w:r w:rsidR="00AB6B5D">
        <w:rPr>
          <w:rFonts w:ascii="Calibri" w:hAnsi="Calibri"/>
        </w:rPr>
        <w:t xml:space="preserve"> 20.195 personer</w:t>
      </w:r>
      <w:r>
        <w:rPr>
          <w:rFonts w:ascii="Calibri" w:hAnsi="Calibri"/>
        </w:rPr>
        <w:t xml:space="preserve"> betalingsanmerkning</w:t>
      </w:r>
      <w:r w:rsidR="000B1EEF">
        <w:rPr>
          <w:rFonts w:ascii="Calibri" w:hAnsi="Calibri"/>
        </w:rPr>
        <w:t>, noe som er</w:t>
      </w:r>
      <w:r>
        <w:rPr>
          <w:rFonts w:ascii="Calibri" w:hAnsi="Calibri"/>
        </w:rPr>
        <w:t xml:space="preserve"> en økning på 1,7 prosent. </w:t>
      </w:r>
      <w:r w:rsidR="000B1EEF">
        <w:rPr>
          <w:rFonts w:ascii="Calibri" w:hAnsi="Calibri"/>
        </w:rPr>
        <w:t xml:space="preserve">På landsbasis står 230.991 personer oppført med </w:t>
      </w:r>
      <w:r w:rsidR="00295EEF">
        <w:rPr>
          <w:rFonts w:ascii="Calibri" w:hAnsi="Calibri"/>
        </w:rPr>
        <w:t>en slik anmerkning</w:t>
      </w:r>
      <w:r w:rsidR="000B1EEF">
        <w:rPr>
          <w:rFonts w:ascii="Calibri" w:hAnsi="Calibri"/>
        </w:rPr>
        <w:t>, og dette anta</w:t>
      </w:r>
      <w:r w:rsidR="000C77E4">
        <w:rPr>
          <w:rFonts w:ascii="Calibri" w:hAnsi="Calibri"/>
        </w:rPr>
        <w:t xml:space="preserve">llet er uendret det siste året. </w:t>
      </w:r>
    </w:p>
    <w:p w:rsidR="00A22500" w:rsidRDefault="000C77E4" w:rsidP="00A22500">
      <w:pPr>
        <w:rPr>
          <w:rFonts w:ascii="Calibri" w:hAnsi="Calibri"/>
        </w:rPr>
      </w:pPr>
      <w:r w:rsidRPr="00F52D19">
        <w:rPr>
          <w:rFonts w:ascii="Calibri" w:hAnsi="Calibri"/>
          <w:b/>
        </w:rPr>
        <w:t>Disse kommunene sliter mest</w:t>
      </w:r>
      <w:r>
        <w:rPr>
          <w:rFonts w:ascii="Calibri" w:hAnsi="Calibri"/>
        </w:rPr>
        <w:br/>
        <w:t xml:space="preserve">Blant de største kommunene i Hordaland har Fjell, Stord og Askøy den mest negative utviklingen, men en økning på henholdsvis 7,9 prosent, 5,2 prosent og 4,6 prosent i antall personer med betalingsanmerkning. </w:t>
      </w:r>
      <w:r w:rsidR="000F08EF">
        <w:rPr>
          <w:rFonts w:ascii="Calibri" w:hAnsi="Calibri"/>
        </w:rPr>
        <w:t xml:space="preserve">Voss og </w:t>
      </w:r>
      <w:r>
        <w:rPr>
          <w:rFonts w:ascii="Calibri" w:hAnsi="Calibri"/>
        </w:rPr>
        <w:t xml:space="preserve">Bergen </w:t>
      </w:r>
      <w:r w:rsidR="000F08EF">
        <w:rPr>
          <w:rFonts w:ascii="Calibri" w:hAnsi="Calibri"/>
        </w:rPr>
        <w:t xml:space="preserve">har de mest positive tallene, med en nedgang på henholdsvis 2,4 prosent og 0,1 prosent. </w:t>
      </w:r>
    </w:p>
    <w:p w:rsidR="004D5DBA" w:rsidRDefault="006515A3" w:rsidP="004D5DBA">
      <w:pPr>
        <w:rPr>
          <w:rFonts w:ascii="Calibri" w:hAnsi="Calibri"/>
        </w:rPr>
      </w:pPr>
      <w:r w:rsidRPr="006515A3">
        <w:rPr>
          <w:rFonts w:ascii="Calibri" w:hAnsi="Calibri"/>
          <w:b/>
        </w:rPr>
        <w:t>Hordalendinger skylder 3 milliarder kroner</w:t>
      </w:r>
      <w:r>
        <w:rPr>
          <w:rFonts w:ascii="Calibri" w:hAnsi="Calibri"/>
        </w:rPr>
        <w:br/>
      </w:r>
      <w:r w:rsidR="000A23B3">
        <w:rPr>
          <w:rFonts w:ascii="Calibri" w:hAnsi="Calibri"/>
        </w:rPr>
        <w:t>Hordaland opplever også en økning når det gjelder antall anmerkninger og uteståend</w:t>
      </w:r>
      <w:r w:rsidR="006F7602">
        <w:rPr>
          <w:rFonts w:ascii="Calibri" w:hAnsi="Calibri"/>
        </w:rPr>
        <w:t>e beløp</w:t>
      </w:r>
      <w:r w:rsidR="000A23B3">
        <w:rPr>
          <w:rFonts w:ascii="Calibri" w:hAnsi="Calibri"/>
        </w:rPr>
        <w:t xml:space="preserve">, men veksten er mindre enn i resten av oljefylkene. </w:t>
      </w:r>
      <w:r w:rsidR="009952D0">
        <w:rPr>
          <w:rFonts w:ascii="Calibri" w:hAnsi="Calibri"/>
        </w:rPr>
        <w:t>Til sammen</w:t>
      </w:r>
      <w:r w:rsidR="0078646F">
        <w:rPr>
          <w:rFonts w:ascii="Calibri" w:hAnsi="Calibri"/>
        </w:rPr>
        <w:t xml:space="preserve"> har hordalendinger</w:t>
      </w:r>
      <w:r w:rsidR="00631BF4">
        <w:rPr>
          <w:rFonts w:ascii="Calibri" w:hAnsi="Calibri"/>
        </w:rPr>
        <w:t xml:space="preserve"> </w:t>
      </w:r>
      <w:r w:rsidR="0078646F">
        <w:rPr>
          <w:rFonts w:ascii="Calibri" w:hAnsi="Calibri"/>
        </w:rPr>
        <w:t xml:space="preserve">104.323 anmerkninger </w:t>
      </w:r>
      <w:r w:rsidR="00B635C1">
        <w:rPr>
          <w:rFonts w:ascii="Calibri" w:hAnsi="Calibri"/>
        </w:rPr>
        <w:t xml:space="preserve">– en økning på 5,6 prosent. </w:t>
      </w:r>
      <w:r w:rsidR="0078646F">
        <w:rPr>
          <w:rFonts w:ascii="Calibri" w:hAnsi="Calibri"/>
        </w:rPr>
        <w:t xml:space="preserve">De har anmerkninger til en verdi av over 3 milliarder kroner – en økning på 2 %. </w:t>
      </w:r>
      <w:r w:rsidR="00E53852">
        <w:rPr>
          <w:rFonts w:ascii="Calibri" w:hAnsi="Calibri"/>
        </w:rPr>
        <w:t xml:space="preserve">På landsbasis </w:t>
      </w:r>
      <w:r w:rsidR="00AD0021">
        <w:rPr>
          <w:rFonts w:ascii="Calibri" w:hAnsi="Calibri"/>
        </w:rPr>
        <w:t>er trenden motsatt</w:t>
      </w:r>
      <w:r w:rsidR="00E53852">
        <w:rPr>
          <w:rFonts w:ascii="Calibri" w:hAnsi="Calibri"/>
        </w:rPr>
        <w:t xml:space="preserve">, med en nedgang i utestående beløp. </w:t>
      </w:r>
    </w:p>
    <w:p w:rsidR="009952D0" w:rsidRPr="00D24AF8" w:rsidRDefault="009952D0" w:rsidP="009952D0">
      <w:pPr>
        <w:rPr>
          <w:rFonts w:ascii="Calibri" w:hAnsi="Calibri"/>
        </w:rPr>
      </w:pPr>
      <w:r>
        <w:rPr>
          <w:rFonts w:ascii="Calibri" w:hAnsi="Calibri"/>
        </w:rPr>
        <w:t xml:space="preserve">Men, til tross for økningen i betalingsvansker i Hordaland, er </w:t>
      </w:r>
      <w:r w:rsidR="005F2983">
        <w:rPr>
          <w:rFonts w:ascii="Calibri" w:hAnsi="Calibri"/>
        </w:rPr>
        <w:t>Hordaland</w:t>
      </w:r>
      <w:r>
        <w:rPr>
          <w:rFonts w:ascii="Calibri" w:hAnsi="Calibri"/>
        </w:rPr>
        <w:t xml:space="preserve">fortsatt blant fylkene med lavest andel innbyggere med betalingsproblemer; 5 % </w:t>
      </w:r>
      <w:r w:rsidR="00AC2158">
        <w:rPr>
          <w:rFonts w:ascii="Calibri" w:hAnsi="Calibri"/>
        </w:rPr>
        <w:t>av det totale innbyggertallet</w:t>
      </w:r>
      <w:r>
        <w:rPr>
          <w:rFonts w:ascii="Calibri" w:hAnsi="Calibri"/>
        </w:rPr>
        <w:t xml:space="preserve">. </w:t>
      </w:r>
    </w:p>
    <w:p w:rsidR="00441316" w:rsidRDefault="0016232C" w:rsidP="001262FB">
      <w:pPr>
        <w:rPr>
          <w:rFonts w:ascii="Calibri" w:hAnsi="Calibri"/>
        </w:rPr>
      </w:pPr>
      <w:r w:rsidRPr="0016232C">
        <w:rPr>
          <w:rFonts w:ascii="Calibri" w:hAnsi="Calibri"/>
          <w:b/>
        </w:rPr>
        <w:t>Påvirket av oljekrisen</w:t>
      </w:r>
      <w:r w:rsidR="00DF3399" w:rsidRPr="009952D0">
        <w:rPr>
          <w:rFonts w:ascii="Calibri" w:hAnsi="Calibri"/>
        </w:rPr>
        <w:br/>
      </w:r>
      <w:r>
        <w:rPr>
          <w:rFonts w:ascii="Calibri" w:hAnsi="Calibri"/>
        </w:rPr>
        <w:t xml:space="preserve">– </w:t>
      </w:r>
      <w:r w:rsidR="00A87A62">
        <w:rPr>
          <w:rFonts w:ascii="Calibri" w:hAnsi="Calibri"/>
        </w:rPr>
        <w:t xml:space="preserve">Utviklingen i Hordaland må ses i sammenheng med arbeidsmarkedet. </w:t>
      </w:r>
      <w:r>
        <w:rPr>
          <w:rFonts w:ascii="Calibri" w:hAnsi="Calibri"/>
        </w:rPr>
        <w:t xml:space="preserve">Hordaland har, i likhet med resten av Sør-Vestlandet, blitt rammet av fallende aktivitet i oljesektoren. </w:t>
      </w:r>
      <w:r w:rsidR="00C9459C">
        <w:rPr>
          <w:rFonts w:ascii="Calibri" w:hAnsi="Calibri"/>
        </w:rPr>
        <w:t>Det</w:t>
      </w:r>
      <w:r>
        <w:rPr>
          <w:rFonts w:ascii="Calibri" w:hAnsi="Calibri"/>
        </w:rPr>
        <w:t xml:space="preserve"> har igjen resultert i en økning i antall arbeidsledige. Over tid medfører det</w:t>
      </w:r>
      <w:r w:rsidR="00C9459C">
        <w:rPr>
          <w:rFonts w:ascii="Calibri" w:hAnsi="Calibri"/>
        </w:rPr>
        <w:t>te</w:t>
      </w:r>
      <w:r>
        <w:rPr>
          <w:rFonts w:ascii="Calibri" w:hAnsi="Calibri"/>
        </w:rPr>
        <w:t xml:space="preserve"> </w:t>
      </w:r>
      <w:r w:rsidR="00A87A62">
        <w:rPr>
          <w:rFonts w:ascii="Calibri" w:hAnsi="Calibri"/>
        </w:rPr>
        <w:t xml:space="preserve">dessverre </w:t>
      </w:r>
      <w:r>
        <w:rPr>
          <w:rFonts w:ascii="Calibri" w:hAnsi="Calibri"/>
        </w:rPr>
        <w:t>at flere husholdninger får problemer med å betale regningene</w:t>
      </w:r>
      <w:r w:rsidR="00441316">
        <w:rPr>
          <w:rFonts w:ascii="Calibri" w:hAnsi="Calibri"/>
        </w:rPr>
        <w:t xml:space="preserve">, sier Morten Trasti, analytiker i </w:t>
      </w:r>
      <w:proofErr w:type="spellStart"/>
      <w:r w:rsidR="00441316">
        <w:rPr>
          <w:rFonts w:ascii="Calibri" w:hAnsi="Calibri"/>
        </w:rPr>
        <w:t>Lindorff</w:t>
      </w:r>
      <w:proofErr w:type="spellEnd"/>
      <w:r w:rsidR="00441316">
        <w:rPr>
          <w:rFonts w:ascii="Calibri" w:hAnsi="Calibri"/>
        </w:rPr>
        <w:t>.</w:t>
      </w:r>
    </w:p>
    <w:p w:rsidR="00B06E28" w:rsidRDefault="00476F6F" w:rsidP="001262FB">
      <w:pPr>
        <w:rPr>
          <w:rFonts w:ascii="Calibri" w:hAnsi="Calibri"/>
        </w:rPr>
      </w:pPr>
      <w:r w:rsidRPr="00476F6F">
        <w:rPr>
          <w:rFonts w:ascii="Calibri" w:hAnsi="Calibri"/>
          <w:b/>
        </w:rPr>
        <w:t>Spesielt negativ utvikling den siste tiden</w:t>
      </w:r>
      <w:r w:rsidRPr="00476F6F">
        <w:rPr>
          <w:rFonts w:ascii="Calibri" w:hAnsi="Calibri"/>
          <w:b/>
        </w:rPr>
        <w:br/>
      </w:r>
      <w:r w:rsidR="00B06E28">
        <w:rPr>
          <w:rFonts w:ascii="Calibri" w:hAnsi="Calibri"/>
        </w:rPr>
        <w:t xml:space="preserve">Antall personer med betalingsanmerkninger i Hordaland har holdt seg ganske stabilt de siste par årene, men </w:t>
      </w:r>
      <w:r w:rsidR="008F6AFA">
        <w:rPr>
          <w:rFonts w:ascii="Calibri" w:hAnsi="Calibri"/>
        </w:rPr>
        <w:t>i fjerde kvartal var det</w:t>
      </w:r>
      <w:r w:rsidR="00B06E28">
        <w:rPr>
          <w:rFonts w:ascii="Calibri" w:hAnsi="Calibri"/>
        </w:rPr>
        <w:t xml:space="preserve"> en tydelig økning.  </w:t>
      </w:r>
    </w:p>
    <w:p w:rsidR="00F65537" w:rsidRPr="005D2E51" w:rsidRDefault="00F65537" w:rsidP="001262FB">
      <w:pPr>
        <w:rPr>
          <w:rFonts w:ascii="Calibri" w:hAnsi="Calibri" w:cstheme="minorHAnsi"/>
        </w:rPr>
      </w:pPr>
      <w:r w:rsidRPr="00F65537">
        <w:rPr>
          <w:rFonts w:ascii="Calibri" w:hAnsi="Calibri"/>
        </w:rPr>
        <w:lastRenderedPageBreak/>
        <w:t>–</w:t>
      </w:r>
      <w:r>
        <w:rPr>
          <w:rFonts w:ascii="Calibri" w:hAnsi="Calibri"/>
        </w:rPr>
        <w:t xml:space="preserve"> Lønnet arbeid er husholdningenes største inntektskilde. Når inntekt faller bort, påvirker det betalingsevnen negativt, noe vi ser i vår statistikk. Det tar imidlertid noe tid før endringer i arbeidsmarkedet </w:t>
      </w:r>
      <w:r w:rsidR="0048685F">
        <w:rPr>
          <w:rFonts w:ascii="Calibri" w:hAnsi="Calibri"/>
        </w:rPr>
        <w:t>synes</w:t>
      </w:r>
      <w:r w:rsidR="00C9459C">
        <w:rPr>
          <w:rFonts w:ascii="Calibri" w:hAnsi="Calibri"/>
        </w:rPr>
        <w:t xml:space="preserve"> i betalingsanmerkningstallene</w:t>
      </w:r>
      <w:r w:rsidR="005D2E51">
        <w:rPr>
          <w:rFonts w:ascii="Calibri" w:hAnsi="Calibri"/>
        </w:rPr>
        <w:t xml:space="preserve">. </w:t>
      </w:r>
      <w:r w:rsidR="005D2E51" w:rsidRPr="004D5DBA">
        <w:rPr>
          <w:rFonts w:ascii="Calibri" w:hAnsi="Calibri" w:cstheme="minorHAnsi"/>
        </w:rPr>
        <w:t xml:space="preserve">For det første </w:t>
      </w:r>
      <w:r w:rsidR="005D2E51">
        <w:rPr>
          <w:rFonts w:ascii="Calibri" w:hAnsi="Calibri" w:cstheme="minorHAnsi"/>
        </w:rPr>
        <w:t xml:space="preserve">er det mange som har en økonomisk buffer å tære på </w:t>
      </w:r>
      <w:r w:rsidR="00C67B0D">
        <w:rPr>
          <w:rFonts w:ascii="Calibri" w:hAnsi="Calibri" w:cstheme="minorHAnsi"/>
        </w:rPr>
        <w:t>hvis</w:t>
      </w:r>
      <w:r w:rsidR="005D2E51">
        <w:rPr>
          <w:rFonts w:ascii="Calibri" w:hAnsi="Calibri" w:cstheme="minorHAnsi"/>
        </w:rPr>
        <w:t xml:space="preserve"> de mister jobben. For det andre tar det flere måneder fra forfallsdato på fakturaen til </w:t>
      </w:r>
      <w:r w:rsidR="0048685F">
        <w:rPr>
          <w:rFonts w:ascii="Calibri" w:hAnsi="Calibri" w:cstheme="minorHAnsi"/>
        </w:rPr>
        <w:t>man eventuelt får en</w:t>
      </w:r>
      <w:r w:rsidR="005D2E51">
        <w:rPr>
          <w:rFonts w:ascii="Calibri" w:hAnsi="Calibri" w:cstheme="minorHAnsi"/>
        </w:rPr>
        <w:t xml:space="preserve"> anmerkning</w:t>
      </w:r>
      <w:r w:rsidR="00C9459C">
        <w:rPr>
          <w:rFonts w:ascii="Calibri" w:hAnsi="Calibri"/>
        </w:rPr>
        <w:t xml:space="preserve">, sier Trasti. </w:t>
      </w:r>
    </w:p>
    <w:p w:rsidR="00701C82" w:rsidRPr="00C9459C" w:rsidRDefault="00C9459C" w:rsidP="00C9459C">
      <w:pPr>
        <w:rPr>
          <w:rFonts w:ascii="Calibri" w:hAnsi="Calibri"/>
        </w:rPr>
      </w:pPr>
      <w:r w:rsidRPr="00C9459C">
        <w:rPr>
          <w:rFonts w:ascii="Calibri" w:hAnsi="Calibri"/>
        </w:rPr>
        <w:t>–</w:t>
      </w:r>
      <w:r>
        <w:rPr>
          <w:rFonts w:ascii="Calibri" w:hAnsi="Calibri"/>
        </w:rPr>
        <w:t xml:space="preserve"> Ved bortfall av inntekt må husholdningene </w:t>
      </w:r>
      <w:r w:rsidR="00624CEF">
        <w:rPr>
          <w:rFonts w:ascii="Calibri" w:hAnsi="Calibri"/>
        </w:rPr>
        <w:t>ofte justere</w:t>
      </w:r>
      <w:r>
        <w:rPr>
          <w:rFonts w:ascii="Calibri" w:hAnsi="Calibri"/>
        </w:rPr>
        <w:t xml:space="preserve"> i forbruket sitt, og det kan være</w:t>
      </w:r>
      <w:r w:rsidR="00C67B0D">
        <w:rPr>
          <w:rFonts w:ascii="Calibri" w:hAnsi="Calibri"/>
        </w:rPr>
        <w:t xml:space="preserve"> veldig </w:t>
      </w:r>
      <w:r>
        <w:rPr>
          <w:rFonts w:ascii="Calibri" w:hAnsi="Calibri"/>
        </w:rPr>
        <w:t xml:space="preserve">uvant. I denne tilpassingsperioden </w:t>
      </w:r>
      <w:r w:rsidR="00C67B0D">
        <w:rPr>
          <w:rFonts w:ascii="Calibri" w:hAnsi="Calibri"/>
        </w:rPr>
        <w:t xml:space="preserve">er man spesielt sårbar, og det er </w:t>
      </w:r>
      <w:r>
        <w:rPr>
          <w:rFonts w:ascii="Calibri" w:hAnsi="Calibri"/>
        </w:rPr>
        <w:t xml:space="preserve">større risiko for å få </w:t>
      </w:r>
      <w:r w:rsidR="005D2E51">
        <w:rPr>
          <w:rFonts w:ascii="Calibri" w:hAnsi="Calibri"/>
        </w:rPr>
        <w:t>betalingsutfordringer</w:t>
      </w:r>
      <w:r>
        <w:rPr>
          <w:rFonts w:ascii="Calibri" w:hAnsi="Calibri"/>
        </w:rPr>
        <w:t xml:space="preserve">, sier han. </w:t>
      </w:r>
    </w:p>
    <w:p w:rsidR="00C9459C" w:rsidRDefault="008F14F6" w:rsidP="001262FB">
      <w:pPr>
        <w:rPr>
          <w:rFonts w:ascii="Calibri" w:hAnsi="Calibri"/>
        </w:rPr>
      </w:pPr>
      <w:r w:rsidRPr="008F14F6">
        <w:rPr>
          <w:rFonts w:ascii="Calibri" w:hAnsi="Calibri"/>
          <w:b/>
        </w:rPr>
        <w:t>Forventer fortsatt økning</w:t>
      </w:r>
      <w:r>
        <w:rPr>
          <w:rFonts w:ascii="Calibri" w:hAnsi="Calibri"/>
        </w:rPr>
        <w:br/>
      </w:r>
      <w:r w:rsidR="00195829">
        <w:rPr>
          <w:rFonts w:ascii="Calibri" w:hAnsi="Calibri"/>
        </w:rPr>
        <w:t xml:space="preserve">På landsbasis er Hordaland et av fylkene med høyest arbeidsledighet, ifølge </w:t>
      </w:r>
      <w:proofErr w:type="spellStart"/>
      <w:r w:rsidR="00195829">
        <w:rPr>
          <w:rFonts w:ascii="Calibri" w:hAnsi="Calibri"/>
        </w:rPr>
        <w:t>NAVs</w:t>
      </w:r>
      <w:proofErr w:type="spellEnd"/>
      <w:r w:rsidR="00195829">
        <w:rPr>
          <w:rFonts w:ascii="Calibri" w:hAnsi="Calibri"/>
        </w:rPr>
        <w:t xml:space="preserve"> </w:t>
      </w:r>
      <w:hyperlink r:id="rId8" w:history="1">
        <w:r w:rsidR="004D30EC" w:rsidRPr="004D30EC">
          <w:rPr>
            <w:rStyle w:val="Hyperkobling"/>
            <w:rFonts w:ascii="Calibri" w:hAnsi="Calibri" w:cstheme="minorBidi"/>
          </w:rPr>
          <w:t>H</w:t>
        </w:r>
        <w:r w:rsidR="00195829" w:rsidRPr="004D30EC">
          <w:rPr>
            <w:rStyle w:val="Hyperkobling"/>
            <w:rFonts w:ascii="Calibri" w:hAnsi="Calibri" w:cstheme="minorBidi"/>
          </w:rPr>
          <w:t>ovedtall om arbeidsmarkedet</w:t>
        </w:r>
      </w:hyperlink>
      <w:r w:rsidR="004D30EC">
        <w:rPr>
          <w:rFonts w:ascii="Calibri" w:hAnsi="Calibri"/>
        </w:rPr>
        <w:t xml:space="preserve"> for februar</w:t>
      </w:r>
      <w:r w:rsidR="00195829">
        <w:rPr>
          <w:rFonts w:ascii="Calibri" w:hAnsi="Calibri"/>
        </w:rPr>
        <w:t>. 3,5 prosent av arbeidsstyrken er registrert som helt ledige, noe som er på nivå med A</w:t>
      </w:r>
      <w:r w:rsidR="004D30EC">
        <w:rPr>
          <w:rFonts w:ascii="Calibri" w:hAnsi="Calibri"/>
        </w:rPr>
        <w:t>gder-fylkene og Finnmark, og en vekst på 1</w:t>
      </w:r>
      <w:r w:rsidR="00286EE0">
        <w:rPr>
          <w:rFonts w:ascii="Calibri" w:hAnsi="Calibri"/>
        </w:rPr>
        <w:t xml:space="preserve"> </w:t>
      </w:r>
      <w:proofErr w:type="spellStart"/>
      <w:r w:rsidR="00286EE0">
        <w:rPr>
          <w:rFonts w:ascii="Calibri" w:hAnsi="Calibri"/>
        </w:rPr>
        <w:t>prosentpoeng</w:t>
      </w:r>
      <w:r w:rsidR="004D30EC">
        <w:rPr>
          <w:rFonts w:ascii="Calibri" w:hAnsi="Calibri"/>
        </w:rPr>
        <w:t>ra</w:t>
      </w:r>
      <w:proofErr w:type="spellEnd"/>
      <w:r w:rsidR="004D30EC">
        <w:rPr>
          <w:rFonts w:ascii="Calibri" w:hAnsi="Calibri"/>
        </w:rPr>
        <w:t xml:space="preserve"> tilsvarende periode i fjor.</w:t>
      </w:r>
    </w:p>
    <w:p w:rsidR="004D30EC" w:rsidRPr="004D30EC" w:rsidRDefault="004D30EC" w:rsidP="004D30EC">
      <w:pPr>
        <w:rPr>
          <w:rFonts w:ascii="Calibri" w:hAnsi="Calibri"/>
        </w:rPr>
      </w:pPr>
      <w:r w:rsidRPr="004D30EC">
        <w:rPr>
          <w:rFonts w:ascii="Calibri" w:hAnsi="Calibri"/>
        </w:rPr>
        <w:t>–</w:t>
      </w:r>
      <w:r>
        <w:rPr>
          <w:rFonts w:ascii="Calibri" w:hAnsi="Calibri"/>
        </w:rPr>
        <w:t xml:space="preserve"> I Hordaland </w:t>
      </w:r>
      <w:r w:rsidR="00624CEF">
        <w:rPr>
          <w:rFonts w:ascii="Calibri" w:hAnsi="Calibri"/>
        </w:rPr>
        <w:t>står</w:t>
      </w:r>
      <w:r>
        <w:rPr>
          <w:rFonts w:ascii="Calibri" w:hAnsi="Calibri"/>
        </w:rPr>
        <w:t xml:space="preserve"> en ganske høy andel av arbeidsstyrken uten jobb, sammenlignet </w:t>
      </w:r>
      <w:r w:rsidR="0065569E">
        <w:rPr>
          <w:rFonts w:ascii="Calibri" w:hAnsi="Calibri"/>
        </w:rPr>
        <w:t xml:space="preserve">med </w:t>
      </w:r>
      <w:r w:rsidR="00624CEF">
        <w:rPr>
          <w:rFonts w:ascii="Calibri" w:hAnsi="Calibri"/>
        </w:rPr>
        <w:t>øvrige fylker</w:t>
      </w:r>
      <w:r>
        <w:rPr>
          <w:rFonts w:ascii="Calibri" w:hAnsi="Calibri"/>
        </w:rPr>
        <w:t>. Samtidig viser Horda</w:t>
      </w:r>
      <w:r w:rsidR="00D832F7">
        <w:rPr>
          <w:rFonts w:ascii="Calibri" w:hAnsi="Calibri"/>
        </w:rPr>
        <w:t xml:space="preserve">land tegn til en stabilisering, og i flere andre fylker på Sør-Vestlandet </w:t>
      </w:r>
      <w:r w:rsidR="004846BB">
        <w:rPr>
          <w:rFonts w:ascii="Calibri" w:hAnsi="Calibri"/>
        </w:rPr>
        <w:t>er</w:t>
      </w:r>
      <w:r w:rsidR="00D832F7">
        <w:rPr>
          <w:rFonts w:ascii="Calibri" w:hAnsi="Calibri"/>
        </w:rPr>
        <w:t xml:space="preserve"> arbeidsledigheten i ferd med å flate ut. </w:t>
      </w:r>
      <w:r w:rsidR="00624CEF">
        <w:rPr>
          <w:rFonts w:ascii="Calibri" w:hAnsi="Calibri"/>
        </w:rPr>
        <w:t>Til tross for dette</w:t>
      </w:r>
      <w:r w:rsidR="000830EC">
        <w:rPr>
          <w:rFonts w:ascii="Calibri" w:hAnsi="Calibri"/>
        </w:rPr>
        <w:t xml:space="preserve"> forventer vi at betalingsvan</w:t>
      </w:r>
      <w:r w:rsidR="00624CEF">
        <w:rPr>
          <w:rFonts w:ascii="Calibri" w:hAnsi="Calibri"/>
        </w:rPr>
        <w:t>skene vil øke fremover</w:t>
      </w:r>
      <w:r w:rsidR="000830EC">
        <w:rPr>
          <w:rFonts w:ascii="Calibri" w:hAnsi="Calibri"/>
        </w:rPr>
        <w:t xml:space="preserve">, nettopp fordi det tar tid før bortfall av </w:t>
      </w:r>
      <w:r w:rsidR="0065569E">
        <w:rPr>
          <w:rFonts w:ascii="Calibri" w:hAnsi="Calibri"/>
        </w:rPr>
        <w:t>lønns</w:t>
      </w:r>
      <w:r w:rsidR="000830EC">
        <w:rPr>
          <w:rFonts w:ascii="Calibri" w:hAnsi="Calibri"/>
        </w:rPr>
        <w:t xml:space="preserve">inntekter resulterer i betalingsproblemer, sier Trasti. </w:t>
      </w:r>
    </w:p>
    <w:p w:rsidR="00D36E2F" w:rsidRPr="00CD5D70" w:rsidRDefault="00D36E2F" w:rsidP="00D36E2F">
      <w:pPr>
        <w:rPr>
          <w:rFonts w:ascii="Calibri" w:hAnsi="Calibri"/>
          <w:b/>
          <w:sz w:val="28"/>
          <w:szCs w:val="28"/>
        </w:rPr>
      </w:pPr>
      <w:r w:rsidRPr="00CD5D70">
        <w:rPr>
          <w:rFonts w:ascii="Calibri" w:hAnsi="Calibri"/>
          <w:b/>
          <w:sz w:val="28"/>
          <w:szCs w:val="28"/>
        </w:rPr>
        <w:t>Fakta om betalingsvansker i Hordaland</w:t>
      </w:r>
    </w:p>
    <w:p w:rsidR="00D36E2F" w:rsidRDefault="00D36E2F" w:rsidP="00D36E2F">
      <w:pPr>
        <w:pStyle w:val="Listeavsnitt"/>
        <w:numPr>
          <w:ilvl w:val="0"/>
          <w:numId w:val="2"/>
        </w:numPr>
        <w:rPr>
          <w:rFonts w:ascii="Calibri" w:hAnsi="Calibri"/>
        </w:rPr>
      </w:pPr>
      <w:r w:rsidRPr="005A6E9E">
        <w:rPr>
          <w:rFonts w:ascii="Calibri" w:hAnsi="Calibri"/>
        </w:rPr>
        <w:t xml:space="preserve">20.195 personer står oppført med betalingsanmerkning i fjerde kvartal </w:t>
      </w:r>
      <w:r>
        <w:rPr>
          <w:rFonts w:ascii="Calibri" w:hAnsi="Calibri"/>
        </w:rPr>
        <w:t>(+1,7 %)</w:t>
      </w:r>
    </w:p>
    <w:p w:rsidR="00D36E2F" w:rsidRDefault="00D36E2F" w:rsidP="00D36E2F">
      <w:pPr>
        <w:pStyle w:val="Listeavsnitt"/>
        <w:numPr>
          <w:ilvl w:val="0"/>
          <w:numId w:val="2"/>
        </w:numPr>
        <w:rPr>
          <w:rFonts w:ascii="Calibri" w:hAnsi="Calibri"/>
        </w:rPr>
      </w:pPr>
      <w:r w:rsidRPr="005A6E9E">
        <w:rPr>
          <w:rFonts w:ascii="Calibri" w:hAnsi="Calibri"/>
        </w:rPr>
        <w:t>5 % av innbyggerne har betalingsanmerkning (+0,5 %)</w:t>
      </w:r>
    </w:p>
    <w:p w:rsidR="00D36E2F" w:rsidRDefault="00D36E2F" w:rsidP="00D36E2F">
      <w:pPr>
        <w:pStyle w:val="Listeavsnit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Totalt 104.323 </w:t>
      </w:r>
      <w:r w:rsidRPr="005A6E9E">
        <w:rPr>
          <w:rFonts w:ascii="Calibri" w:hAnsi="Calibri"/>
        </w:rPr>
        <w:t>registrerte betalingsanmerkninger i fylket (+5,6 %)</w:t>
      </w:r>
    </w:p>
    <w:p w:rsidR="00D36E2F" w:rsidRDefault="00D36E2F" w:rsidP="00D36E2F">
      <w:pPr>
        <w:pStyle w:val="Listeavsnitt"/>
        <w:numPr>
          <w:ilvl w:val="0"/>
          <w:numId w:val="2"/>
        </w:numPr>
        <w:rPr>
          <w:rFonts w:ascii="Calibri" w:hAnsi="Calibri"/>
        </w:rPr>
      </w:pPr>
      <w:r w:rsidRPr="005A6E9E">
        <w:rPr>
          <w:rFonts w:ascii="Calibri" w:hAnsi="Calibri"/>
        </w:rPr>
        <w:t>Verdien på anmerkningene ligger på rundt 3 milliarder kroner (+2 %)</w:t>
      </w:r>
    </w:p>
    <w:p w:rsidR="00111F70" w:rsidRPr="00AB633E" w:rsidRDefault="00111F70" w:rsidP="00111F70">
      <w:pPr>
        <w:rPr>
          <w:rFonts w:ascii="Calibri" w:hAnsi="Calibri"/>
          <w:b/>
          <w:sz w:val="28"/>
          <w:szCs w:val="28"/>
        </w:rPr>
      </w:pPr>
      <w:r w:rsidRPr="00AB633E">
        <w:rPr>
          <w:rFonts w:ascii="Calibri" w:hAnsi="Calibri"/>
          <w:b/>
          <w:sz w:val="28"/>
          <w:szCs w:val="28"/>
        </w:rPr>
        <w:t>Største kommuner i Hordaland</w:t>
      </w:r>
      <w:r w:rsidR="00CF0DC1" w:rsidRPr="00AB633E">
        <w:rPr>
          <w:rFonts w:ascii="Calibri" w:hAnsi="Calibri"/>
          <w:b/>
          <w:sz w:val="28"/>
          <w:szCs w:val="28"/>
        </w:rPr>
        <w:t xml:space="preserve"> </w:t>
      </w:r>
      <w:r w:rsidRPr="00AB633E">
        <w:rPr>
          <w:rFonts w:ascii="Calibri" w:hAnsi="Calibri"/>
          <w:b/>
          <w:sz w:val="28"/>
          <w:szCs w:val="28"/>
        </w:rPr>
        <w:t xml:space="preserve">– </w:t>
      </w:r>
      <w:r w:rsidR="00CF0DC1" w:rsidRPr="00AB633E">
        <w:rPr>
          <w:rFonts w:ascii="Calibri" w:hAnsi="Calibri"/>
          <w:b/>
          <w:sz w:val="28"/>
          <w:szCs w:val="28"/>
        </w:rPr>
        <w:t>u</w:t>
      </w:r>
      <w:r w:rsidRPr="00AB633E">
        <w:rPr>
          <w:rFonts w:ascii="Calibri" w:hAnsi="Calibri"/>
          <w:b/>
          <w:sz w:val="28"/>
          <w:szCs w:val="28"/>
        </w:rPr>
        <w:t>tviklingen i antall personer med betalingsanmerkning</w:t>
      </w:r>
    </w:p>
    <w:p w:rsidR="00AB633E" w:rsidRDefault="00CF0DC1" w:rsidP="00AB633E">
      <w:pPr>
        <w:pStyle w:val="Listeavsnitt"/>
        <w:numPr>
          <w:ilvl w:val="0"/>
          <w:numId w:val="10"/>
        </w:numPr>
        <w:rPr>
          <w:rFonts w:ascii="Calibri" w:hAnsi="Calibri"/>
        </w:rPr>
      </w:pPr>
      <w:r w:rsidRPr="00AB633E">
        <w:rPr>
          <w:rFonts w:ascii="Calibri" w:hAnsi="Calibri"/>
        </w:rPr>
        <w:t>Fjell: 1111 personer med betalingsanmerkning i fjerde kvartal (+7,9 %), tilsvarer 5,4 % av innbyggerne</w:t>
      </w:r>
    </w:p>
    <w:p w:rsidR="00AB633E" w:rsidRDefault="00A3615E" w:rsidP="00AB633E">
      <w:pPr>
        <w:pStyle w:val="Listeavsnitt"/>
        <w:numPr>
          <w:ilvl w:val="0"/>
          <w:numId w:val="10"/>
        </w:numPr>
        <w:rPr>
          <w:rFonts w:ascii="Calibri" w:hAnsi="Calibri"/>
        </w:rPr>
      </w:pPr>
      <w:r w:rsidRPr="00AB633E">
        <w:rPr>
          <w:rFonts w:ascii="Calibri" w:hAnsi="Calibri"/>
        </w:rPr>
        <w:t>Stord: 734 personer (+5,2 %), tilsvarer 5,1 % av innbyggerne</w:t>
      </w:r>
    </w:p>
    <w:p w:rsidR="00AB633E" w:rsidRDefault="00723062" w:rsidP="00AB633E">
      <w:pPr>
        <w:pStyle w:val="Listeavsnitt"/>
        <w:numPr>
          <w:ilvl w:val="0"/>
          <w:numId w:val="10"/>
        </w:numPr>
        <w:rPr>
          <w:rFonts w:ascii="Calibri" w:hAnsi="Calibri"/>
        </w:rPr>
      </w:pPr>
      <w:r w:rsidRPr="00AB633E">
        <w:rPr>
          <w:rFonts w:ascii="Calibri" w:hAnsi="Calibri"/>
        </w:rPr>
        <w:t xml:space="preserve">Askøy: 1115 personer </w:t>
      </w:r>
      <w:r w:rsidR="00CF0DC1" w:rsidRPr="00AB633E">
        <w:rPr>
          <w:rFonts w:ascii="Calibri" w:hAnsi="Calibri"/>
        </w:rPr>
        <w:t>(+</w:t>
      </w:r>
      <w:r w:rsidRPr="00AB633E">
        <w:rPr>
          <w:rFonts w:ascii="Calibri" w:hAnsi="Calibri"/>
        </w:rPr>
        <w:t>4,6 %), tilsvarer 5,4 % av innbyggerne</w:t>
      </w:r>
    </w:p>
    <w:p w:rsidR="00AB633E" w:rsidRDefault="003C642B" w:rsidP="00AB633E">
      <w:pPr>
        <w:pStyle w:val="Listeavsnitt"/>
        <w:numPr>
          <w:ilvl w:val="0"/>
          <w:numId w:val="10"/>
        </w:numPr>
        <w:rPr>
          <w:rFonts w:ascii="Calibri" w:hAnsi="Calibri"/>
        </w:rPr>
      </w:pPr>
      <w:r w:rsidRPr="00AB633E">
        <w:rPr>
          <w:rFonts w:ascii="Calibri" w:hAnsi="Calibri"/>
        </w:rPr>
        <w:t>Os: 821 personer (+3 %), tilsvarer 5,5 % av innbyggerne</w:t>
      </w:r>
    </w:p>
    <w:p w:rsidR="00AB633E" w:rsidRDefault="005D204F" w:rsidP="00AB633E">
      <w:pPr>
        <w:pStyle w:val="Listeavsnitt"/>
        <w:numPr>
          <w:ilvl w:val="0"/>
          <w:numId w:val="10"/>
        </w:numPr>
        <w:rPr>
          <w:rFonts w:ascii="Calibri" w:hAnsi="Calibri"/>
        </w:rPr>
      </w:pPr>
      <w:r w:rsidRPr="00AB633E">
        <w:rPr>
          <w:rFonts w:ascii="Calibri" w:hAnsi="Calibri"/>
        </w:rPr>
        <w:t>Lindås: 545 personer (+2,3 %), tilsvarer 4,7 % av innbyggerne</w:t>
      </w:r>
    </w:p>
    <w:p w:rsidR="00AB633E" w:rsidRDefault="005D204F" w:rsidP="00AB633E">
      <w:pPr>
        <w:pStyle w:val="Listeavsnitt"/>
        <w:numPr>
          <w:ilvl w:val="0"/>
          <w:numId w:val="10"/>
        </w:numPr>
        <w:rPr>
          <w:rFonts w:ascii="Calibri" w:hAnsi="Calibri"/>
        </w:rPr>
      </w:pPr>
      <w:r w:rsidRPr="00AB633E">
        <w:rPr>
          <w:rFonts w:ascii="Calibri" w:hAnsi="Calibri"/>
        </w:rPr>
        <w:t>Kvinnhe</w:t>
      </w:r>
      <w:r w:rsidR="00CF0DC1" w:rsidRPr="00AB633E">
        <w:rPr>
          <w:rFonts w:ascii="Calibri" w:hAnsi="Calibri"/>
        </w:rPr>
        <w:t>rad: 511 personer (+1 %), tilsvarer 5 % av innbyggerne</w:t>
      </w:r>
    </w:p>
    <w:p w:rsidR="00AB633E" w:rsidRDefault="00CF0DC1" w:rsidP="00AB633E">
      <w:pPr>
        <w:pStyle w:val="Listeavsnitt"/>
        <w:numPr>
          <w:ilvl w:val="0"/>
          <w:numId w:val="10"/>
        </w:numPr>
        <w:rPr>
          <w:rFonts w:ascii="Calibri" w:hAnsi="Calibri"/>
        </w:rPr>
      </w:pPr>
      <w:r w:rsidRPr="00AB633E">
        <w:rPr>
          <w:rFonts w:ascii="Calibri" w:hAnsi="Calibri"/>
        </w:rPr>
        <w:t>Bergen: 11.464 personer (-0,1 %), tilsvarer 5,2 % av innbyggerne</w:t>
      </w:r>
    </w:p>
    <w:p w:rsidR="00111F70" w:rsidRPr="00AB633E" w:rsidRDefault="00BE5F9C" w:rsidP="00111F70">
      <w:pPr>
        <w:pStyle w:val="Listeavsnitt"/>
        <w:numPr>
          <w:ilvl w:val="0"/>
          <w:numId w:val="10"/>
        </w:numPr>
        <w:rPr>
          <w:rFonts w:ascii="Calibri" w:hAnsi="Calibri"/>
        </w:rPr>
      </w:pPr>
      <w:r w:rsidRPr="00AB633E">
        <w:rPr>
          <w:rFonts w:ascii="Calibri" w:hAnsi="Calibri"/>
        </w:rPr>
        <w:t>Voss: 407 personer (-2,4 %), tilsvarer 3,6 % av innbyggerne</w:t>
      </w:r>
    </w:p>
    <w:p w:rsidR="00A22500" w:rsidRDefault="00A22500" w:rsidP="00D36E2F">
      <w:pPr>
        <w:rPr>
          <w:rFonts w:ascii="Calibri" w:hAnsi="Calibri" w:cs="Arial"/>
          <w:b/>
          <w:color w:val="000000" w:themeColor="text1"/>
          <w:sz w:val="28"/>
          <w:szCs w:val="28"/>
        </w:rPr>
      </w:pPr>
      <w:r>
        <w:rPr>
          <w:rFonts w:ascii="Calibri" w:hAnsi="Calibri" w:cs="Arial"/>
          <w:b/>
          <w:color w:val="000000" w:themeColor="text1"/>
          <w:sz w:val="28"/>
          <w:szCs w:val="28"/>
        </w:rPr>
        <w:t xml:space="preserve">Disse kommunene </w:t>
      </w:r>
      <w:r w:rsidR="0013794B">
        <w:rPr>
          <w:rFonts w:ascii="Calibri" w:hAnsi="Calibri" w:cs="Arial"/>
          <w:b/>
          <w:color w:val="000000" w:themeColor="text1"/>
          <w:sz w:val="28"/>
          <w:szCs w:val="28"/>
        </w:rPr>
        <w:t xml:space="preserve">i Hordaland </w:t>
      </w:r>
      <w:r>
        <w:rPr>
          <w:rFonts w:ascii="Calibri" w:hAnsi="Calibri" w:cs="Arial"/>
          <w:b/>
          <w:color w:val="000000" w:themeColor="text1"/>
          <w:sz w:val="28"/>
          <w:szCs w:val="28"/>
        </w:rPr>
        <w:t>har høyest – og lavest – andel innbyggere med betalingsanmerkning</w:t>
      </w:r>
    </w:p>
    <w:p w:rsidR="0013794B" w:rsidRPr="006063F0" w:rsidRDefault="00A22500" w:rsidP="006063F0">
      <w:pPr>
        <w:pStyle w:val="Listeavsnitt"/>
        <w:numPr>
          <w:ilvl w:val="0"/>
          <w:numId w:val="11"/>
        </w:numPr>
        <w:rPr>
          <w:rFonts w:ascii="Calibri" w:hAnsi="Calibri" w:cs="Arial"/>
          <w:color w:val="000000" w:themeColor="text1"/>
        </w:rPr>
      </w:pPr>
      <w:r w:rsidRPr="006063F0">
        <w:rPr>
          <w:rFonts w:ascii="Calibri" w:hAnsi="Calibri" w:cs="Arial"/>
          <w:color w:val="000000" w:themeColor="text1"/>
        </w:rPr>
        <w:t>Øygarden og Fjell har den høyeste andelen, på henholdsvis 6,7 % og 6,1 %.</w:t>
      </w:r>
    </w:p>
    <w:p w:rsidR="00A22500" w:rsidRPr="006063F0" w:rsidRDefault="00B864DE" w:rsidP="006063F0">
      <w:pPr>
        <w:pStyle w:val="Listeavsnitt"/>
        <w:numPr>
          <w:ilvl w:val="0"/>
          <w:numId w:val="11"/>
        </w:numPr>
        <w:rPr>
          <w:rFonts w:ascii="Calibri" w:hAnsi="Calibri" w:cs="Arial"/>
          <w:color w:val="000000" w:themeColor="text1"/>
        </w:rPr>
      </w:pPr>
      <w:r w:rsidRPr="006063F0">
        <w:rPr>
          <w:rFonts w:ascii="Calibri" w:hAnsi="Calibri" w:cs="Arial"/>
          <w:color w:val="000000" w:themeColor="text1"/>
        </w:rPr>
        <w:t>Masfjorden har den laveste andelen; 2,7 %, etterfulgt av Fusa og Tysnes, begge med 3 %.</w:t>
      </w:r>
    </w:p>
    <w:p w:rsidR="00A22500" w:rsidRDefault="00A22500" w:rsidP="00D36E2F">
      <w:pPr>
        <w:rPr>
          <w:rFonts w:ascii="Calibri" w:hAnsi="Calibri" w:cs="Arial"/>
          <w:color w:val="000000" w:themeColor="text1"/>
        </w:rPr>
      </w:pPr>
      <w:r w:rsidRPr="006063F0">
        <w:rPr>
          <w:rFonts w:ascii="Calibri" w:hAnsi="Calibri" w:cs="Arial"/>
          <w:color w:val="000000" w:themeColor="text1"/>
        </w:rPr>
        <w:t>Oversikten tar utgangspunkt i kommuner som har minst tusen innbyggere med ligning i 2016.</w:t>
      </w:r>
      <w:r w:rsidR="00B864DE" w:rsidRPr="006063F0">
        <w:rPr>
          <w:rFonts w:ascii="Calibri" w:hAnsi="Calibri" w:cs="Arial"/>
          <w:color w:val="000000" w:themeColor="text1"/>
        </w:rPr>
        <w:t xml:space="preserve"> Landssnittet ligger på 5,7 %.</w:t>
      </w:r>
      <w:bookmarkStart w:id="0" w:name="_GoBack"/>
      <w:bookmarkEnd w:id="0"/>
    </w:p>
    <w:p w:rsidR="00ED457C" w:rsidRPr="006063F0" w:rsidRDefault="00ED457C" w:rsidP="00D36E2F">
      <w:pPr>
        <w:rPr>
          <w:rFonts w:ascii="Calibri" w:hAnsi="Calibri" w:cs="Arial"/>
          <w:color w:val="000000" w:themeColor="text1"/>
        </w:rPr>
      </w:pPr>
    </w:p>
    <w:p w:rsidR="00D36E2F" w:rsidRPr="00CD5D70" w:rsidRDefault="00CD5D70" w:rsidP="00D36E2F">
      <w:pPr>
        <w:rPr>
          <w:rFonts w:ascii="Calibri" w:hAnsi="Calibri" w:cs="Arial"/>
          <w:b/>
          <w:color w:val="000000" w:themeColor="text1"/>
          <w:sz w:val="28"/>
          <w:szCs w:val="28"/>
        </w:rPr>
      </w:pPr>
      <w:r>
        <w:rPr>
          <w:rFonts w:ascii="Calibri" w:hAnsi="Calibri" w:cs="Arial"/>
          <w:b/>
          <w:color w:val="000000" w:themeColor="text1"/>
          <w:sz w:val="28"/>
          <w:szCs w:val="28"/>
        </w:rPr>
        <w:lastRenderedPageBreak/>
        <w:t>Hva er en</w:t>
      </w:r>
      <w:r w:rsidRPr="00CD5D70">
        <w:rPr>
          <w:rFonts w:ascii="Calibri" w:hAnsi="Calibri" w:cs="Arial"/>
          <w:b/>
          <w:color w:val="000000" w:themeColor="text1"/>
          <w:sz w:val="28"/>
          <w:szCs w:val="28"/>
        </w:rPr>
        <w:t xml:space="preserve"> betalingsanmerkning</w:t>
      </w:r>
      <w:r>
        <w:rPr>
          <w:rFonts w:ascii="Calibri" w:hAnsi="Calibri" w:cs="Arial"/>
          <w:b/>
          <w:color w:val="000000" w:themeColor="text1"/>
          <w:sz w:val="28"/>
          <w:szCs w:val="28"/>
        </w:rPr>
        <w:t>?</w:t>
      </w:r>
    </w:p>
    <w:p w:rsidR="00D36E2F" w:rsidRDefault="00D36E2F" w:rsidP="00D36E2F">
      <w:pPr>
        <w:pStyle w:val="Listeavsnitt"/>
        <w:numPr>
          <w:ilvl w:val="0"/>
          <w:numId w:val="1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Inkassosak som ikke er betalt, etter flere purringer</w:t>
      </w:r>
    </w:p>
    <w:p w:rsidR="00D36E2F" w:rsidRDefault="00D36E2F" w:rsidP="00D36E2F">
      <w:pPr>
        <w:pStyle w:val="Listeavsnitt"/>
        <w:numPr>
          <w:ilvl w:val="0"/>
          <w:numId w:val="1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Registreres hos kredittopplysningsbyråene</w:t>
      </w:r>
    </w:p>
    <w:p w:rsidR="00D36E2F" w:rsidRPr="003874B8" w:rsidRDefault="00D36E2F" w:rsidP="00D36E2F">
      <w:pPr>
        <w:pStyle w:val="Listeavsnitt"/>
        <w:numPr>
          <w:ilvl w:val="0"/>
          <w:numId w:val="1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Kan medføre</w:t>
      </w:r>
      <w:r>
        <w:rPr>
          <w:rFonts w:ascii="Calibri" w:hAnsi="Calibri" w:cs="Arial"/>
          <w:color w:val="000000" w:themeColor="text1"/>
        </w:rPr>
        <w:t xml:space="preserve"> avslag på søknad om </w:t>
      </w:r>
      <w:r w:rsidRPr="0053574E">
        <w:rPr>
          <w:rFonts w:ascii="Calibri" w:hAnsi="Calibri" w:cs="Arial"/>
          <w:color w:val="000000" w:themeColor="text1"/>
        </w:rPr>
        <w:t>bla. bil- og bo</w:t>
      </w:r>
      <w:r>
        <w:rPr>
          <w:rFonts w:ascii="Calibri" w:hAnsi="Calibri" w:cs="Arial"/>
          <w:color w:val="000000" w:themeColor="text1"/>
        </w:rPr>
        <w:t>liglån og kreditt</w:t>
      </w:r>
    </w:p>
    <w:p w:rsidR="0095456D" w:rsidRDefault="00D36E2F" w:rsidP="006063F0">
      <w:pPr>
        <w:pStyle w:val="Listeavsnitt"/>
        <w:numPr>
          <w:ilvl w:val="0"/>
          <w:numId w:val="1"/>
        </w:numPr>
      </w:pPr>
      <w:r w:rsidRPr="0053574E">
        <w:rPr>
          <w:rFonts w:ascii="Calibri" w:hAnsi="Calibri" w:cs="Arial"/>
          <w:color w:val="000000" w:themeColor="text1"/>
        </w:rPr>
        <w:t xml:space="preserve">Slettes når man gjør opp </w:t>
      </w:r>
    </w:p>
    <w:p w:rsidR="00CD5D70" w:rsidRPr="00D24AF8" w:rsidRDefault="00CD5D70" w:rsidP="00CD5D70">
      <w:pPr>
        <w:rPr>
          <w:rFonts w:ascii="Calibri" w:hAnsi="Calibri"/>
          <w:b/>
          <w:sz w:val="28"/>
          <w:szCs w:val="28"/>
        </w:rPr>
      </w:pPr>
      <w:r w:rsidRPr="00D24AF8">
        <w:rPr>
          <w:rFonts w:ascii="Calibri" w:hAnsi="Calibri"/>
          <w:b/>
          <w:sz w:val="28"/>
          <w:szCs w:val="28"/>
        </w:rPr>
        <w:t>Utviklingen i betalingsanmerkninger – oversikt per fylke</w:t>
      </w:r>
    </w:p>
    <w:p w:rsidR="00CD5D70" w:rsidRDefault="00CD5D70" w:rsidP="00CD5D70">
      <w:pPr>
        <w:rPr>
          <w:rFonts w:ascii="Calibri" w:hAnsi="Calibri"/>
        </w:rPr>
      </w:pPr>
      <w:r w:rsidRPr="00D24AF8">
        <w:rPr>
          <w:rFonts w:ascii="Calibri" w:hAnsi="Calibri"/>
        </w:rPr>
        <w:t>Tall for fjerde kvartal 2016, med prosentvis endring fra fjerde kvartal 2015.</w:t>
      </w:r>
    </w:p>
    <w:p w:rsidR="00CD5D70" w:rsidRPr="00D24AF8" w:rsidRDefault="00CD5D70" w:rsidP="00CD5D70">
      <w:pPr>
        <w:rPr>
          <w:rFonts w:ascii="Calibri" w:hAnsi="Calibri"/>
          <w:b/>
        </w:rPr>
      </w:pPr>
      <w:r w:rsidRPr="00D24AF8">
        <w:rPr>
          <w:rFonts w:ascii="Calibri" w:hAnsi="Calibri"/>
          <w:b/>
        </w:rPr>
        <w:t>PERSONER MED BETALINGSANMERKNING:</w:t>
      </w:r>
    </w:p>
    <w:tbl>
      <w:tblPr>
        <w:tblW w:w="5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391"/>
        <w:gridCol w:w="1400"/>
      </w:tblGrid>
      <w:tr w:rsidR="00CD5D70" w:rsidRPr="00D24AF8" w:rsidTr="009837C1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Fylke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Antall personer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Endring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Østfold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16403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082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0,1 %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Akershus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23419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82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0,0 %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Oslo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33109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680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0,4 %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Hedmark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10626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D57F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-1,3 %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Oppland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9270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C37C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-2,2 %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Buskerud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13352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283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0,0 %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Vestfold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12559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182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-0,8 %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Telemark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8993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27F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-1,5 %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Aust-Agder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5273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27C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1,0 %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Vest-Agder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7452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7E6F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3,1 %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Rogaland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16166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3,7 %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Hordaland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20195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AB78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1,7 %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Sogn og Fjordane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2878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37D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0,9 %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Møre og Romsdal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9476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D47F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-1,4 %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Sør-Trøndelag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12032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582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-0,6 %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Nord-Trøndelag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6044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37F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-1,5 %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Nordland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11448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CB7D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-1,8 %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Troms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7702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-2,5 %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Finnmark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4594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BC97D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-1,9 %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Totalt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>
              <w:rPr>
                <w:rFonts w:ascii="Calibri" w:eastAsia="Times New Roman" w:hAnsi="Calibri" w:cs="Arial"/>
                <w:color w:val="000000"/>
                <w:lang w:eastAsia="nb-NO"/>
              </w:rPr>
              <w:t xml:space="preserve">                             </w:t>
            </w: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 xml:space="preserve"> 226 397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0,0 %</w:t>
            </w:r>
          </w:p>
        </w:tc>
      </w:tr>
    </w:tbl>
    <w:p w:rsidR="00CD5D70" w:rsidRDefault="00CD5D70" w:rsidP="00CD5D70"/>
    <w:p w:rsidR="00CD5D70" w:rsidRPr="00D24AF8" w:rsidRDefault="00CD5D70" w:rsidP="00CD5D70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lang w:eastAsia="nb-NO"/>
        </w:rPr>
      </w:pPr>
      <w:r w:rsidRPr="00D24AF8">
        <w:rPr>
          <w:rFonts w:ascii="Calibri" w:eastAsia="Times New Roman" w:hAnsi="Calibri" w:cs="Arial"/>
          <w:b/>
          <w:bCs/>
          <w:color w:val="000000"/>
          <w:lang w:eastAsia="nb-NO"/>
        </w:rPr>
        <w:t>ANTALL BETALINGSANMERKNINGER:</w:t>
      </w:r>
      <w:r>
        <w:rPr>
          <w:rFonts w:ascii="Calibri" w:eastAsia="Times New Roman" w:hAnsi="Calibri" w:cs="Arial"/>
          <w:b/>
          <w:bCs/>
          <w:color w:val="000000"/>
          <w:lang w:eastAsia="nb-NO"/>
        </w:rPr>
        <w:br/>
      </w:r>
    </w:p>
    <w:tbl>
      <w:tblPr>
        <w:tblW w:w="5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353"/>
        <w:gridCol w:w="1400"/>
      </w:tblGrid>
      <w:tr w:rsidR="00CD5D70" w:rsidRPr="00D24AF8" w:rsidTr="009837C1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Fylke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Antall anmerkninger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Endring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Østfold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92512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47D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8,0 %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Akershus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131133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17F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7,0 %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Oslo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157777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A83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4,8 %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Hedmark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59457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CA7D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1,7 %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Oppland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52245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BE7B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0,6 %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Buskerud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71946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884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5,1 %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Vestfold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69594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E582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4,3 %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lastRenderedPageBreak/>
              <w:t>Telemark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49955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B81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6,2 %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Aust-Agder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31131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8A72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12,7 %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Vest-Agder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43577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15,3 %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Rogaland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85070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8771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12,9 %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Hordaland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104323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83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5,6 %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Sogn og Fjordane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14376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CF7E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2,1 %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Møre og Romsdal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49765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E783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4,5 %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Sør-Trøndelag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63590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4,8 %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Nord-Trøndelag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32609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D7E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2,0 %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Nordland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58583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282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4,0 %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Troms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37991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0,5 %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Finnmark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22463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DB80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3,4 %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Totalt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>
              <w:rPr>
                <w:rFonts w:ascii="Calibri" w:eastAsia="Times New Roman" w:hAnsi="Calibri" w:cs="Arial"/>
                <w:color w:val="000000"/>
                <w:lang w:eastAsia="nb-NO"/>
              </w:rPr>
              <w:t xml:space="preserve">                          </w:t>
            </w: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 xml:space="preserve">1 228 097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5,8 %</w:t>
            </w:r>
          </w:p>
        </w:tc>
      </w:tr>
    </w:tbl>
    <w:p w:rsidR="00CD5D70" w:rsidRDefault="00CD5D70" w:rsidP="00CD5D70"/>
    <w:p w:rsidR="00CD5D70" w:rsidRPr="00D24AF8" w:rsidRDefault="00CD5D70" w:rsidP="00CD5D70">
      <w:pPr>
        <w:rPr>
          <w:rFonts w:ascii="Calibri" w:hAnsi="Calibri"/>
          <w:b/>
        </w:rPr>
      </w:pPr>
      <w:r w:rsidRPr="00D24AF8">
        <w:rPr>
          <w:rFonts w:ascii="Calibri" w:hAnsi="Calibri"/>
          <w:b/>
        </w:rPr>
        <w:t>ANDEL AV BEFOLKNINGEN MED BETALINGSANMERKNING:</w:t>
      </w:r>
    </w:p>
    <w:tbl>
      <w:tblPr>
        <w:tblW w:w="5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280"/>
        <w:gridCol w:w="1400"/>
      </w:tblGrid>
      <w:tr w:rsidR="00CD5D70" w:rsidRPr="00D24AF8" w:rsidTr="009837C1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Fylke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Andel med anmerkning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Endring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Østfold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7,2 %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680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-1,1 %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Akershus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5,2 %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A83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-1,8 %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Oslo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6,3 %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E82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-1,3 %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Hedmark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6,8 %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-1,8 %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Oppland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6,1 %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D57F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-2,5 %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Buskerud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6,1 %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D82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-1,3 %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Vestfold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6,5 %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E482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-2,0 %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Telemark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6,5 %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182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-2,1 %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Aust-Agder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5,9 %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BD7C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-0,2 %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Vest-Agder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5,3 %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8370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1,8 %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Rogaland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4,5 %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2,7 %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Hordaland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5,0 %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A978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0,5 %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Sogn og Fjordane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3,4 %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AC78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0,4 %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Møre og Romsdal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4,6 %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D81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-2,2 %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Sør-Trøndelag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4,9 %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E883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-1,9 %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Nord-Trøndelag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5,7 %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081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-2,1 %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Nordland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6,0 %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DC81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-2,3 %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Troms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5,9 %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-3,3 %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Finnmark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7,7 %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D17E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-2,6 %</w:t>
            </w:r>
          </w:p>
        </w:tc>
      </w:tr>
      <w:tr w:rsidR="00CD5D70" w:rsidRPr="00D24AF8" w:rsidTr="009837C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>
              <w:rPr>
                <w:rFonts w:ascii="Calibri" w:eastAsia="Times New Roman" w:hAnsi="Calibri" w:cs="Arial"/>
                <w:color w:val="000000"/>
                <w:lang w:eastAsia="nb-NO"/>
              </w:rPr>
              <w:t>Totalt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5,7 %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CD5D70" w:rsidRPr="00D24AF8" w:rsidRDefault="00CD5D70" w:rsidP="009837C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-1,1 %</w:t>
            </w:r>
          </w:p>
        </w:tc>
      </w:tr>
    </w:tbl>
    <w:p w:rsidR="00CD5D70" w:rsidRPr="002049F0" w:rsidRDefault="00CD5D70" w:rsidP="00D36E2F">
      <w:pPr>
        <w:rPr>
          <w:rFonts w:ascii="Calibri" w:hAnsi="Calibri" w:cstheme="minorHAnsi"/>
          <w:i/>
        </w:rPr>
      </w:pPr>
    </w:p>
    <w:p w:rsidR="00CD5D70" w:rsidRPr="00CD5D70" w:rsidRDefault="00CD5D70" w:rsidP="00D36E2F">
      <w:pPr>
        <w:rPr>
          <w:rFonts w:ascii="Calibri" w:hAnsi="Calibri" w:cstheme="minorHAnsi"/>
          <w:i/>
        </w:rPr>
      </w:pPr>
      <w:r>
        <w:rPr>
          <w:rFonts w:ascii="Calibri" w:hAnsi="Calibri" w:cstheme="minorHAnsi"/>
          <w:i/>
        </w:rPr>
        <w:t xml:space="preserve">Kilde: </w:t>
      </w:r>
      <w:proofErr w:type="spellStart"/>
      <w:r>
        <w:rPr>
          <w:rFonts w:ascii="Calibri" w:hAnsi="Calibri" w:cstheme="minorHAnsi"/>
          <w:i/>
        </w:rPr>
        <w:t>Lindorffanalysen</w:t>
      </w:r>
      <w:proofErr w:type="spellEnd"/>
      <w:r>
        <w:rPr>
          <w:rFonts w:ascii="Calibri" w:hAnsi="Calibri" w:cstheme="minorHAnsi"/>
          <w:i/>
        </w:rPr>
        <w:t xml:space="preserve"> utgave 1, 2017/ </w:t>
      </w:r>
      <w:hyperlink r:id="rId9" w:history="1">
        <w:r w:rsidRPr="0031185D">
          <w:rPr>
            <w:rStyle w:val="Hyperkobling"/>
            <w:rFonts w:ascii="Calibri" w:hAnsi="Calibri" w:cstheme="minorHAnsi"/>
            <w:i/>
          </w:rPr>
          <w:t>Lindorff.no</w:t>
        </w:r>
      </w:hyperlink>
      <w:r>
        <w:rPr>
          <w:rFonts w:ascii="Calibri" w:hAnsi="Calibri" w:cstheme="minorHAnsi"/>
          <w:i/>
        </w:rPr>
        <w:t xml:space="preserve"> </w:t>
      </w:r>
    </w:p>
    <w:p w:rsidR="00D36E2F" w:rsidRPr="002049F0" w:rsidRDefault="00D36E2F" w:rsidP="00D36E2F">
      <w:pPr>
        <w:rPr>
          <w:rFonts w:ascii="Calibri" w:hAnsi="Calibri" w:cstheme="minorHAnsi"/>
          <w:color w:val="000000" w:themeColor="text1"/>
        </w:rPr>
      </w:pPr>
      <w:r w:rsidRPr="00DA35BF">
        <w:rPr>
          <w:rFonts w:ascii="Calibri" w:hAnsi="Calibri" w:cstheme="minorHAnsi"/>
          <w:b/>
          <w:color w:val="000000" w:themeColor="text1"/>
          <w:u w:val="single"/>
        </w:rPr>
        <w:t>For mer informasjon, kontakt</w:t>
      </w:r>
      <w:r w:rsidRPr="00DA35BF">
        <w:rPr>
          <w:rFonts w:ascii="Calibri" w:hAnsi="Calibri" w:cstheme="minorHAnsi"/>
          <w:color w:val="000000" w:themeColor="text1"/>
        </w:rPr>
        <w:br/>
        <w:t xml:space="preserve">Stig Inge Eikemo, kommunikasjonsdirektør i </w:t>
      </w:r>
      <w:proofErr w:type="spellStart"/>
      <w:r w:rsidRPr="00DA35BF">
        <w:rPr>
          <w:rFonts w:ascii="Calibri" w:hAnsi="Calibri" w:cstheme="minorHAnsi"/>
          <w:color w:val="000000" w:themeColor="text1"/>
        </w:rPr>
        <w:t>Lindorff</w:t>
      </w:r>
      <w:proofErr w:type="spellEnd"/>
      <w:r w:rsidRPr="00DA35BF">
        <w:rPr>
          <w:rFonts w:ascii="Calibri" w:hAnsi="Calibri" w:cstheme="minorHAnsi"/>
          <w:color w:val="000000" w:themeColor="text1"/>
        </w:rPr>
        <w:t xml:space="preserve">, stig-inge.eikemo@lindorff.com, </w:t>
      </w:r>
      <w:proofErr w:type="spellStart"/>
      <w:r w:rsidRPr="00DA35BF">
        <w:rPr>
          <w:rFonts w:ascii="Calibri" w:hAnsi="Calibri" w:cstheme="minorHAnsi"/>
          <w:color w:val="000000" w:themeColor="text1"/>
        </w:rPr>
        <w:t>mob</w:t>
      </w:r>
      <w:proofErr w:type="spellEnd"/>
      <w:r w:rsidRPr="00DA35BF">
        <w:rPr>
          <w:rFonts w:ascii="Calibri" w:hAnsi="Calibri" w:cstheme="minorHAnsi"/>
          <w:color w:val="000000" w:themeColor="text1"/>
        </w:rPr>
        <w:t>. 90070384</w:t>
      </w:r>
      <w:r w:rsidRPr="00DA35BF">
        <w:rPr>
          <w:rFonts w:ascii="Calibri" w:hAnsi="Calibri" w:cstheme="minorHAnsi"/>
          <w:color w:val="000000" w:themeColor="text1"/>
        </w:rPr>
        <w:br/>
        <w:t xml:space="preserve">Lene Kallum, kommunikasjonssjef i </w:t>
      </w:r>
      <w:proofErr w:type="spellStart"/>
      <w:r w:rsidRPr="00DA35BF">
        <w:rPr>
          <w:rFonts w:ascii="Calibri" w:hAnsi="Calibri" w:cstheme="minorHAnsi"/>
          <w:color w:val="000000" w:themeColor="text1"/>
        </w:rPr>
        <w:t>Lindorff</w:t>
      </w:r>
      <w:proofErr w:type="spellEnd"/>
      <w:r w:rsidRPr="00DA35BF">
        <w:rPr>
          <w:rFonts w:ascii="Calibri" w:hAnsi="Calibri" w:cstheme="minorHAnsi"/>
          <w:color w:val="000000" w:themeColor="text1"/>
        </w:rPr>
        <w:t xml:space="preserve">, </w:t>
      </w:r>
      <w:hyperlink r:id="rId10" w:history="1">
        <w:r w:rsidRPr="00D36E2F">
          <w:rPr>
            <w:rStyle w:val="Hyperkobling"/>
            <w:rFonts w:ascii="Calibri" w:hAnsi="Calibri" w:cstheme="minorHAnsi"/>
            <w:color w:val="000000" w:themeColor="text1"/>
            <w:u w:val="none"/>
          </w:rPr>
          <w:t>lene.kallum@lindorff.com</w:t>
        </w:r>
      </w:hyperlink>
      <w:r w:rsidRPr="00D36E2F">
        <w:rPr>
          <w:rFonts w:ascii="Calibri" w:hAnsi="Calibri" w:cstheme="minorHAnsi"/>
          <w:color w:val="000000" w:themeColor="text1"/>
        </w:rPr>
        <w:t>,</w:t>
      </w:r>
      <w:r w:rsidRPr="00DA35BF">
        <w:rPr>
          <w:rFonts w:ascii="Calibri" w:hAnsi="Calibri" w:cstheme="minorHAnsi"/>
          <w:color w:val="000000" w:themeColor="text1"/>
        </w:rPr>
        <w:t xml:space="preserve"> </w:t>
      </w:r>
      <w:proofErr w:type="spellStart"/>
      <w:r w:rsidRPr="00DA35BF">
        <w:rPr>
          <w:rFonts w:ascii="Calibri" w:hAnsi="Calibri" w:cstheme="minorHAnsi"/>
          <w:color w:val="000000" w:themeColor="text1"/>
        </w:rPr>
        <w:t>mob</w:t>
      </w:r>
      <w:proofErr w:type="spellEnd"/>
      <w:r w:rsidRPr="00DA35BF">
        <w:rPr>
          <w:rFonts w:ascii="Calibri" w:hAnsi="Calibri" w:cstheme="minorHAnsi"/>
          <w:color w:val="000000" w:themeColor="text1"/>
        </w:rPr>
        <w:t>. 99107900</w:t>
      </w:r>
      <w:r w:rsidRPr="00DA35BF">
        <w:rPr>
          <w:rFonts w:ascii="Calibri" w:hAnsi="Calibri"/>
          <w:color w:val="000000" w:themeColor="text1"/>
        </w:rPr>
        <w:br/>
      </w:r>
    </w:p>
    <w:p w:rsidR="00D36E2F" w:rsidRPr="004D5DBA" w:rsidRDefault="00D36E2F" w:rsidP="001262FB">
      <w:pPr>
        <w:rPr>
          <w:rFonts w:ascii="Calibri" w:hAnsi="Calibri" w:cstheme="minorHAnsi"/>
        </w:rPr>
      </w:pPr>
    </w:p>
    <w:sectPr w:rsidR="00D36E2F" w:rsidRPr="004D5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419A9"/>
    <w:multiLevelType w:val="hybridMultilevel"/>
    <w:tmpl w:val="C0C4B744"/>
    <w:lvl w:ilvl="0" w:tplc="D7D237CA">
      <w:start w:val="20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05EB9"/>
    <w:multiLevelType w:val="hybridMultilevel"/>
    <w:tmpl w:val="0A5E28AE"/>
    <w:lvl w:ilvl="0" w:tplc="F7E4935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94CB3"/>
    <w:multiLevelType w:val="hybridMultilevel"/>
    <w:tmpl w:val="3CF6F656"/>
    <w:lvl w:ilvl="0" w:tplc="5C1E7DF2">
      <w:start w:val="20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55392"/>
    <w:multiLevelType w:val="hybridMultilevel"/>
    <w:tmpl w:val="E926FC1E"/>
    <w:lvl w:ilvl="0" w:tplc="BE4C0AB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8469E"/>
    <w:multiLevelType w:val="hybridMultilevel"/>
    <w:tmpl w:val="CE201B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991F83"/>
    <w:multiLevelType w:val="hybridMultilevel"/>
    <w:tmpl w:val="6D945436"/>
    <w:lvl w:ilvl="0" w:tplc="48568FFE">
      <w:start w:val="20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F26DF"/>
    <w:multiLevelType w:val="hybridMultilevel"/>
    <w:tmpl w:val="056C4B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938DB"/>
    <w:multiLevelType w:val="hybridMultilevel"/>
    <w:tmpl w:val="A1BC3EC0"/>
    <w:lvl w:ilvl="0" w:tplc="4200601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0A37DD"/>
    <w:multiLevelType w:val="hybridMultilevel"/>
    <w:tmpl w:val="B3429D70"/>
    <w:lvl w:ilvl="0" w:tplc="72103474">
      <w:start w:val="20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742C56"/>
    <w:multiLevelType w:val="hybridMultilevel"/>
    <w:tmpl w:val="4DBC82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AC1A4F"/>
    <w:multiLevelType w:val="hybridMultilevel"/>
    <w:tmpl w:val="11A07E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2FB"/>
    <w:rsid w:val="00043B0B"/>
    <w:rsid w:val="000830EC"/>
    <w:rsid w:val="0008410A"/>
    <w:rsid w:val="000A23B3"/>
    <w:rsid w:val="000B1EEF"/>
    <w:rsid w:val="000C77E4"/>
    <w:rsid w:val="000F08EF"/>
    <w:rsid w:val="00111F70"/>
    <w:rsid w:val="001262FB"/>
    <w:rsid w:val="0013794B"/>
    <w:rsid w:val="0016232C"/>
    <w:rsid w:val="00195829"/>
    <w:rsid w:val="002410EE"/>
    <w:rsid w:val="00286EE0"/>
    <w:rsid w:val="00295EEF"/>
    <w:rsid w:val="0031185D"/>
    <w:rsid w:val="00313F0F"/>
    <w:rsid w:val="00324C59"/>
    <w:rsid w:val="00325B8C"/>
    <w:rsid w:val="003915CC"/>
    <w:rsid w:val="00392AFD"/>
    <w:rsid w:val="003C5A7C"/>
    <w:rsid w:val="003C642B"/>
    <w:rsid w:val="003D39DC"/>
    <w:rsid w:val="003F1E51"/>
    <w:rsid w:val="00441316"/>
    <w:rsid w:val="00445C24"/>
    <w:rsid w:val="00476F6F"/>
    <w:rsid w:val="004846BB"/>
    <w:rsid w:val="0048685F"/>
    <w:rsid w:val="004A0C1E"/>
    <w:rsid w:val="004B2158"/>
    <w:rsid w:val="004B27AA"/>
    <w:rsid w:val="004D30EC"/>
    <w:rsid w:val="004D5DBA"/>
    <w:rsid w:val="004E287B"/>
    <w:rsid w:val="00530E26"/>
    <w:rsid w:val="005678CF"/>
    <w:rsid w:val="0059549A"/>
    <w:rsid w:val="005A6E9E"/>
    <w:rsid w:val="005B5AE5"/>
    <w:rsid w:val="005D204F"/>
    <w:rsid w:val="005D2E51"/>
    <w:rsid w:val="005E4DFE"/>
    <w:rsid w:val="005F2983"/>
    <w:rsid w:val="006063F0"/>
    <w:rsid w:val="00624CEF"/>
    <w:rsid w:val="0062552D"/>
    <w:rsid w:val="00631BF4"/>
    <w:rsid w:val="006515A3"/>
    <w:rsid w:val="0065569E"/>
    <w:rsid w:val="00667681"/>
    <w:rsid w:val="0068321C"/>
    <w:rsid w:val="006F7602"/>
    <w:rsid w:val="00701C82"/>
    <w:rsid w:val="0070467C"/>
    <w:rsid w:val="00710820"/>
    <w:rsid w:val="00723062"/>
    <w:rsid w:val="00727CE4"/>
    <w:rsid w:val="00781144"/>
    <w:rsid w:val="0078646F"/>
    <w:rsid w:val="00830BD6"/>
    <w:rsid w:val="008972DE"/>
    <w:rsid w:val="008F14F6"/>
    <w:rsid w:val="008F6AFA"/>
    <w:rsid w:val="00943F48"/>
    <w:rsid w:val="0095456D"/>
    <w:rsid w:val="00973F1C"/>
    <w:rsid w:val="009952D0"/>
    <w:rsid w:val="009E6F21"/>
    <w:rsid w:val="009F5F5C"/>
    <w:rsid w:val="00A06BD9"/>
    <w:rsid w:val="00A22500"/>
    <w:rsid w:val="00A326AF"/>
    <w:rsid w:val="00A3615E"/>
    <w:rsid w:val="00A45EE7"/>
    <w:rsid w:val="00A87A62"/>
    <w:rsid w:val="00AB62DE"/>
    <w:rsid w:val="00AB633E"/>
    <w:rsid w:val="00AB6B5D"/>
    <w:rsid w:val="00AC2158"/>
    <w:rsid w:val="00AD0021"/>
    <w:rsid w:val="00B06E28"/>
    <w:rsid w:val="00B4783D"/>
    <w:rsid w:val="00B635C1"/>
    <w:rsid w:val="00B824A4"/>
    <w:rsid w:val="00B864DE"/>
    <w:rsid w:val="00BD271D"/>
    <w:rsid w:val="00BE22EE"/>
    <w:rsid w:val="00BE5F9C"/>
    <w:rsid w:val="00C10E94"/>
    <w:rsid w:val="00C130C6"/>
    <w:rsid w:val="00C35204"/>
    <w:rsid w:val="00C67B0D"/>
    <w:rsid w:val="00C9459C"/>
    <w:rsid w:val="00CD5D70"/>
    <w:rsid w:val="00CF0DC1"/>
    <w:rsid w:val="00CF3D31"/>
    <w:rsid w:val="00D077D3"/>
    <w:rsid w:val="00D31F35"/>
    <w:rsid w:val="00D36E2F"/>
    <w:rsid w:val="00D61D15"/>
    <w:rsid w:val="00D73AF0"/>
    <w:rsid w:val="00D82FF6"/>
    <w:rsid w:val="00D832F7"/>
    <w:rsid w:val="00DF3399"/>
    <w:rsid w:val="00DF484C"/>
    <w:rsid w:val="00E23420"/>
    <w:rsid w:val="00E44170"/>
    <w:rsid w:val="00E53852"/>
    <w:rsid w:val="00EC1B24"/>
    <w:rsid w:val="00ED457C"/>
    <w:rsid w:val="00EF64AF"/>
    <w:rsid w:val="00F31CEF"/>
    <w:rsid w:val="00F52D19"/>
    <w:rsid w:val="00F563FA"/>
    <w:rsid w:val="00F6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07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4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3F4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A6E9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A6E9E"/>
    <w:rPr>
      <w:rFonts w:ascii="Times New Roman" w:hAnsi="Times New Roman" w:cs="Times New Roman" w:hint="default"/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F298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F298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F298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F298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F298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07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4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3F4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A6E9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A6E9E"/>
    <w:rPr>
      <w:rFonts w:ascii="Times New Roman" w:hAnsi="Times New Roman" w:cs="Times New Roman" w:hint="default"/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F298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F298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F298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F298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F29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9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v.no/no/NAV+og+samfunn/Statistikk/Arbeidssokere+og+stillinger+-+statistikk/Hovedtall+om+arbeidsmarked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ene.kallum@lindorff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indorff.com/nn-NO/norge/om-lindorff/mediesenter/aktuelt/160217-Forverring-for-oljefylkene-lindorffanalysen" TargetMode="External"/></Relationships>
</file>

<file path=word/theme/theme1.xml><?xml version="1.0" encoding="utf-8"?>
<a:theme xmlns:a="http://schemas.openxmlformats.org/drawingml/2006/main" name="Office-tema">
  <a:themeElements>
    <a:clrScheme name="Lindorff_colors_2016">
      <a:dk1>
        <a:srgbClr val="000000"/>
      </a:dk1>
      <a:lt1>
        <a:srgbClr val="FFFFFF"/>
      </a:lt1>
      <a:dk2>
        <a:srgbClr val="0E6463"/>
      </a:dk2>
      <a:lt2>
        <a:srgbClr val="D9D1C7"/>
      </a:lt2>
      <a:accent1>
        <a:srgbClr val="7B9D97"/>
      </a:accent1>
      <a:accent2>
        <a:srgbClr val="42B5E4"/>
      </a:accent2>
      <a:accent3>
        <a:srgbClr val="A6D5CC"/>
      </a:accent3>
      <a:accent4>
        <a:srgbClr val="868787"/>
      </a:accent4>
      <a:accent5>
        <a:srgbClr val="FDB528"/>
      </a:accent5>
      <a:accent6>
        <a:srgbClr val="FF5A5A"/>
      </a:accent6>
      <a:hlink>
        <a:srgbClr val="42B5E4"/>
      </a:hlink>
      <a:folHlink>
        <a:srgbClr val="868787"/>
      </a:folHlink>
    </a:clrScheme>
    <a:fontScheme name="Lindorff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34C0D-3F21-4384-88EC-4FBA7EFA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1266</Words>
  <Characters>6714</Characters>
  <Application>Microsoft Office Word</Application>
  <DocSecurity>0</DocSecurity>
  <Lines>55</Lines>
  <Paragraphs>15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Lindorff</Company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Trasti Morten</dc:creator>
  <cp:lastModifiedBy>Kallum Lene</cp:lastModifiedBy>
  <cp:revision>16</cp:revision>
  <dcterms:created xsi:type="dcterms:W3CDTF">2017-03-14T08:58:00Z</dcterms:created>
  <dcterms:modified xsi:type="dcterms:W3CDTF">2017-03-14T17:06:00Z</dcterms:modified>
</cp:coreProperties>
</file>