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0" w:type="auto"/>
        <w:tblLayout w:type="fixed"/>
        <w:tblCellMar>
          <w:left w:w="0" w:type="dxa"/>
          <w:right w:w="0" w:type="dxa"/>
        </w:tblCellMar>
        <w:tblLook w:val="04A0" w:firstRow="1" w:lastRow="0" w:firstColumn="1" w:lastColumn="0" w:noHBand="0" w:noVBand="1"/>
      </w:tblPr>
      <w:tblGrid>
        <w:gridCol w:w="3022"/>
        <w:gridCol w:w="3022"/>
      </w:tblGrid>
      <w:tr w:rsidR="003430DC" w:rsidRPr="00293AE2" w:rsidTr="009F3932">
        <w:trPr>
          <w:trHeight w:hRule="exact" w:val="433"/>
        </w:trPr>
        <w:tc>
          <w:tcPr>
            <w:tcW w:w="3022" w:type="dxa"/>
            <w:tcBorders>
              <w:top w:val="nil"/>
              <w:left w:val="nil"/>
              <w:bottom w:val="nil"/>
              <w:right w:val="nil"/>
            </w:tcBorders>
            <w:vAlign w:val="bottom"/>
          </w:tcPr>
          <w:p w:rsidR="003430DC" w:rsidRPr="00293AE2" w:rsidRDefault="00223F9F" w:rsidP="009F3932">
            <w:pPr>
              <w:spacing w:line="220" w:lineRule="atLeast"/>
              <w:rPr>
                <w:rFonts w:cstheme="majorHAnsi"/>
                <w:b/>
                <w:sz w:val="20"/>
                <w:szCs w:val="18"/>
              </w:rPr>
            </w:pPr>
            <w:r>
              <w:rPr>
                <w:rFonts w:cstheme="majorHAnsi"/>
                <w:b/>
                <w:sz w:val="20"/>
                <w:szCs w:val="18"/>
              </w:rPr>
              <w:t>Handläggare</w:t>
            </w:r>
          </w:p>
        </w:tc>
        <w:tc>
          <w:tcPr>
            <w:tcW w:w="3022" w:type="dxa"/>
            <w:tcBorders>
              <w:top w:val="nil"/>
              <w:left w:val="nil"/>
              <w:bottom w:val="nil"/>
              <w:right w:val="nil"/>
            </w:tcBorders>
            <w:vAlign w:val="bottom"/>
          </w:tcPr>
          <w:p w:rsidR="003430DC" w:rsidRPr="00293AE2" w:rsidRDefault="00223F9F" w:rsidP="009F3932">
            <w:pPr>
              <w:spacing w:line="220" w:lineRule="atLeast"/>
              <w:rPr>
                <w:rFonts w:cstheme="majorHAnsi"/>
                <w:b/>
                <w:sz w:val="20"/>
                <w:szCs w:val="18"/>
              </w:rPr>
            </w:pPr>
            <w:r>
              <w:rPr>
                <w:rFonts w:cstheme="majorHAnsi"/>
                <w:b/>
                <w:sz w:val="20"/>
                <w:szCs w:val="18"/>
              </w:rPr>
              <w:t>Till</w:t>
            </w:r>
          </w:p>
        </w:tc>
      </w:tr>
      <w:tr w:rsidR="003430DC" w:rsidRPr="00C90AB0" w:rsidTr="009F3932">
        <w:trPr>
          <w:trHeight w:hRule="exact" w:val="1020"/>
        </w:trPr>
        <w:tc>
          <w:tcPr>
            <w:tcW w:w="3022" w:type="dxa"/>
            <w:tcBorders>
              <w:top w:val="nil"/>
              <w:left w:val="nil"/>
              <w:bottom w:val="nil"/>
              <w:right w:val="nil"/>
            </w:tcBorders>
          </w:tcPr>
          <w:p w:rsidR="003430DC" w:rsidRDefault="00223F9F" w:rsidP="009F3932">
            <w:pPr>
              <w:spacing w:line="220" w:lineRule="atLeast"/>
              <w:rPr>
                <w:rFonts w:cstheme="majorHAnsi"/>
                <w:sz w:val="20"/>
                <w:szCs w:val="18"/>
              </w:rPr>
            </w:pPr>
            <w:bookmarkStart w:id="0" w:name="Adressaten"/>
            <w:bookmarkEnd w:id="0"/>
            <w:r>
              <w:rPr>
                <w:rFonts w:cstheme="majorHAnsi"/>
                <w:sz w:val="20"/>
                <w:szCs w:val="18"/>
              </w:rPr>
              <w:t>Johan Adolfsson</w:t>
            </w:r>
          </w:p>
          <w:p w:rsidR="00223F9F" w:rsidRPr="00AF15B0" w:rsidRDefault="00223F9F" w:rsidP="009F3932">
            <w:pPr>
              <w:spacing w:line="220" w:lineRule="atLeast"/>
              <w:rPr>
                <w:rFonts w:cstheme="majorHAnsi"/>
                <w:sz w:val="20"/>
                <w:szCs w:val="18"/>
              </w:rPr>
            </w:pPr>
            <w:r>
              <w:rPr>
                <w:rFonts w:cstheme="majorHAnsi"/>
                <w:sz w:val="20"/>
                <w:szCs w:val="18"/>
              </w:rPr>
              <w:t>Telefon: 08-508 33 926</w:t>
            </w:r>
          </w:p>
        </w:tc>
        <w:tc>
          <w:tcPr>
            <w:tcW w:w="3022" w:type="dxa"/>
            <w:tcBorders>
              <w:top w:val="nil"/>
              <w:left w:val="nil"/>
              <w:bottom w:val="nil"/>
              <w:right w:val="nil"/>
            </w:tcBorders>
          </w:tcPr>
          <w:p w:rsidR="00223F9F" w:rsidRDefault="00223F9F" w:rsidP="009F3932">
            <w:pPr>
              <w:spacing w:line="220" w:lineRule="atLeast"/>
              <w:rPr>
                <w:rFonts w:cstheme="majorHAnsi"/>
                <w:sz w:val="20"/>
                <w:szCs w:val="18"/>
              </w:rPr>
            </w:pPr>
            <w:r>
              <w:rPr>
                <w:rFonts w:cstheme="majorHAnsi"/>
                <w:sz w:val="20"/>
                <w:szCs w:val="18"/>
              </w:rPr>
              <w:t>Utbildningsnämnden</w:t>
            </w:r>
          </w:p>
          <w:p w:rsidR="003430DC" w:rsidRPr="00AF15B0" w:rsidRDefault="00223F9F" w:rsidP="009F3932">
            <w:pPr>
              <w:spacing w:line="220" w:lineRule="atLeast"/>
              <w:rPr>
                <w:rFonts w:cstheme="majorHAnsi"/>
                <w:sz w:val="20"/>
                <w:szCs w:val="18"/>
              </w:rPr>
            </w:pPr>
            <w:r>
              <w:rPr>
                <w:rFonts w:cstheme="majorHAnsi"/>
                <w:sz w:val="20"/>
                <w:szCs w:val="18"/>
              </w:rPr>
              <w:t>2014-11-27</w:t>
            </w:r>
          </w:p>
        </w:tc>
      </w:tr>
    </w:tbl>
    <w:p w:rsidR="00E13958" w:rsidRDefault="00223F9F" w:rsidP="00655CDD">
      <w:pPr>
        <w:pStyle w:val="Rubrik1"/>
      </w:pPr>
      <w:bookmarkStart w:id="1" w:name="Rubriken"/>
      <w:bookmarkEnd w:id="1"/>
      <w:r>
        <w:t>Överklagande av Förvaltningsrätten i Stockholms dom</w:t>
      </w:r>
      <w:r w:rsidR="00CA4CE2">
        <w:t xml:space="preserve"> angående vitesföreläggande</w:t>
      </w:r>
    </w:p>
    <w:p w:rsidR="000F5B55" w:rsidRDefault="000F5B55" w:rsidP="000F1527">
      <w:pPr>
        <w:spacing w:line="0" w:lineRule="auto"/>
      </w:pPr>
    </w:p>
    <w:p w:rsidR="00D4646A" w:rsidRDefault="00D4646A" w:rsidP="000F5B55">
      <w:pPr>
        <w:spacing w:line="0" w:lineRule="auto"/>
        <w:rPr>
          <w:lang w:eastAsia="sv-SE"/>
        </w:rPr>
      </w:pPr>
    </w:p>
    <w:p w:rsidR="00223F9F" w:rsidRDefault="00223F9F" w:rsidP="00223F9F">
      <w:pPr>
        <w:pStyle w:val="Rubrik2"/>
      </w:pPr>
      <w:r>
        <w:t>Förvaltningens förslag till beslut</w:t>
      </w:r>
    </w:p>
    <w:p w:rsidR="00223F9F" w:rsidRDefault="00223F9F" w:rsidP="00223F9F">
      <w:pPr>
        <w:pStyle w:val="Liststycke"/>
        <w:numPr>
          <w:ilvl w:val="0"/>
          <w:numId w:val="8"/>
        </w:numPr>
      </w:pPr>
      <w:bookmarkStart w:id="2" w:name="_GoBack"/>
      <w:r>
        <w:t xml:space="preserve">Utbildningsnämnden </w:t>
      </w:r>
      <w:r w:rsidR="00CB2CE4">
        <w:t xml:space="preserve">beslutar att </w:t>
      </w:r>
      <w:r>
        <w:t>Förvaltningsrätten i Stockholms dom den 19 november 2014</w:t>
      </w:r>
      <w:r w:rsidR="00CA4CE2">
        <w:t>,</w:t>
      </w:r>
      <w:r>
        <w:t xml:space="preserve"> mål </w:t>
      </w:r>
      <w:r w:rsidR="00CA4CE2">
        <w:t xml:space="preserve">nr </w:t>
      </w:r>
      <w:proofErr w:type="gramStart"/>
      <w:r w:rsidR="00CA4CE2">
        <w:t>28730-13</w:t>
      </w:r>
      <w:proofErr w:type="gramEnd"/>
      <w:r w:rsidR="00CB2CE4">
        <w:t xml:space="preserve"> ska överklagas</w:t>
      </w:r>
      <w:r w:rsidR="00CA4CE2">
        <w:t>.</w:t>
      </w:r>
    </w:p>
    <w:p w:rsidR="00223F9F" w:rsidRDefault="00223F9F" w:rsidP="00223F9F">
      <w:pPr>
        <w:pStyle w:val="Liststycke"/>
        <w:numPr>
          <w:ilvl w:val="0"/>
          <w:numId w:val="8"/>
        </w:numPr>
      </w:pPr>
      <w:r>
        <w:t>Utbildningsnämnden uppdrar åt stadsledningskontorets juridiska avdelning att</w:t>
      </w:r>
      <w:r w:rsidR="00CA4CE2">
        <w:t xml:space="preserve"> med stöd av fullmakt </w:t>
      </w:r>
      <w:r>
        <w:t>föra utbildningsnämndens talan</w:t>
      </w:r>
      <w:r w:rsidR="00CA4CE2">
        <w:t xml:space="preserve"> i enlighet med detta tjänsteutlåtande. </w:t>
      </w:r>
    </w:p>
    <w:p w:rsidR="00223F9F" w:rsidRDefault="00223F9F" w:rsidP="00223F9F">
      <w:pPr>
        <w:pStyle w:val="Liststycke"/>
        <w:numPr>
          <w:ilvl w:val="0"/>
          <w:numId w:val="8"/>
        </w:numPr>
      </w:pPr>
      <w:r>
        <w:t>Beslutet justeras omedelbart.</w:t>
      </w:r>
      <w:bookmarkEnd w:id="2"/>
    </w:p>
    <w:p w:rsidR="00223F9F" w:rsidRDefault="00223F9F" w:rsidP="00223F9F"/>
    <w:p w:rsidR="00223F9F" w:rsidRDefault="00223F9F" w:rsidP="00223F9F"/>
    <w:p w:rsidR="00223F9F" w:rsidRPr="006136CF" w:rsidRDefault="00223F9F" w:rsidP="009217DB">
      <w:pPr>
        <w:pStyle w:val="Underskrift"/>
      </w:pPr>
      <w:r>
        <w:t>Lena Holmdahl</w:t>
      </w:r>
      <w:r w:rsidRPr="006136CF">
        <w:tab/>
      </w:r>
      <w:r>
        <w:t>Håkan Edman</w:t>
      </w:r>
      <w:r w:rsidRPr="006136CF">
        <w:br/>
      </w:r>
      <w:r>
        <w:t>T.f. utbildningsdirektör</w:t>
      </w:r>
      <w:r w:rsidRPr="006136CF">
        <w:tab/>
      </w:r>
      <w:r>
        <w:t>Grundskoledirektör</w:t>
      </w:r>
    </w:p>
    <w:p w:rsidR="00223F9F" w:rsidRDefault="00223F9F" w:rsidP="00223F9F"/>
    <w:p w:rsidR="00DF3136" w:rsidRDefault="00DF3136" w:rsidP="00223F9F"/>
    <w:p w:rsidR="00223F9F" w:rsidRPr="006136CF" w:rsidRDefault="00223F9F" w:rsidP="009217DB">
      <w:pPr>
        <w:pStyle w:val="Underskrift"/>
      </w:pPr>
      <w:r>
        <w:t>Jan Holmquist</w:t>
      </w:r>
      <w:r w:rsidRPr="006136CF">
        <w:tab/>
      </w:r>
      <w:r>
        <w:t>Astrid Norderfeldt</w:t>
      </w:r>
      <w:r w:rsidRPr="006136CF">
        <w:br/>
      </w:r>
      <w:r>
        <w:t>Gymnasiedirektör</w:t>
      </w:r>
      <w:r w:rsidRPr="006136CF">
        <w:tab/>
      </w:r>
      <w:r>
        <w:t>Avdelningschef</w:t>
      </w:r>
    </w:p>
    <w:p w:rsidR="00223F9F" w:rsidRDefault="00223F9F" w:rsidP="00223F9F"/>
    <w:p w:rsidR="00DF3136" w:rsidRDefault="00DF3136" w:rsidP="00223F9F"/>
    <w:p w:rsidR="00223F9F" w:rsidRPr="006136CF" w:rsidRDefault="00223F9F" w:rsidP="009217DB">
      <w:pPr>
        <w:pStyle w:val="Underskrift"/>
      </w:pPr>
      <w:r>
        <w:t>Elisabeth Barö-Dérantz</w:t>
      </w:r>
      <w:r w:rsidRPr="006136CF">
        <w:tab/>
      </w:r>
      <w:r>
        <w:t>Ann Hellenius</w:t>
      </w:r>
      <w:r w:rsidRPr="006136CF">
        <w:br/>
      </w:r>
      <w:r>
        <w:t>Avdelningschef</w:t>
      </w:r>
      <w:r w:rsidRPr="006136CF">
        <w:tab/>
      </w:r>
      <w:proofErr w:type="spellStart"/>
      <w:r>
        <w:t>Avdelningschef</w:t>
      </w:r>
      <w:proofErr w:type="spellEnd"/>
    </w:p>
    <w:p w:rsidR="00223F9F" w:rsidRDefault="00223F9F" w:rsidP="00223F9F"/>
    <w:p w:rsidR="00DF3136" w:rsidRDefault="00DF3136" w:rsidP="00223F9F"/>
    <w:p w:rsidR="00316898" w:rsidRDefault="00316898" w:rsidP="000F5B55">
      <w:pPr>
        <w:spacing w:line="0" w:lineRule="auto"/>
      </w:pPr>
    </w:p>
    <w:p w:rsidR="00223F9F" w:rsidRDefault="00223F9F" w:rsidP="00223F9F">
      <w:pPr>
        <w:pStyle w:val="Rubrik2"/>
      </w:pPr>
      <w:r>
        <w:t>Sammanfattning</w:t>
      </w:r>
    </w:p>
    <w:p w:rsidR="00CD326F" w:rsidRDefault="00CD326F" w:rsidP="00CD326F">
      <w:r>
        <w:t>Arbetsmiljöverket har den 20 februari 2013 förelagt Stockholms stad att vidta arbetsmiljöåtgärder vid Stockholms grund- och gymnasieskolor</w:t>
      </w:r>
      <w:r w:rsidR="008B5C8D">
        <w:t>,</w:t>
      </w:r>
      <w:r w:rsidR="00F02CFF">
        <w:t xml:space="preserve"> vid vite av 2</w:t>
      </w:r>
      <w:r>
        <w:t xml:space="preserve"> </w:t>
      </w:r>
      <w:r w:rsidR="00F02CFF">
        <w:t>mn</w:t>
      </w:r>
      <w:r>
        <w:t>kr.</w:t>
      </w:r>
    </w:p>
    <w:p w:rsidR="00CD326F" w:rsidRDefault="00CD326F" w:rsidP="00CD326F"/>
    <w:p w:rsidR="008B5C8D" w:rsidRDefault="008B5C8D" w:rsidP="00CD326F">
      <w:pPr>
        <w:rPr>
          <w:lang w:eastAsia="sv-SE"/>
        </w:rPr>
      </w:pPr>
      <w:r>
        <w:rPr>
          <w:lang w:eastAsia="sv-SE"/>
        </w:rPr>
        <w:t>Utbildningsn</w:t>
      </w:r>
      <w:r w:rsidR="00CD326F">
        <w:rPr>
          <w:lang w:eastAsia="sv-SE"/>
        </w:rPr>
        <w:t xml:space="preserve">ämnden har vidtagit en rad åtgärder för att uppfylla föreläggandet. Arbetsmiljöverket har inte ansett att åtgärderna var tillräckliga i alla delar och har därför ansökt till Förvaltningsrätten i </w:t>
      </w:r>
      <w:r w:rsidR="00CD326F">
        <w:rPr>
          <w:lang w:eastAsia="sv-SE"/>
        </w:rPr>
        <w:lastRenderedPageBreak/>
        <w:t xml:space="preserve">Stockholm om </w:t>
      </w:r>
      <w:r>
        <w:rPr>
          <w:lang w:eastAsia="sv-SE"/>
        </w:rPr>
        <w:t xml:space="preserve">utdömande av </w:t>
      </w:r>
      <w:r w:rsidR="00CD326F">
        <w:rPr>
          <w:lang w:eastAsia="sv-SE"/>
        </w:rPr>
        <w:t>vite. Nämnden har till förvaltning</w:t>
      </w:r>
      <w:r>
        <w:rPr>
          <w:lang w:eastAsia="sv-SE"/>
        </w:rPr>
        <w:t>srätten</w:t>
      </w:r>
      <w:r w:rsidR="00CD326F">
        <w:rPr>
          <w:lang w:eastAsia="sv-SE"/>
        </w:rPr>
        <w:t xml:space="preserve"> framfört att förläggandet är uppfyllt </w:t>
      </w:r>
      <w:r w:rsidR="001D41D9">
        <w:rPr>
          <w:lang w:eastAsia="sv-SE"/>
        </w:rPr>
        <w:t xml:space="preserve">samt </w:t>
      </w:r>
      <w:r w:rsidR="00CD326F">
        <w:rPr>
          <w:lang w:eastAsia="sv-SE"/>
        </w:rPr>
        <w:t xml:space="preserve">att om föreläggandet avser mer omfattande </w:t>
      </w:r>
      <w:r>
        <w:rPr>
          <w:lang w:eastAsia="sv-SE"/>
        </w:rPr>
        <w:t xml:space="preserve">åtgärder så är föreläggandet i strid med både </w:t>
      </w:r>
      <w:r w:rsidR="001D41D9">
        <w:rPr>
          <w:lang w:eastAsia="sv-SE"/>
        </w:rPr>
        <w:t xml:space="preserve">lagen om </w:t>
      </w:r>
      <w:r>
        <w:rPr>
          <w:lang w:eastAsia="sv-SE"/>
        </w:rPr>
        <w:t>vite och skollagstiftningen. Vidare finns det faktiska och praktiska hinder för mer omfattande åtgärder genom bland annat gällande kollektivavtal.</w:t>
      </w:r>
    </w:p>
    <w:p w:rsidR="008B5C8D" w:rsidRDefault="008B5C8D" w:rsidP="00CD326F">
      <w:pPr>
        <w:rPr>
          <w:lang w:eastAsia="sv-SE"/>
        </w:rPr>
      </w:pPr>
    </w:p>
    <w:p w:rsidR="008B5C8D" w:rsidRDefault="008B5C8D" w:rsidP="00CD326F">
      <w:pPr>
        <w:rPr>
          <w:lang w:eastAsia="sv-SE"/>
        </w:rPr>
      </w:pPr>
      <w:r>
        <w:rPr>
          <w:lang w:eastAsia="sv-SE"/>
        </w:rPr>
        <w:t>Förvaltningsrätten har bifallit ansökan genom utdömande av ett jämkat vite om 700 000 kr.</w:t>
      </w:r>
    </w:p>
    <w:p w:rsidR="008B5C8D" w:rsidRDefault="008B5C8D" w:rsidP="00CD326F">
      <w:pPr>
        <w:rPr>
          <w:lang w:eastAsia="sv-SE"/>
        </w:rPr>
      </w:pPr>
    </w:p>
    <w:p w:rsidR="00CD326F" w:rsidRDefault="008B5C8D" w:rsidP="00CD326F">
      <w:r>
        <w:rPr>
          <w:lang w:eastAsia="sv-SE"/>
        </w:rPr>
        <w:t xml:space="preserve">Förvaltningen föreslår att domen överklagas och att stadsledningskontorets juridiska avdelning får i uppdrag att utforma och inge </w:t>
      </w:r>
      <w:r w:rsidR="00E17E96">
        <w:rPr>
          <w:lang w:eastAsia="sv-SE"/>
        </w:rPr>
        <w:t>ö</w:t>
      </w:r>
      <w:r>
        <w:rPr>
          <w:lang w:eastAsia="sv-SE"/>
        </w:rPr>
        <w:t xml:space="preserve">verklagandet. </w:t>
      </w:r>
      <w:r w:rsidR="00CD326F">
        <w:rPr>
          <w:lang w:eastAsia="sv-SE"/>
        </w:rPr>
        <w:t xml:space="preserve">    </w:t>
      </w:r>
    </w:p>
    <w:p w:rsidR="00CD4C7D" w:rsidRPr="00CD4C7D" w:rsidRDefault="00CD4C7D" w:rsidP="00CD4C7D"/>
    <w:p w:rsidR="0082203A" w:rsidRDefault="0082203A" w:rsidP="008B19BA">
      <w:pPr>
        <w:spacing w:line="0" w:lineRule="auto"/>
      </w:pPr>
    </w:p>
    <w:p w:rsidR="001F3A17" w:rsidRDefault="001F3A17" w:rsidP="0082203A">
      <w:pPr>
        <w:spacing w:line="0" w:lineRule="auto"/>
        <w:rPr>
          <w:rFonts w:asciiTheme="majorHAnsi" w:eastAsiaTheme="majorEastAsia" w:hAnsiTheme="majorHAnsi" w:cstheme="majorBidi"/>
          <w:b/>
          <w:bCs/>
          <w:szCs w:val="26"/>
        </w:rPr>
      </w:pPr>
    </w:p>
    <w:p w:rsidR="00223F9F" w:rsidRDefault="00223F9F" w:rsidP="00223F9F">
      <w:pPr>
        <w:pStyle w:val="Rubrik2"/>
      </w:pPr>
      <w:r>
        <w:t>Ärendets beredning</w:t>
      </w:r>
    </w:p>
    <w:p w:rsidR="00223F9F" w:rsidRDefault="00CA4CE2" w:rsidP="00223F9F">
      <w:r>
        <w:t>Ärendet har beretts inom utbildningsförvaltningen i samråd med stadsledningskontorets juridiska avdelning.</w:t>
      </w:r>
    </w:p>
    <w:p w:rsidR="00223F9F" w:rsidRPr="00223F9F" w:rsidRDefault="00223F9F" w:rsidP="00223F9F"/>
    <w:p w:rsidR="0016522D" w:rsidRDefault="0016522D" w:rsidP="001F3A17">
      <w:pPr>
        <w:spacing w:line="0" w:lineRule="auto"/>
      </w:pPr>
    </w:p>
    <w:p w:rsidR="00223F9F" w:rsidRDefault="00223F9F" w:rsidP="00223F9F">
      <w:pPr>
        <w:pStyle w:val="Rubrik2"/>
      </w:pPr>
      <w:r>
        <w:t>Bakgrund</w:t>
      </w:r>
      <w:r w:rsidR="00CB2CE4">
        <w:t>/Ärendet</w:t>
      </w:r>
    </w:p>
    <w:p w:rsidR="00094120" w:rsidRPr="00094120" w:rsidRDefault="00094120" w:rsidP="00094120">
      <w:pPr>
        <w:rPr>
          <w:u w:val="single"/>
        </w:rPr>
      </w:pPr>
      <w:r w:rsidRPr="00094120">
        <w:rPr>
          <w:u w:val="single"/>
        </w:rPr>
        <w:t>Föreläggandet</w:t>
      </w:r>
    </w:p>
    <w:p w:rsidR="00655CDD" w:rsidRDefault="00655CDD" w:rsidP="0016522D">
      <w:pPr>
        <w:spacing w:line="0" w:lineRule="auto"/>
      </w:pPr>
    </w:p>
    <w:p w:rsidR="00CA4CE2" w:rsidRDefault="00CA4CE2" w:rsidP="00DF3136">
      <w:r>
        <w:t>Arbetsmiljöverket, nedan AV, har den 20 februari 2013 förelagt Stockholms stad, nedan nämnden, att vidta arbetsmiljöåtgärder vid Stockholms grund- och gymnasieskolor vid vite av 2</w:t>
      </w:r>
      <w:r w:rsidR="00CB2CE4">
        <w:t xml:space="preserve"> mn</w:t>
      </w:r>
      <w:r>
        <w:t>kr</w:t>
      </w:r>
      <w:r w:rsidR="002673A9">
        <w:t>, se bilaga till förvaltningsrättens dom</w:t>
      </w:r>
      <w:r w:rsidR="001D41D9">
        <w:t>,</w:t>
      </w:r>
      <w:r w:rsidR="002673A9">
        <w:t xml:space="preserve"> bilaga 1</w:t>
      </w:r>
      <w:r>
        <w:t>.</w:t>
      </w:r>
    </w:p>
    <w:p w:rsidR="00CA4CE2" w:rsidRDefault="00CA4CE2" w:rsidP="00DF3136"/>
    <w:p w:rsidR="002673A9" w:rsidRDefault="002673A9" w:rsidP="002673A9">
      <w:pPr>
        <w:rPr>
          <w:lang w:eastAsia="sv-SE"/>
        </w:rPr>
      </w:pPr>
      <w:r>
        <w:rPr>
          <w:lang w:eastAsia="sv-SE"/>
        </w:rPr>
        <w:t xml:space="preserve">Föreläggandet avsåg tre olika krav, varav nämnden har åtgärdat två på av </w:t>
      </w:r>
      <w:proofErr w:type="spellStart"/>
      <w:r>
        <w:rPr>
          <w:lang w:eastAsia="sv-SE"/>
        </w:rPr>
        <w:t>AV</w:t>
      </w:r>
      <w:proofErr w:type="spellEnd"/>
      <w:r>
        <w:rPr>
          <w:lang w:eastAsia="sv-SE"/>
        </w:rPr>
        <w:t xml:space="preserve"> godkänt sätt. Från föreläggandet kvarstår därför endast följande krav, punkten 1 i föreläggandet, som lyder:</w:t>
      </w:r>
    </w:p>
    <w:p w:rsidR="002673A9" w:rsidRDefault="002673A9" w:rsidP="002673A9">
      <w:pPr>
        <w:rPr>
          <w:lang w:eastAsia="sv-SE"/>
        </w:rPr>
      </w:pPr>
      <w:r>
        <w:rPr>
          <w:lang w:eastAsia="sv-SE"/>
        </w:rPr>
        <w:t xml:space="preserve"> </w:t>
      </w:r>
    </w:p>
    <w:p w:rsidR="002673A9" w:rsidRPr="004E4B0F" w:rsidRDefault="002673A9" w:rsidP="002673A9">
      <w:pPr>
        <w:rPr>
          <w:i/>
          <w:lang w:eastAsia="sv-SE"/>
        </w:rPr>
      </w:pPr>
      <w:r w:rsidRPr="004E4B0F">
        <w:rPr>
          <w:i/>
          <w:lang w:eastAsia="sv-SE"/>
        </w:rPr>
        <w:t xml:space="preserve">”Ni ska se till att det skriftligen blir klarlagt för samtliga lärare och skolledare vilka arbetsuppgifter som det åligger lärarna att utföra inom ramen för respektive lärares reglerade arbetstid. Ni ska också se till att det skriftligen blir klarlagt för dem i vilken ordning lärarna ska prioritera sina arbetsuppgifter när den reglerade arbetstiden inte räcker till för alla arbetsuppgifter samt att det likaså tydliggörs vilket stöd som enskilda lärare kan erbjudas i sitt arbete.”     </w:t>
      </w:r>
    </w:p>
    <w:p w:rsidR="002673A9" w:rsidRDefault="002673A9" w:rsidP="002673A9">
      <w:pPr>
        <w:rPr>
          <w:i/>
          <w:lang w:eastAsia="sv-SE"/>
        </w:rPr>
      </w:pPr>
    </w:p>
    <w:p w:rsidR="00094120" w:rsidRPr="00094120" w:rsidRDefault="00094120" w:rsidP="002673A9">
      <w:pPr>
        <w:rPr>
          <w:u w:val="single"/>
          <w:lang w:eastAsia="sv-SE"/>
        </w:rPr>
      </w:pPr>
      <w:r w:rsidRPr="00094120">
        <w:rPr>
          <w:u w:val="single"/>
          <w:lang w:eastAsia="sv-SE"/>
        </w:rPr>
        <w:t>Ansökan om utdömande av vite</w:t>
      </w:r>
    </w:p>
    <w:p w:rsidR="002673A9" w:rsidRPr="00337E44" w:rsidRDefault="00337E44" w:rsidP="002673A9">
      <w:pPr>
        <w:rPr>
          <w:lang w:eastAsia="sv-SE"/>
        </w:rPr>
      </w:pPr>
      <w:r>
        <w:rPr>
          <w:lang w:eastAsia="sv-SE"/>
        </w:rPr>
        <w:t>Nämnden har vidtagit en rad åtgärder för att uppfylla även det</w:t>
      </w:r>
      <w:r w:rsidR="003E4DCF">
        <w:rPr>
          <w:lang w:eastAsia="sv-SE"/>
        </w:rPr>
        <w:t xml:space="preserve"> ovanstående refererade</w:t>
      </w:r>
      <w:r>
        <w:rPr>
          <w:lang w:eastAsia="sv-SE"/>
        </w:rPr>
        <w:t xml:space="preserve"> krav</w:t>
      </w:r>
      <w:r w:rsidR="003E4DCF">
        <w:rPr>
          <w:lang w:eastAsia="sv-SE"/>
        </w:rPr>
        <w:t>et</w:t>
      </w:r>
      <w:r>
        <w:rPr>
          <w:lang w:eastAsia="sv-SE"/>
        </w:rPr>
        <w:t xml:space="preserve">, se </w:t>
      </w:r>
      <w:r w:rsidR="00CB2CE4">
        <w:rPr>
          <w:lang w:eastAsia="sv-SE"/>
        </w:rPr>
        <w:t xml:space="preserve">utbildningsförvaltningens </w:t>
      </w:r>
      <w:r>
        <w:rPr>
          <w:lang w:eastAsia="sv-SE"/>
        </w:rPr>
        <w:t>tjäns</w:t>
      </w:r>
      <w:r w:rsidR="003E4DCF">
        <w:rPr>
          <w:lang w:eastAsia="sv-SE"/>
        </w:rPr>
        <w:t>teutlåtande</w:t>
      </w:r>
      <w:r w:rsidR="00CB2CE4">
        <w:rPr>
          <w:lang w:eastAsia="sv-SE"/>
        </w:rPr>
        <w:t>n 2013-05-16 och 2013-08-22</w:t>
      </w:r>
      <w:r w:rsidR="003E4DCF">
        <w:rPr>
          <w:lang w:eastAsia="sv-SE"/>
        </w:rPr>
        <w:t>, dnr 13-401/2803</w:t>
      </w:r>
      <w:r w:rsidR="00CB2CE4">
        <w:rPr>
          <w:lang w:eastAsia="sv-SE"/>
        </w:rPr>
        <w:t xml:space="preserve">. </w:t>
      </w:r>
      <w:r w:rsidR="003E4DCF">
        <w:rPr>
          <w:lang w:eastAsia="sv-SE"/>
        </w:rPr>
        <w:t>AV</w:t>
      </w:r>
      <w:r>
        <w:rPr>
          <w:lang w:eastAsia="sv-SE"/>
        </w:rPr>
        <w:t xml:space="preserve"> har dock inte ansett att åtgärderna </w:t>
      </w:r>
      <w:r w:rsidR="003E4DCF">
        <w:rPr>
          <w:lang w:eastAsia="sv-SE"/>
        </w:rPr>
        <w:t>ä</w:t>
      </w:r>
      <w:r>
        <w:rPr>
          <w:lang w:eastAsia="sv-SE"/>
        </w:rPr>
        <w:t xml:space="preserve">r tillräckliga och har därför </w:t>
      </w:r>
      <w:r>
        <w:rPr>
          <w:lang w:eastAsia="sv-SE"/>
        </w:rPr>
        <w:lastRenderedPageBreak/>
        <w:t xml:space="preserve">ansökt till Förvaltningsrätten i Stockholm om utdömande av ett jämkat vite mot Stockholms kommun.    </w:t>
      </w:r>
    </w:p>
    <w:p w:rsidR="00DF3136" w:rsidRDefault="00DF3136" w:rsidP="00DF3136"/>
    <w:p w:rsidR="00CA4CE2" w:rsidRDefault="003E4DCF" w:rsidP="00DF3136">
      <w:r>
        <w:t>I yttranden till förvaltningsrätten har nämnden i huvudsak anfört följande:</w:t>
      </w:r>
    </w:p>
    <w:p w:rsidR="003E4DCF" w:rsidRDefault="003E4DCF" w:rsidP="00DF3136"/>
    <w:p w:rsidR="003E4DCF" w:rsidRDefault="0025644D" w:rsidP="00DF3136">
      <w:pPr>
        <w:rPr>
          <w:i/>
        </w:rPr>
      </w:pPr>
      <w:r>
        <w:rPr>
          <w:i/>
        </w:rPr>
        <w:t>Föreläggandet är uppfyllt</w:t>
      </w:r>
    </w:p>
    <w:p w:rsidR="0025644D" w:rsidRDefault="0025644D" w:rsidP="00DF3136">
      <w:r>
        <w:t xml:space="preserve">Nämnden har vidtagit en rad åtgärder för kartläggning och för att garantera att alla lärare som behöver och vill ha av </w:t>
      </w:r>
      <w:proofErr w:type="spellStart"/>
      <w:r>
        <w:t>AV</w:t>
      </w:r>
      <w:proofErr w:type="spellEnd"/>
      <w:r>
        <w:t xml:space="preserve"> angiven prioritering</w:t>
      </w:r>
      <w:r w:rsidR="001D41D9">
        <w:t>sordning</w:t>
      </w:r>
      <w:r>
        <w:t xml:space="preserve"> ska få det.</w:t>
      </w:r>
      <w:r w:rsidR="00897EE2">
        <w:t xml:space="preserve"> Nämnden har även tydliggjort vilket stöd som enskilda </w:t>
      </w:r>
      <w:r w:rsidR="00BD25F4">
        <w:t>lärare kan erbjudas.</w:t>
      </w:r>
      <w:r>
        <w:t xml:space="preserve"> Av de lärare som har svarat på nämndens enkät år 2013 har 80 procent av grundskolelärarna och 70 procent av gymnasielärarna svarat att de har en tjänstefördelning, där de huvudsakliga arbetsuppgifterna framgår.  </w:t>
      </w:r>
    </w:p>
    <w:p w:rsidR="0025644D" w:rsidRDefault="0025644D" w:rsidP="00DF3136"/>
    <w:p w:rsidR="0025644D" w:rsidRPr="0025644D" w:rsidRDefault="0025644D" w:rsidP="00DF3136">
      <w:pPr>
        <w:rPr>
          <w:i/>
        </w:rPr>
      </w:pPr>
      <w:r w:rsidRPr="0025644D">
        <w:rPr>
          <w:i/>
        </w:rPr>
        <w:t>Förelägg</w:t>
      </w:r>
      <w:r>
        <w:rPr>
          <w:i/>
        </w:rPr>
        <w:t>an</w:t>
      </w:r>
      <w:r w:rsidRPr="0025644D">
        <w:rPr>
          <w:i/>
        </w:rPr>
        <w:t>det strider mot lag</w:t>
      </w:r>
    </w:p>
    <w:p w:rsidR="003E4DCF" w:rsidRDefault="00897EE2" w:rsidP="00DF3136">
      <w:r>
        <w:t xml:space="preserve">För det fall AV har avsett att föreläggandet </w:t>
      </w:r>
      <w:r w:rsidR="008B5C8D">
        <w:t>ska ha</w:t>
      </w:r>
      <w:r>
        <w:t xml:space="preserve"> en annan bestämd innebörd än den som nämnden har förstått, så framgår detta inte av föreläggandet. AV har inte heller på </w:t>
      </w:r>
      <w:r w:rsidR="00BD25F4">
        <w:t xml:space="preserve">fråga från </w:t>
      </w:r>
      <w:r>
        <w:t xml:space="preserve">nämnden </w:t>
      </w:r>
      <w:r w:rsidR="00BD25F4">
        <w:t xml:space="preserve">preciserat vad kravet innebär, utan tvärtom har AV angett att föreläggandet kan uppfyllas på olika sätt. </w:t>
      </w:r>
      <w:r w:rsidR="002C793F">
        <w:t xml:space="preserve">Mot bakgrund av att AV ändå </w:t>
      </w:r>
      <w:r w:rsidR="008B5C8D">
        <w:t xml:space="preserve">måste </w:t>
      </w:r>
      <w:r w:rsidR="002C793F">
        <w:t>ha haft en bestämd avsikt om vad som krävs för uppfyllande av föreläggandet</w:t>
      </w:r>
      <w:r w:rsidR="008B5C8D">
        <w:t>, eftersom AV ansökt om utdömande av vite,</w:t>
      </w:r>
      <w:r w:rsidR="002C793F">
        <w:t xml:space="preserve"> så har nämnden till domstolen framfört att föreläggandet inte uppfyller viteslagens krav på tydlighet. </w:t>
      </w:r>
      <w:r w:rsidR="00946CE9">
        <w:t xml:space="preserve">Vite kan inte utdömas, om det inte i ett föreläggande framgår en </w:t>
      </w:r>
      <w:r w:rsidR="002C793F">
        <w:t xml:space="preserve">klart definierad prestation </w:t>
      </w:r>
      <w:r w:rsidR="00946CE9">
        <w:t>som vitet har knutits till.</w:t>
      </w:r>
      <w:r w:rsidR="002C793F">
        <w:t xml:space="preserve"> </w:t>
      </w:r>
    </w:p>
    <w:p w:rsidR="002C793F" w:rsidRDefault="002C793F" w:rsidP="00DF3136"/>
    <w:p w:rsidR="00DA1BA8" w:rsidRDefault="002C793F" w:rsidP="00DA1BA8">
      <w:pPr>
        <w:spacing w:line="276" w:lineRule="auto"/>
        <w:rPr>
          <w:lang w:eastAsia="sv-SE"/>
        </w:rPr>
      </w:pPr>
      <w:r>
        <w:t xml:space="preserve">Nämnden har även </w:t>
      </w:r>
      <w:r w:rsidR="00DA1BA8">
        <w:t xml:space="preserve">förklarat </w:t>
      </w:r>
      <w:r>
        <w:t xml:space="preserve">att föreläggandet strider mot skollagstiftnigen. </w:t>
      </w:r>
      <w:r w:rsidR="00DA1BA8">
        <w:rPr>
          <w:lang w:eastAsia="sv-SE"/>
        </w:rPr>
        <w:t xml:space="preserve">Med anledning av detta har </w:t>
      </w:r>
      <w:r w:rsidR="00DA1BA8" w:rsidRPr="001C7E35">
        <w:rPr>
          <w:lang w:eastAsia="sv-SE"/>
        </w:rPr>
        <w:t>AV</w:t>
      </w:r>
      <w:r w:rsidR="00DA1BA8">
        <w:rPr>
          <w:lang w:eastAsia="sv-SE"/>
        </w:rPr>
        <w:t xml:space="preserve"> till domstolen framfört följande: </w:t>
      </w:r>
    </w:p>
    <w:p w:rsidR="00DA1BA8" w:rsidRDefault="00DA1BA8" w:rsidP="00DA1BA8">
      <w:pPr>
        <w:spacing w:line="276" w:lineRule="auto"/>
        <w:rPr>
          <w:lang w:eastAsia="sv-SE"/>
        </w:rPr>
      </w:pPr>
    </w:p>
    <w:p w:rsidR="00DA1BA8" w:rsidRDefault="00DA1BA8" w:rsidP="00DA1BA8">
      <w:pPr>
        <w:spacing w:line="276" w:lineRule="auto"/>
        <w:ind w:left="357"/>
        <w:rPr>
          <w:lang w:eastAsia="sv-SE"/>
        </w:rPr>
      </w:pPr>
      <w:r w:rsidRPr="001C7E35">
        <w:rPr>
          <w:lang w:eastAsia="sv-SE"/>
        </w:rPr>
        <w:t xml:space="preserve"> ”… att lärare även utför ett flertal arbetsuppgifter som inte har sin grund i skollagstiftningen och som därmed inte ingår i den direkta lagreglerade undervisningsverksamheten. Exempel är rastvakt, vakt i matsal och deltagande i ett antal olika konferenser/möten. Därmed finns utrymme för kommunen att ange hur arbetsuppgifterna ska prioriteras när tiden inte räcker till, vilket innebär att föreläggandet i denna del inte kan anses strida mot lag/inkräkta på Skolverkets ansvarsområde.”</w:t>
      </w:r>
      <w:r>
        <w:rPr>
          <w:lang w:eastAsia="sv-SE"/>
        </w:rPr>
        <w:t xml:space="preserve"> </w:t>
      </w:r>
    </w:p>
    <w:p w:rsidR="006971FD" w:rsidRDefault="006971FD" w:rsidP="00DA1BA8">
      <w:pPr>
        <w:spacing w:line="276" w:lineRule="auto"/>
        <w:ind w:left="357"/>
        <w:rPr>
          <w:lang w:eastAsia="sv-SE"/>
        </w:rPr>
      </w:pPr>
    </w:p>
    <w:p w:rsidR="006971FD" w:rsidRDefault="006971FD" w:rsidP="006971FD">
      <w:pPr>
        <w:spacing w:line="276" w:lineRule="auto"/>
        <w:rPr>
          <w:lang w:eastAsia="sv-SE"/>
        </w:rPr>
      </w:pPr>
      <w:r>
        <w:rPr>
          <w:lang w:eastAsia="sv-SE"/>
        </w:rPr>
        <w:t>AV har således till domstolen bekräftat att föreläggandet endast kan uppfyllas på ett begränsat sätt</w:t>
      </w:r>
      <w:r w:rsidR="00946CE9">
        <w:rPr>
          <w:lang w:eastAsia="sv-SE"/>
        </w:rPr>
        <w:t>,</w:t>
      </w:r>
      <w:r>
        <w:rPr>
          <w:lang w:eastAsia="sv-SE"/>
        </w:rPr>
        <w:t xml:space="preserve"> för att inte vara lagstridigt.</w:t>
      </w:r>
    </w:p>
    <w:p w:rsidR="006971FD" w:rsidRDefault="006971FD" w:rsidP="006971FD">
      <w:pPr>
        <w:spacing w:line="276" w:lineRule="auto"/>
        <w:rPr>
          <w:lang w:eastAsia="sv-SE"/>
        </w:rPr>
      </w:pPr>
    </w:p>
    <w:p w:rsidR="006971FD" w:rsidRDefault="006971FD" w:rsidP="006971FD">
      <w:pPr>
        <w:spacing w:line="276" w:lineRule="auto"/>
        <w:rPr>
          <w:i/>
          <w:lang w:eastAsia="sv-SE"/>
        </w:rPr>
      </w:pPr>
      <w:r w:rsidRPr="006971FD">
        <w:rPr>
          <w:i/>
          <w:lang w:eastAsia="sv-SE"/>
        </w:rPr>
        <w:lastRenderedPageBreak/>
        <w:t>Det föreligger hinder för</w:t>
      </w:r>
      <w:r>
        <w:rPr>
          <w:i/>
          <w:lang w:eastAsia="sv-SE"/>
        </w:rPr>
        <w:t xml:space="preserve"> uppfyllande för visst uppfyllande</w:t>
      </w:r>
    </w:p>
    <w:p w:rsidR="00A35B54" w:rsidRDefault="006971FD" w:rsidP="006971FD">
      <w:pPr>
        <w:spacing w:line="276" w:lineRule="auto"/>
        <w:rPr>
          <w:lang w:eastAsia="sv-SE"/>
        </w:rPr>
      </w:pPr>
      <w:r>
        <w:rPr>
          <w:lang w:eastAsia="sv-SE"/>
        </w:rPr>
        <w:t xml:space="preserve">Nämnden har till domstolen angett att föreläggandet inte kan uppfyllas på mer omfattande sätt utan omförhandling av gällande kollektivavtal, eftersom mer omfattande åtgärder kommer </w:t>
      </w:r>
      <w:r w:rsidR="0070242E">
        <w:rPr>
          <w:lang w:eastAsia="sv-SE"/>
        </w:rPr>
        <w:t xml:space="preserve">att </w:t>
      </w:r>
      <w:r>
        <w:rPr>
          <w:lang w:eastAsia="sv-SE"/>
        </w:rPr>
        <w:t>vara i strid med n</w:t>
      </w:r>
      <w:r w:rsidR="00A35B54">
        <w:rPr>
          <w:lang w:eastAsia="sv-SE"/>
        </w:rPr>
        <w:t>uvarande villkor</w:t>
      </w:r>
      <w:r>
        <w:rPr>
          <w:lang w:eastAsia="sv-SE"/>
        </w:rPr>
        <w:t xml:space="preserve"> </w:t>
      </w:r>
      <w:r w:rsidR="00A35B54">
        <w:rPr>
          <w:lang w:eastAsia="sv-SE"/>
        </w:rPr>
        <w:t>om</w:t>
      </w:r>
      <w:r>
        <w:rPr>
          <w:lang w:eastAsia="sv-SE"/>
        </w:rPr>
        <w:t xml:space="preserve"> </w:t>
      </w:r>
      <w:r w:rsidR="00A35B54">
        <w:rPr>
          <w:lang w:eastAsia="sv-SE"/>
        </w:rPr>
        <w:t>reglerad arbetstid respektive förtroendearbetstid.</w:t>
      </w:r>
    </w:p>
    <w:p w:rsidR="00A35B54" w:rsidRDefault="00A35B54" w:rsidP="006971FD">
      <w:pPr>
        <w:spacing w:line="276" w:lineRule="auto"/>
        <w:rPr>
          <w:lang w:eastAsia="sv-SE"/>
        </w:rPr>
      </w:pPr>
    </w:p>
    <w:p w:rsidR="00A35B54" w:rsidRDefault="005F75F2" w:rsidP="006971FD">
      <w:pPr>
        <w:spacing w:line="276" w:lineRule="auto"/>
        <w:rPr>
          <w:lang w:eastAsia="sv-SE"/>
        </w:rPr>
      </w:pPr>
      <w:r>
        <w:rPr>
          <w:lang w:eastAsia="sv-SE"/>
        </w:rPr>
        <w:t>Nämnden har även till domstolen framfört att AV i en skrivelse</w:t>
      </w:r>
      <w:r w:rsidR="00C2319A">
        <w:rPr>
          <w:lang w:eastAsia="sv-SE"/>
        </w:rPr>
        <w:t xml:space="preserve"> förklarat att begreppet ”reglerad arbetstid” var olämpligt att använda i AV:s beslut, och att AV i stället avs</w:t>
      </w:r>
      <w:r w:rsidR="001D41D9">
        <w:rPr>
          <w:lang w:eastAsia="sv-SE"/>
        </w:rPr>
        <w:t>er</w:t>
      </w:r>
      <w:r w:rsidR="00C2319A">
        <w:rPr>
          <w:lang w:eastAsia="sv-SE"/>
        </w:rPr>
        <w:t xml:space="preserve"> använda begreppet ”ordinarie arbetstid”</w:t>
      </w:r>
      <w:r w:rsidR="001D41D9">
        <w:rPr>
          <w:lang w:eastAsia="sv-SE"/>
        </w:rPr>
        <w:t xml:space="preserve"> i eventuella nya förelägganden</w:t>
      </w:r>
      <w:r w:rsidR="00C2319A">
        <w:rPr>
          <w:lang w:eastAsia="sv-SE"/>
        </w:rPr>
        <w:t xml:space="preserve">. </w:t>
      </w:r>
    </w:p>
    <w:p w:rsidR="00A35B54" w:rsidRDefault="00A35B54" w:rsidP="006971FD">
      <w:pPr>
        <w:spacing w:line="276" w:lineRule="auto"/>
        <w:rPr>
          <w:lang w:eastAsia="sv-SE"/>
        </w:rPr>
      </w:pPr>
    </w:p>
    <w:p w:rsidR="006971FD" w:rsidRDefault="00C2319A" w:rsidP="006971FD">
      <w:pPr>
        <w:spacing w:line="276" w:lineRule="auto"/>
        <w:rPr>
          <w:i/>
          <w:lang w:eastAsia="sv-SE"/>
        </w:rPr>
      </w:pPr>
      <w:r>
        <w:rPr>
          <w:lang w:eastAsia="sv-SE"/>
        </w:rPr>
        <w:t>Vidare har n</w:t>
      </w:r>
      <w:r w:rsidR="00A35B54">
        <w:rPr>
          <w:lang w:eastAsia="sv-SE"/>
        </w:rPr>
        <w:t xml:space="preserve">ämnden förklarat att om </w:t>
      </w:r>
      <w:r>
        <w:rPr>
          <w:lang w:eastAsia="sv-SE"/>
        </w:rPr>
        <w:t xml:space="preserve">AV:s </w:t>
      </w:r>
      <w:r w:rsidR="00A35B54">
        <w:rPr>
          <w:lang w:eastAsia="sv-SE"/>
        </w:rPr>
        <w:t>avsikt var att nämnden skulle upprätta prioriterings</w:t>
      </w:r>
      <w:r w:rsidR="00094120">
        <w:rPr>
          <w:lang w:eastAsia="sv-SE"/>
        </w:rPr>
        <w:t>ordningar</w:t>
      </w:r>
      <w:r w:rsidR="00A35B54">
        <w:rPr>
          <w:lang w:eastAsia="sv-SE"/>
        </w:rPr>
        <w:t xml:space="preserve"> </w:t>
      </w:r>
      <w:r w:rsidR="00094120">
        <w:rPr>
          <w:lang w:eastAsia="sv-SE"/>
        </w:rPr>
        <w:t xml:space="preserve">för alla arbetsuppgifter </w:t>
      </w:r>
      <w:r w:rsidR="00A35B54">
        <w:rPr>
          <w:lang w:eastAsia="sv-SE"/>
        </w:rPr>
        <w:t xml:space="preserve">för var och en av de dåvarande 7 357 lärarna, så </w:t>
      </w:r>
      <w:r>
        <w:rPr>
          <w:lang w:eastAsia="sv-SE"/>
        </w:rPr>
        <w:t xml:space="preserve">skulle </w:t>
      </w:r>
      <w:r w:rsidR="00A35B54">
        <w:rPr>
          <w:lang w:eastAsia="sv-SE"/>
        </w:rPr>
        <w:t xml:space="preserve">detta inte heller </w:t>
      </w:r>
      <w:r>
        <w:rPr>
          <w:lang w:eastAsia="sv-SE"/>
        </w:rPr>
        <w:t xml:space="preserve">vara </w:t>
      </w:r>
      <w:r w:rsidR="00A35B54">
        <w:rPr>
          <w:lang w:eastAsia="sv-SE"/>
        </w:rPr>
        <w:t>praktiskt genomförbart inom förelagd tid till den 2 september 2013.</w:t>
      </w:r>
      <w:r w:rsidR="006971FD">
        <w:rPr>
          <w:lang w:eastAsia="sv-SE"/>
        </w:rPr>
        <w:t xml:space="preserve">  </w:t>
      </w:r>
      <w:r w:rsidR="006971FD" w:rsidRPr="006971FD">
        <w:rPr>
          <w:i/>
          <w:lang w:eastAsia="sv-SE"/>
        </w:rPr>
        <w:t xml:space="preserve"> </w:t>
      </w:r>
    </w:p>
    <w:p w:rsidR="00094120" w:rsidRDefault="00094120" w:rsidP="006971FD">
      <w:pPr>
        <w:spacing w:line="276" w:lineRule="auto"/>
        <w:rPr>
          <w:i/>
          <w:lang w:eastAsia="sv-SE"/>
        </w:rPr>
      </w:pPr>
    </w:p>
    <w:p w:rsidR="002C793F" w:rsidRDefault="00094120" w:rsidP="00DF3136">
      <w:pPr>
        <w:rPr>
          <w:u w:val="single"/>
        </w:rPr>
      </w:pPr>
      <w:r>
        <w:rPr>
          <w:u w:val="single"/>
        </w:rPr>
        <w:t>Förvaltningsrätten</w:t>
      </w:r>
      <w:r w:rsidR="00CD326F">
        <w:rPr>
          <w:u w:val="single"/>
        </w:rPr>
        <w:t>s</w:t>
      </w:r>
      <w:r>
        <w:rPr>
          <w:u w:val="single"/>
        </w:rPr>
        <w:t xml:space="preserve"> dom</w:t>
      </w:r>
    </w:p>
    <w:p w:rsidR="00094120" w:rsidRPr="00094120" w:rsidRDefault="00094120" w:rsidP="00DF3136">
      <w:r>
        <w:t xml:space="preserve">Förvaltningsrätten har i </w:t>
      </w:r>
      <w:proofErr w:type="gramStart"/>
      <w:r>
        <w:t>dom</w:t>
      </w:r>
      <w:proofErr w:type="gramEnd"/>
      <w:r>
        <w:t xml:space="preserve"> den 19 november 2014, bifallit </w:t>
      </w:r>
      <w:r w:rsidR="00F01570">
        <w:t xml:space="preserve">AV:s ansökan på så sätt </w:t>
      </w:r>
      <w:r w:rsidR="001C09BE">
        <w:t>att Stockholms kommun förpliktas utge 700 000 kr till staten, bilaga 1.</w:t>
      </w:r>
    </w:p>
    <w:p w:rsidR="001C09BE" w:rsidRDefault="001C09BE" w:rsidP="00DF3136"/>
    <w:p w:rsidR="00CA4CE2" w:rsidRDefault="00094120" w:rsidP="00DF3136">
      <w:r>
        <w:t xml:space="preserve">I förvaltningsrättens dom framgår </w:t>
      </w:r>
      <w:r w:rsidR="001D41D9">
        <w:t xml:space="preserve">bland annat </w:t>
      </w:r>
      <w:r>
        <w:t>att förvaltningsrätten</w:t>
      </w:r>
      <w:r w:rsidR="001C09BE">
        <w:t xml:space="preserve"> bedömer att föreläggandet är uppfyllt först om samtliga lärare och skolledare inom den föreskrivna tiden hade fått skriftliga klargöranden om vilka arbetsuppgifter det åligger lärare att utföra inom ramen för respektive lärares reglerade arbetstid och prioriteringsordningar för lärarna när den reglerade arb</w:t>
      </w:r>
      <w:r w:rsidR="0070242E">
        <w:t>etstiden inte räcker till, se sidan</w:t>
      </w:r>
      <w:r w:rsidR="001C09BE">
        <w:t xml:space="preserve"> 7 i domen. </w:t>
      </w:r>
    </w:p>
    <w:p w:rsidR="00CA4CE2" w:rsidRDefault="00CA4CE2" w:rsidP="00DF3136"/>
    <w:p w:rsidR="00223F9F" w:rsidRDefault="00223F9F" w:rsidP="00223F9F">
      <w:pPr>
        <w:pStyle w:val="Rubrik2"/>
      </w:pPr>
      <w:r>
        <w:t>Förvaltningens synpunkter och förslag</w:t>
      </w:r>
    </w:p>
    <w:p w:rsidR="001E31C9" w:rsidRDefault="001C09BE" w:rsidP="00223F9F">
      <w:r>
        <w:t xml:space="preserve">Vid föreläggande vid vite har den förelagda myndigheten möjlighet att </w:t>
      </w:r>
      <w:r w:rsidR="001E31C9">
        <w:t xml:space="preserve">göra </w:t>
      </w:r>
      <w:r>
        <w:t>överklaga</w:t>
      </w:r>
      <w:r w:rsidR="001E31C9">
        <w:t>nden i två skeden,</w:t>
      </w:r>
      <w:r>
        <w:t xml:space="preserve"> </w:t>
      </w:r>
      <w:r w:rsidR="001E31C9">
        <w:t xml:space="preserve">dels vid själva </w:t>
      </w:r>
      <w:r>
        <w:t>beslut</w:t>
      </w:r>
      <w:r w:rsidR="001E31C9">
        <w:t xml:space="preserve">et </w:t>
      </w:r>
      <w:r>
        <w:t>om förel</w:t>
      </w:r>
      <w:r w:rsidR="001E31C9">
        <w:t>ä</w:t>
      </w:r>
      <w:r>
        <w:t xml:space="preserve">ggande, dels i ett senare skede </w:t>
      </w:r>
      <w:r w:rsidR="001E31C9">
        <w:t xml:space="preserve">vid </w:t>
      </w:r>
      <w:proofErr w:type="gramStart"/>
      <w:r w:rsidR="001E31C9">
        <w:t>dom</w:t>
      </w:r>
      <w:proofErr w:type="gramEnd"/>
      <w:r w:rsidR="001E31C9">
        <w:t xml:space="preserve"> om utdömande av vite. </w:t>
      </w:r>
    </w:p>
    <w:p w:rsidR="001E31C9" w:rsidRDefault="001E31C9" w:rsidP="00223F9F"/>
    <w:p w:rsidR="00E66591" w:rsidRDefault="001E31C9" w:rsidP="00223F9F">
      <w:r>
        <w:t>I det första skedet gör domstolen en mer omfattande prövning av föreläggandets lämplighet, medan domstolens prövning i det andra skedet vid utdömande av vite, som nu är aktuellt, är mer begränsad till om föreläggandet varit lagligt och möjligt att genomföra. Av praxis framgår att vite inte kan utdömas, om det inte har knutits till en klart definierad prestation eller underlåtenhet.</w:t>
      </w:r>
      <w:r w:rsidR="00E66591">
        <w:t xml:space="preserve"> </w:t>
      </w:r>
    </w:p>
    <w:p w:rsidR="00E66591" w:rsidRDefault="00E66591" w:rsidP="00223F9F"/>
    <w:p w:rsidR="00B5424C" w:rsidRDefault="00E66591" w:rsidP="00223F9F">
      <w:r>
        <w:lastRenderedPageBreak/>
        <w:t xml:space="preserve">Förvaltningen </w:t>
      </w:r>
      <w:r w:rsidR="0070242E">
        <w:t xml:space="preserve">kan </w:t>
      </w:r>
      <w:r>
        <w:t>konstatera att flertalet mål som överklagas inte får prövningstil</w:t>
      </w:r>
      <w:r w:rsidR="001D41D9">
        <w:t>lstånd i kammarrätten. D</w:t>
      </w:r>
      <w:r>
        <w:t>et står därför långt ifrån klart att ett överklagande</w:t>
      </w:r>
      <w:r w:rsidR="00035591">
        <w:t xml:space="preserve"> av en dom om utdömande av vite</w:t>
      </w:r>
      <w:r>
        <w:t xml:space="preserve"> kan leda till prövning i kammarrätten. Förvaltningen menar dock att det finns skäl för kammarrätten att bevilja prövningstillstånd. Enligt förvaltningen</w:t>
      </w:r>
      <w:r w:rsidR="001D41D9">
        <w:t>s</w:t>
      </w:r>
      <w:r>
        <w:t xml:space="preserve"> mening är det nämligen nödvändigt med vägledning rörande hur otydligt och opreciserat ett föreläggande </w:t>
      </w:r>
      <w:r w:rsidR="001D41D9">
        <w:t>kan</w:t>
      </w:r>
      <w:r>
        <w:t xml:space="preserve"> vara </w:t>
      </w:r>
      <w:r w:rsidR="001D41D9">
        <w:t xml:space="preserve">och </w:t>
      </w:r>
      <w:r>
        <w:t xml:space="preserve">ändå kunna ligga till grund för utdömande av vite. Vägledning är av </w:t>
      </w:r>
      <w:r w:rsidR="00574111">
        <w:t xml:space="preserve">särskild vikt eftersom domstolarna har </w:t>
      </w:r>
      <w:r w:rsidR="00B149BB">
        <w:t xml:space="preserve">gjort olika bedömningar </w:t>
      </w:r>
      <w:r w:rsidR="00574111">
        <w:t>om motsvarande föreläggande från AV.</w:t>
      </w:r>
      <w:r w:rsidR="00B5424C">
        <w:t xml:space="preserve"> Vidare menar förvaltningen att det också är av vikt för ledning av rättstillämpningen att det sker en prövning </w:t>
      </w:r>
      <w:r w:rsidR="0070242E">
        <w:t xml:space="preserve">av </w:t>
      </w:r>
      <w:r w:rsidR="00035591">
        <w:t>vad som krävs för att ett f</w:t>
      </w:r>
      <w:r w:rsidR="00B5424C">
        <w:t>örel</w:t>
      </w:r>
      <w:r w:rsidR="00035591">
        <w:t>äggande som är i strid med lag inte ska leda till utdö</w:t>
      </w:r>
      <w:r w:rsidR="001D41D9">
        <w:t>m</w:t>
      </w:r>
      <w:r w:rsidR="00035591">
        <w:t>ande av vite.</w:t>
      </w:r>
    </w:p>
    <w:p w:rsidR="00B5424C" w:rsidRDefault="00B5424C" w:rsidP="00223F9F"/>
    <w:p w:rsidR="00035591" w:rsidRDefault="00574111" w:rsidP="00223F9F">
      <w:r>
        <w:t>Enligt förvaltningens mening f</w:t>
      </w:r>
      <w:r w:rsidR="00B149BB">
        <w:t xml:space="preserve">inns det </w:t>
      </w:r>
      <w:r>
        <w:t xml:space="preserve">skäl till ändring av förvaltningsrättens dom </w:t>
      </w:r>
      <w:r w:rsidR="00035591">
        <w:t xml:space="preserve">med anledning av ovanstående samt </w:t>
      </w:r>
      <w:r w:rsidR="0070242E">
        <w:t xml:space="preserve">även </w:t>
      </w:r>
      <w:r w:rsidR="00B149BB">
        <w:t>efter</w:t>
      </w:r>
      <w:r w:rsidR="00035591">
        <w:t>som</w:t>
      </w:r>
      <w:r w:rsidR="00B149BB">
        <w:t xml:space="preserve"> d</w:t>
      </w:r>
      <w:r w:rsidR="00035591">
        <w:t>omen</w:t>
      </w:r>
      <w:r w:rsidR="00B149BB">
        <w:t xml:space="preserve"> </w:t>
      </w:r>
      <w:r w:rsidR="00CB2CE4">
        <w:t xml:space="preserve">får anses </w:t>
      </w:r>
      <w:r w:rsidR="00B149BB">
        <w:t>gå ut</w:t>
      </w:r>
      <w:r w:rsidR="0070242E">
        <w:t xml:space="preserve"> </w:t>
      </w:r>
      <w:r w:rsidR="00B149BB">
        <w:t>över AV</w:t>
      </w:r>
      <w:r w:rsidR="001D41D9">
        <w:t>:s</w:t>
      </w:r>
      <w:r w:rsidR="00B149BB">
        <w:t xml:space="preserve"> </w:t>
      </w:r>
      <w:r w:rsidR="00035591">
        <w:t>f</w:t>
      </w:r>
      <w:r w:rsidR="00B149BB">
        <w:t>örel</w:t>
      </w:r>
      <w:r w:rsidR="00035591">
        <w:t xml:space="preserve">äggande, </w:t>
      </w:r>
      <w:r w:rsidR="001D41D9">
        <w:t>i synnerhet</w:t>
      </w:r>
      <w:r w:rsidR="00CB2CE4">
        <w:t xml:space="preserve"> mot bakgrund av de omständig</w:t>
      </w:r>
      <w:r w:rsidR="00035591">
        <w:t>heter som framkommit i målet.</w:t>
      </w:r>
      <w:r w:rsidR="00B149BB">
        <w:t xml:space="preserve"> Vidare har domstolen inte beaktat att i vart fall en del av det aktuella kravet har uppfyllts genom </w:t>
      </w:r>
      <w:r w:rsidR="00CB2CE4">
        <w:t xml:space="preserve">bland annat </w:t>
      </w:r>
      <w:r w:rsidR="00B149BB">
        <w:t>rutiner för stöd till lärarna.</w:t>
      </w:r>
      <w:r w:rsidR="001E31C9">
        <w:t xml:space="preserve">   </w:t>
      </w:r>
    </w:p>
    <w:p w:rsidR="00035591" w:rsidRDefault="00035591" w:rsidP="00223F9F"/>
    <w:p w:rsidR="000309D3" w:rsidRDefault="00035591" w:rsidP="00223F9F">
      <w:r>
        <w:t xml:space="preserve">Förvaltningen vill understryka att förslaget till överklagande inte grundas på ovilja till ytterligare förbättringsarbete rörande arbetsmiljön i skolan. Nämnden har </w:t>
      </w:r>
      <w:r w:rsidR="00CB2CE4">
        <w:t>tvärtom</w:t>
      </w:r>
      <w:r>
        <w:t xml:space="preserve"> efterfrågat samarbete med Arbetsmiljöverket i detta syfte. Däremot bedömer förvaltningen att det administrativa merarbetet som </w:t>
      </w:r>
      <w:r w:rsidR="0070242E">
        <w:t xml:space="preserve">föreläggandet och </w:t>
      </w:r>
      <w:r>
        <w:t xml:space="preserve">domen </w:t>
      </w:r>
      <w:r w:rsidR="0070242E">
        <w:t>innebär</w:t>
      </w:r>
      <w:r>
        <w:t xml:space="preserve"> är </w:t>
      </w:r>
      <w:r w:rsidR="0070242E">
        <w:t xml:space="preserve">alltför </w:t>
      </w:r>
      <w:r>
        <w:t xml:space="preserve">belastande för skolverksamheten och inte ändamålsenligt. </w:t>
      </w:r>
      <w:r w:rsidR="006829E7">
        <w:t xml:space="preserve">Vidare kvarstår hinder för åtgärderna i form av lagstiftning och nuvarande kollektivavtal. </w:t>
      </w:r>
      <w:r w:rsidR="00CB2CE4">
        <w:t xml:space="preserve">Mot bakgrund av föreläggandets otydlighet ska vite inte heller utdömas. </w:t>
      </w:r>
    </w:p>
    <w:p w:rsidR="000309D3" w:rsidRDefault="000309D3" w:rsidP="00223F9F"/>
    <w:p w:rsidR="006829E7" w:rsidRDefault="006829E7" w:rsidP="00223F9F">
      <w:r>
        <w:t>Förvaltningen föreslår sammanfattningsvis att domen överklagas</w:t>
      </w:r>
      <w:r w:rsidR="000309D3">
        <w:t>,</w:t>
      </w:r>
      <w:r>
        <w:t xml:space="preserve"> att stadsledningskontorets juridiska avdelning får i uppdrag att utforma överklagandet</w:t>
      </w:r>
      <w:r w:rsidR="000309D3">
        <w:t xml:space="preserve"> samt att beslutet justeras omedelbart.</w:t>
      </w:r>
    </w:p>
    <w:p w:rsidR="001C09BE" w:rsidRDefault="001E31C9" w:rsidP="00223F9F">
      <w:r>
        <w:t xml:space="preserve"> </w:t>
      </w:r>
      <w:r w:rsidR="001C09BE">
        <w:t xml:space="preserve"> </w:t>
      </w:r>
    </w:p>
    <w:p w:rsidR="00223F9F" w:rsidRDefault="00F02CFF" w:rsidP="00223F9F">
      <w:pPr>
        <w:pStyle w:val="Bilagor"/>
      </w:pPr>
      <w:r>
        <w:t>Bilaga</w:t>
      </w:r>
    </w:p>
    <w:p w:rsidR="00223F9F" w:rsidRPr="00223F9F" w:rsidRDefault="00CD326F" w:rsidP="00F02CFF">
      <w:pPr>
        <w:rPr>
          <w:lang w:eastAsia="sv-SE"/>
        </w:rPr>
      </w:pPr>
      <w:r>
        <w:rPr>
          <w:lang w:eastAsia="sv-SE"/>
        </w:rPr>
        <w:t xml:space="preserve">Förvaltningsrätten i Stockholms dom, mål nr </w:t>
      </w:r>
      <w:proofErr w:type="gramStart"/>
      <w:r>
        <w:rPr>
          <w:lang w:eastAsia="sv-SE"/>
        </w:rPr>
        <w:t>28730-13</w:t>
      </w:r>
      <w:proofErr w:type="gramEnd"/>
      <w:r w:rsidR="000309D3">
        <w:rPr>
          <w:lang w:eastAsia="sv-SE"/>
        </w:rPr>
        <w:t>.</w:t>
      </w:r>
    </w:p>
    <w:sectPr w:rsidR="00223F9F" w:rsidRPr="00223F9F" w:rsidSect="000F1527">
      <w:headerReference w:type="default" r:id="rId8"/>
      <w:footerReference w:type="default" r:id="rId9"/>
      <w:headerReference w:type="first" r:id="rId10"/>
      <w:footerReference w:type="first" r:id="rId11"/>
      <w:pgSz w:w="11907" w:h="16840" w:code="9"/>
      <w:pgMar w:top="2313" w:right="1134" w:bottom="907" w:left="4196" w:header="73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11D" w:rsidRDefault="00EB311D" w:rsidP="00AA7530">
      <w:pPr>
        <w:spacing w:line="240" w:lineRule="auto"/>
      </w:pPr>
      <w:r>
        <w:separator/>
      </w:r>
    </w:p>
  </w:endnote>
  <w:endnote w:type="continuationSeparator" w:id="0">
    <w:p w:rsidR="00EB311D" w:rsidRDefault="00EB311D" w:rsidP="00AA75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pPr w:vertAnchor="text" w:horzAnchor="page" w:tblpX="908" w:tblpY="1"/>
      <w:tblOverlap w:val="never"/>
      <w:tblW w:w="2897" w:type="dxa"/>
      <w:tblLayout w:type="fixed"/>
      <w:tblCellMar>
        <w:left w:w="0" w:type="dxa"/>
        <w:right w:w="0" w:type="dxa"/>
      </w:tblCellMar>
      <w:tblLook w:val="04A0" w:firstRow="1" w:lastRow="0" w:firstColumn="1" w:lastColumn="0" w:noHBand="0" w:noVBand="1"/>
    </w:tblPr>
    <w:tblGrid>
      <w:gridCol w:w="2897"/>
    </w:tblGrid>
    <w:tr w:rsidR="00B930D8" w:rsidRPr="008B19BA" w:rsidTr="00207FEA">
      <w:trPr>
        <w:trHeight w:val="397"/>
      </w:trPr>
      <w:tc>
        <w:tcPr>
          <w:tcW w:w="2642" w:type="dxa"/>
          <w:tcBorders>
            <w:top w:val="nil"/>
            <w:left w:val="nil"/>
            <w:bottom w:val="nil"/>
            <w:right w:val="nil"/>
          </w:tcBorders>
          <w:vAlign w:val="bottom"/>
        </w:tcPr>
        <w:bookmarkStart w:id="3" w:name="Sidfoten"/>
        <w:p w:rsidR="00B930D8" w:rsidRPr="008B19BA" w:rsidRDefault="00BD4EED" w:rsidP="00207FEA">
          <w:pPr>
            <w:pStyle w:val="Sidfot"/>
            <w:rPr>
              <w:b/>
              <w:szCs w:val="16"/>
            </w:rPr>
          </w:pPr>
          <w:r w:rsidRPr="008B19BA">
            <w:rPr>
              <w:b/>
              <w:szCs w:val="16"/>
            </w:rPr>
            <w:fldChar w:fldCharType="begin"/>
          </w:r>
          <w:r w:rsidR="0082203A" w:rsidRPr="008B19BA">
            <w:rPr>
              <w:b/>
              <w:szCs w:val="16"/>
            </w:rPr>
            <w:instrText xml:space="preserve"> STYLEREF   "Rubrik 1" \* MERGEFORMAT </w:instrText>
          </w:r>
          <w:r w:rsidRPr="008B19BA">
            <w:rPr>
              <w:b/>
              <w:szCs w:val="16"/>
            </w:rPr>
            <w:fldChar w:fldCharType="separate"/>
          </w:r>
          <w:r w:rsidR="005518D8">
            <w:rPr>
              <w:b/>
              <w:noProof/>
              <w:szCs w:val="16"/>
            </w:rPr>
            <w:t>Överklagande av Förvaltningsrätten i Stockholms dom angående vitesföreläggande</w:t>
          </w:r>
          <w:r w:rsidRPr="008B19BA">
            <w:rPr>
              <w:b/>
              <w:szCs w:val="16"/>
            </w:rPr>
            <w:fldChar w:fldCharType="end"/>
          </w:r>
        </w:p>
      </w:tc>
    </w:tr>
    <w:tr w:rsidR="00B930D8" w:rsidRPr="008B19BA" w:rsidTr="00207FEA">
      <w:trPr>
        <w:trHeight w:val="1003"/>
      </w:trPr>
      <w:tc>
        <w:tcPr>
          <w:tcW w:w="2642" w:type="dxa"/>
          <w:tcBorders>
            <w:top w:val="nil"/>
            <w:left w:val="nil"/>
            <w:bottom w:val="nil"/>
            <w:right w:val="nil"/>
          </w:tcBorders>
          <w:vAlign w:val="bottom"/>
        </w:tcPr>
        <w:p w:rsidR="00B930D8" w:rsidRPr="008B19BA" w:rsidRDefault="00B930D8" w:rsidP="00207FEA">
          <w:pPr>
            <w:pStyle w:val="Sidfot"/>
            <w:rPr>
              <w:b/>
              <w:szCs w:val="16"/>
            </w:rPr>
          </w:pPr>
        </w:p>
      </w:tc>
    </w:tr>
    <w:bookmarkEnd w:id="3"/>
  </w:tbl>
  <w:p w:rsidR="00C70EC4" w:rsidRPr="008B19BA" w:rsidRDefault="00C70EC4" w:rsidP="00C70EC4">
    <w:pPr>
      <w:pStyle w:val="Sidfot"/>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pPr w:vertAnchor="text" w:horzAnchor="page" w:tblpX="908" w:tblpY="1"/>
      <w:tblOverlap w:val="never"/>
      <w:tblW w:w="2897" w:type="dxa"/>
      <w:tblLayout w:type="fixed"/>
      <w:tblCellMar>
        <w:left w:w="0" w:type="dxa"/>
        <w:right w:w="0" w:type="dxa"/>
      </w:tblCellMar>
      <w:tblLook w:val="04A0" w:firstRow="1" w:lastRow="0" w:firstColumn="1" w:lastColumn="0" w:noHBand="0" w:noVBand="1"/>
    </w:tblPr>
    <w:tblGrid>
      <w:gridCol w:w="2897"/>
    </w:tblGrid>
    <w:tr w:rsidR="003524D5" w:rsidRPr="009339F3" w:rsidTr="000F1527">
      <w:trPr>
        <w:trHeight w:val="1842"/>
      </w:trPr>
      <w:tc>
        <w:tcPr>
          <w:tcW w:w="2642" w:type="dxa"/>
          <w:tcBorders>
            <w:top w:val="nil"/>
            <w:left w:val="nil"/>
            <w:bottom w:val="nil"/>
            <w:right w:val="nil"/>
          </w:tcBorders>
          <w:vAlign w:val="bottom"/>
        </w:tcPr>
        <w:p w:rsidR="003524D5" w:rsidRDefault="00223F9F" w:rsidP="00223F9F">
          <w:pPr>
            <w:pStyle w:val="SidfotFrvaltning"/>
            <w:framePr w:wrap="auto" w:vAnchor="margin" w:hAnchor="text" w:xAlign="left" w:yAlign="inline"/>
            <w:suppressOverlap w:val="0"/>
          </w:pPr>
          <w:r>
            <w:t>Utbildningsförvaltningen</w:t>
          </w:r>
        </w:p>
        <w:p w:rsidR="00223F9F" w:rsidRDefault="00223F9F" w:rsidP="00223F9F">
          <w:pPr>
            <w:pStyle w:val="Sidfot"/>
          </w:pPr>
          <w:r>
            <w:t>Ledningsstaben</w:t>
          </w:r>
        </w:p>
        <w:p w:rsidR="00223F9F" w:rsidRDefault="00223F9F" w:rsidP="00223F9F">
          <w:pPr>
            <w:pStyle w:val="Sidfot"/>
          </w:pPr>
        </w:p>
        <w:p w:rsidR="00223F9F" w:rsidRDefault="00223F9F" w:rsidP="00223F9F">
          <w:pPr>
            <w:pStyle w:val="Sidfot"/>
          </w:pPr>
          <w:r>
            <w:t>Hantverkargatan 2F</w:t>
          </w:r>
        </w:p>
        <w:p w:rsidR="00223F9F" w:rsidRDefault="00223F9F" w:rsidP="00223F9F">
          <w:pPr>
            <w:pStyle w:val="Sidfot"/>
          </w:pPr>
          <w:r>
            <w:t>Box 22049</w:t>
          </w:r>
        </w:p>
        <w:p w:rsidR="00223F9F" w:rsidRDefault="00223F9F" w:rsidP="00223F9F">
          <w:pPr>
            <w:pStyle w:val="Sidfot"/>
          </w:pPr>
          <w:r>
            <w:t>104 22 Stockholm</w:t>
          </w:r>
        </w:p>
        <w:p w:rsidR="00223F9F" w:rsidRDefault="00223F9F" w:rsidP="00223F9F">
          <w:pPr>
            <w:pStyle w:val="Sidfot"/>
          </w:pPr>
          <w:r>
            <w:t>Telefon 08-508 33 926</w:t>
          </w:r>
        </w:p>
        <w:p w:rsidR="00223F9F" w:rsidRDefault="00223F9F" w:rsidP="00223F9F">
          <w:pPr>
            <w:pStyle w:val="Sidfot"/>
          </w:pPr>
          <w:r>
            <w:t>Växel 08-508 33 000</w:t>
          </w:r>
        </w:p>
        <w:p w:rsidR="00223F9F" w:rsidRDefault="00223F9F" w:rsidP="00223F9F">
          <w:pPr>
            <w:pStyle w:val="Sidfot"/>
          </w:pPr>
          <w:r>
            <w:t>Fax 08-508 33 981</w:t>
          </w:r>
        </w:p>
        <w:p w:rsidR="00223F9F" w:rsidRDefault="00223F9F" w:rsidP="00223F9F">
          <w:pPr>
            <w:pStyle w:val="Sidfot"/>
          </w:pPr>
          <w:r>
            <w:t>johan.adolfsson@stockholm.se</w:t>
          </w:r>
        </w:p>
        <w:p w:rsidR="00223F9F" w:rsidRPr="00223F9F" w:rsidRDefault="00223F9F" w:rsidP="00223F9F">
          <w:pPr>
            <w:pStyle w:val="Sidfot"/>
          </w:pPr>
          <w:r>
            <w:t>stockholm.se</w:t>
          </w:r>
        </w:p>
      </w:tc>
    </w:tr>
    <w:tr w:rsidR="00EB6543" w:rsidRPr="009339F3" w:rsidTr="000F1527">
      <w:trPr>
        <w:trHeight w:val="1003"/>
      </w:trPr>
      <w:tc>
        <w:tcPr>
          <w:tcW w:w="2642" w:type="dxa"/>
          <w:tcBorders>
            <w:top w:val="nil"/>
            <w:left w:val="nil"/>
            <w:bottom w:val="nil"/>
            <w:right w:val="nil"/>
          </w:tcBorders>
          <w:vAlign w:val="bottom"/>
        </w:tcPr>
        <w:p w:rsidR="00B90737" w:rsidRPr="009339F3" w:rsidRDefault="00B90737" w:rsidP="000F1527">
          <w:pPr>
            <w:pStyle w:val="Sidfot"/>
            <w:rPr>
              <w:szCs w:val="16"/>
            </w:rPr>
          </w:pPr>
        </w:p>
      </w:tc>
    </w:tr>
  </w:tbl>
  <w:p w:rsidR="00B90737" w:rsidRPr="009339F3" w:rsidRDefault="00B90737" w:rsidP="00F40AD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11D" w:rsidRDefault="00EB311D" w:rsidP="00AA7530">
      <w:pPr>
        <w:spacing w:line="240" w:lineRule="auto"/>
      </w:pPr>
      <w:r>
        <w:separator/>
      </w:r>
    </w:p>
  </w:footnote>
  <w:footnote w:type="continuationSeparator" w:id="0">
    <w:p w:rsidR="00EB311D" w:rsidRDefault="00EB311D" w:rsidP="00AA75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pPr w:vertAnchor="page" w:horzAnchor="page" w:tblpX="908" w:tblpY="681"/>
      <w:tblOverlap w:val="never"/>
      <w:tblW w:w="0" w:type="auto"/>
      <w:tblCellMar>
        <w:left w:w="0" w:type="dxa"/>
        <w:right w:w="0" w:type="dxa"/>
      </w:tblCellMar>
      <w:tblLook w:val="04A0" w:firstRow="1" w:lastRow="0" w:firstColumn="1" w:lastColumn="0" w:noHBand="0" w:noVBand="1"/>
    </w:tblPr>
    <w:tblGrid>
      <w:gridCol w:w="2660"/>
    </w:tblGrid>
    <w:tr w:rsidR="00EB6543" w:rsidTr="009916D1">
      <w:trPr>
        <w:trHeight w:val="989"/>
      </w:trPr>
      <w:tc>
        <w:tcPr>
          <w:tcW w:w="2660" w:type="dxa"/>
          <w:tcBorders>
            <w:top w:val="nil"/>
            <w:left w:val="nil"/>
            <w:bottom w:val="nil"/>
            <w:right w:val="nil"/>
          </w:tcBorders>
        </w:tcPr>
        <w:p w:rsidR="00EB6543" w:rsidRDefault="004861DE" w:rsidP="009916D1">
          <w:pPr>
            <w:pStyle w:val="Sidhuvud"/>
          </w:pPr>
          <w:r>
            <w:rPr>
              <w:noProof/>
              <w:lang w:eastAsia="sv-SE"/>
            </w:rPr>
            <w:drawing>
              <wp:inline distT="0" distB="0" distL="0" distR="0" wp14:anchorId="16834F9D" wp14:editId="46920980">
                <wp:extent cx="1440183" cy="489205"/>
                <wp:effectExtent l="19050" t="0" r="7617" b="0"/>
                <wp:docPr id="3" name="Bildobjekt 2" descr="Stockholm stad_sv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ckholm stad_svart.png"/>
                        <pic:cNvPicPr/>
                      </pic:nvPicPr>
                      <pic:blipFill>
                        <a:blip r:embed="rId1"/>
                        <a:stretch>
                          <a:fillRect/>
                        </a:stretch>
                      </pic:blipFill>
                      <pic:spPr>
                        <a:xfrm>
                          <a:off x="0" y="0"/>
                          <a:ext cx="1440183" cy="489205"/>
                        </a:xfrm>
                        <a:prstGeom prst="rect">
                          <a:avLst/>
                        </a:prstGeom>
                      </pic:spPr>
                    </pic:pic>
                  </a:graphicData>
                </a:graphic>
              </wp:inline>
            </w:drawing>
          </w:r>
        </w:p>
      </w:tc>
    </w:tr>
  </w:tbl>
  <w:tbl>
    <w:tblPr>
      <w:tblStyle w:val="Tabellrutnt"/>
      <w:tblW w:w="0" w:type="auto"/>
      <w:jc w:val="right"/>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2"/>
      <w:gridCol w:w="3305"/>
    </w:tblGrid>
    <w:tr w:rsidR="00EB6543" w:rsidRPr="00AE3BC1" w:rsidTr="000F1527">
      <w:trPr>
        <w:jc w:val="right"/>
      </w:trPr>
      <w:tc>
        <w:tcPr>
          <w:tcW w:w="3272" w:type="dxa"/>
        </w:tcPr>
        <w:p w:rsidR="00EB6543" w:rsidRPr="00AE3BC1" w:rsidRDefault="00EB6543" w:rsidP="005641FC">
          <w:pPr>
            <w:pStyle w:val="Sidhuvud"/>
            <w:rPr>
              <w:rFonts w:cstheme="majorHAnsi"/>
              <w:b/>
              <w:spacing w:val="2"/>
              <w:szCs w:val="20"/>
            </w:rPr>
          </w:pPr>
        </w:p>
      </w:tc>
      <w:tc>
        <w:tcPr>
          <w:tcW w:w="3305" w:type="dxa"/>
          <w:vMerge w:val="restart"/>
        </w:tcPr>
        <w:p w:rsidR="00223F9F" w:rsidRDefault="00223F9F" w:rsidP="005641FC">
          <w:pPr>
            <w:pStyle w:val="Sidhuvud"/>
            <w:jc w:val="right"/>
            <w:rPr>
              <w:rFonts w:cstheme="majorHAnsi"/>
              <w:spacing w:val="2"/>
              <w:szCs w:val="20"/>
            </w:rPr>
          </w:pPr>
          <w:r>
            <w:rPr>
              <w:rFonts w:cstheme="majorHAnsi"/>
              <w:spacing w:val="2"/>
              <w:szCs w:val="20"/>
            </w:rPr>
            <w:t>Tjänsteutlåtande</w:t>
          </w:r>
        </w:p>
        <w:p w:rsidR="00223F9F" w:rsidRDefault="00223F9F" w:rsidP="005641FC">
          <w:pPr>
            <w:pStyle w:val="Sidhuvud"/>
            <w:jc w:val="right"/>
            <w:rPr>
              <w:rFonts w:cstheme="majorHAnsi"/>
              <w:spacing w:val="2"/>
              <w:szCs w:val="20"/>
            </w:rPr>
          </w:pPr>
          <w:r w:rsidRPr="000D1603">
            <w:rPr>
              <w:rFonts w:cstheme="majorHAnsi"/>
              <w:spacing w:val="2"/>
              <w:szCs w:val="20"/>
            </w:rPr>
            <w:t xml:space="preserve">Dnr </w:t>
          </w:r>
          <w:r w:rsidR="000D1603">
            <w:rPr>
              <w:rFonts w:cstheme="majorHAnsi"/>
              <w:spacing w:val="2"/>
              <w:szCs w:val="20"/>
            </w:rPr>
            <w:t>13-222/790</w:t>
          </w:r>
        </w:p>
        <w:p w:rsidR="00EB6543" w:rsidRPr="00AE3BC1" w:rsidRDefault="00EB6543" w:rsidP="005641FC">
          <w:pPr>
            <w:pStyle w:val="Sidhuvud"/>
            <w:jc w:val="right"/>
            <w:rPr>
              <w:rFonts w:cstheme="majorHAnsi"/>
              <w:spacing w:val="2"/>
              <w:szCs w:val="20"/>
            </w:rPr>
          </w:pPr>
          <w:r w:rsidRPr="00AE3BC1">
            <w:rPr>
              <w:rFonts w:cstheme="majorHAnsi"/>
              <w:spacing w:val="2"/>
              <w:szCs w:val="20"/>
            </w:rPr>
            <w:t xml:space="preserve">Sida </w:t>
          </w:r>
          <w:r w:rsidR="00BD4EED" w:rsidRPr="00AE3BC1">
            <w:rPr>
              <w:rFonts w:cstheme="majorHAnsi"/>
              <w:spacing w:val="2"/>
              <w:szCs w:val="20"/>
            </w:rPr>
            <w:fldChar w:fldCharType="begin"/>
          </w:r>
          <w:r w:rsidRPr="00AE3BC1">
            <w:rPr>
              <w:rFonts w:cstheme="majorHAnsi"/>
              <w:spacing w:val="2"/>
              <w:szCs w:val="20"/>
            </w:rPr>
            <w:instrText xml:space="preserve"> PAGE   \* MERGEFORMAT </w:instrText>
          </w:r>
          <w:r w:rsidR="00BD4EED" w:rsidRPr="00AE3BC1">
            <w:rPr>
              <w:rFonts w:cstheme="majorHAnsi"/>
              <w:spacing w:val="2"/>
              <w:szCs w:val="20"/>
            </w:rPr>
            <w:fldChar w:fldCharType="separate"/>
          </w:r>
          <w:r w:rsidR="005518D8">
            <w:rPr>
              <w:rFonts w:cstheme="majorHAnsi"/>
              <w:noProof/>
              <w:spacing w:val="2"/>
              <w:szCs w:val="20"/>
            </w:rPr>
            <w:t>5</w:t>
          </w:r>
          <w:r w:rsidR="00BD4EED" w:rsidRPr="00AE3BC1">
            <w:rPr>
              <w:rFonts w:cstheme="majorHAnsi"/>
              <w:spacing w:val="2"/>
              <w:szCs w:val="20"/>
            </w:rPr>
            <w:fldChar w:fldCharType="end"/>
          </w:r>
          <w:r w:rsidRPr="00AE3BC1">
            <w:rPr>
              <w:rFonts w:cstheme="majorHAnsi"/>
              <w:spacing w:val="2"/>
              <w:szCs w:val="20"/>
            </w:rPr>
            <w:t xml:space="preserve"> (</w:t>
          </w:r>
          <w:r w:rsidR="005518D8">
            <w:fldChar w:fldCharType="begin"/>
          </w:r>
          <w:r w:rsidR="005518D8">
            <w:instrText xml:space="preserve"> NUMPAGES   \* MERGEFORMAT </w:instrText>
          </w:r>
          <w:r w:rsidR="005518D8">
            <w:fldChar w:fldCharType="separate"/>
          </w:r>
          <w:r w:rsidR="005518D8" w:rsidRPr="005518D8">
            <w:rPr>
              <w:rFonts w:cstheme="majorHAnsi"/>
              <w:noProof/>
              <w:spacing w:val="2"/>
              <w:szCs w:val="20"/>
            </w:rPr>
            <w:t>5</w:t>
          </w:r>
          <w:r w:rsidR="005518D8">
            <w:rPr>
              <w:rFonts w:cstheme="majorHAnsi"/>
              <w:noProof/>
              <w:spacing w:val="2"/>
              <w:szCs w:val="20"/>
            </w:rPr>
            <w:fldChar w:fldCharType="end"/>
          </w:r>
          <w:r w:rsidRPr="00AE3BC1">
            <w:rPr>
              <w:rFonts w:cstheme="majorHAnsi"/>
              <w:spacing w:val="2"/>
              <w:szCs w:val="20"/>
            </w:rPr>
            <w:t>)</w:t>
          </w:r>
        </w:p>
      </w:tc>
    </w:tr>
    <w:tr w:rsidR="00EB6543" w:rsidRPr="00AE3BC1" w:rsidTr="000F1527">
      <w:trPr>
        <w:trHeight w:val="793"/>
        <w:jc w:val="right"/>
      </w:trPr>
      <w:tc>
        <w:tcPr>
          <w:tcW w:w="3272" w:type="dxa"/>
        </w:tcPr>
        <w:p w:rsidR="00EB6543" w:rsidRPr="00AE3BC1" w:rsidRDefault="00EB6543" w:rsidP="005641FC">
          <w:pPr>
            <w:pStyle w:val="Sidhuvud"/>
            <w:rPr>
              <w:rFonts w:cstheme="majorHAnsi"/>
              <w:b/>
              <w:spacing w:val="2"/>
              <w:szCs w:val="20"/>
            </w:rPr>
          </w:pPr>
        </w:p>
      </w:tc>
      <w:tc>
        <w:tcPr>
          <w:tcW w:w="3305" w:type="dxa"/>
          <w:vMerge/>
        </w:tcPr>
        <w:p w:rsidR="00EB6543" w:rsidRPr="00AE3BC1" w:rsidRDefault="00EB6543" w:rsidP="005641FC">
          <w:pPr>
            <w:pStyle w:val="Sidhuvud"/>
            <w:jc w:val="right"/>
            <w:rPr>
              <w:rFonts w:cstheme="majorHAnsi"/>
              <w:b/>
              <w:spacing w:val="2"/>
              <w:szCs w:val="20"/>
            </w:rPr>
          </w:pPr>
        </w:p>
      </w:tc>
    </w:tr>
  </w:tbl>
  <w:p w:rsidR="00EB6543" w:rsidRPr="00AE3BC1" w:rsidRDefault="00EB6543" w:rsidP="004B3A27">
    <w:pPr>
      <w:pStyle w:val="Sidhuvud"/>
      <w:spacing w:after="244"/>
      <w:rPr>
        <w:spacing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pPr w:vertAnchor="page" w:horzAnchor="page" w:tblpX="908" w:tblpY="681"/>
      <w:tblOverlap w:val="never"/>
      <w:tblW w:w="0" w:type="auto"/>
      <w:tblCellMar>
        <w:left w:w="0" w:type="dxa"/>
        <w:right w:w="0" w:type="dxa"/>
      </w:tblCellMar>
      <w:tblLook w:val="04A0" w:firstRow="1" w:lastRow="0" w:firstColumn="1" w:lastColumn="0" w:noHBand="0" w:noVBand="1"/>
    </w:tblPr>
    <w:tblGrid>
      <w:gridCol w:w="2660"/>
    </w:tblGrid>
    <w:tr w:rsidR="00EB6543" w:rsidRPr="003524D5" w:rsidTr="000F1527">
      <w:trPr>
        <w:trHeight w:val="1131"/>
      </w:trPr>
      <w:tc>
        <w:tcPr>
          <w:tcW w:w="2660" w:type="dxa"/>
          <w:tcBorders>
            <w:top w:val="nil"/>
            <w:left w:val="nil"/>
            <w:bottom w:val="nil"/>
            <w:right w:val="nil"/>
          </w:tcBorders>
        </w:tcPr>
        <w:p w:rsidR="00EB6543" w:rsidRPr="003524D5" w:rsidRDefault="004861DE" w:rsidP="000F1527">
          <w:pPr>
            <w:pStyle w:val="Sidhuvud"/>
            <w:rPr>
              <w:szCs w:val="20"/>
            </w:rPr>
          </w:pPr>
          <w:r>
            <w:rPr>
              <w:noProof/>
              <w:szCs w:val="20"/>
              <w:lang w:eastAsia="sv-SE"/>
            </w:rPr>
            <w:drawing>
              <wp:inline distT="0" distB="0" distL="0" distR="0" wp14:anchorId="28AAC861" wp14:editId="3AD5ED42">
                <wp:extent cx="1440183" cy="489205"/>
                <wp:effectExtent l="19050" t="0" r="7617" b="0"/>
                <wp:docPr id="2" name="Bildobjekt 1" descr="Stockholm stad_sv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ckholm stad_svart.png"/>
                        <pic:cNvPicPr/>
                      </pic:nvPicPr>
                      <pic:blipFill>
                        <a:blip r:embed="rId1"/>
                        <a:stretch>
                          <a:fillRect/>
                        </a:stretch>
                      </pic:blipFill>
                      <pic:spPr>
                        <a:xfrm>
                          <a:off x="0" y="0"/>
                          <a:ext cx="1440183" cy="489205"/>
                        </a:xfrm>
                        <a:prstGeom prst="rect">
                          <a:avLst/>
                        </a:prstGeom>
                      </pic:spPr>
                    </pic:pic>
                  </a:graphicData>
                </a:graphic>
              </wp:inline>
            </w:drawing>
          </w:r>
        </w:p>
      </w:tc>
    </w:tr>
  </w:tbl>
  <w:tbl>
    <w:tblPr>
      <w:tblStyle w:val="Tabellrutnt"/>
      <w:tblW w:w="0" w:type="auto"/>
      <w:jc w:val="right"/>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2"/>
      <w:gridCol w:w="3305"/>
    </w:tblGrid>
    <w:tr w:rsidR="00EB6543" w:rsidRPr="003524D5" w:rsidTr="000F1527">
      <w:trPr>
        <w:jc w:val="right"/>
      </w:trPr>
      <w:tc>
        <w:tcPr>
          <w:tcW w:w="3272" w:type="dxa"/>
        </w:tcPr>
        <w:p w:rsidR="00EB6543" w:rsidRPr="003524D5" w:rsidRDefault="00223F9F" w:rsidP="005641FC">
          <w:pPr>
            <w:pStyle w:val="Sidhuvud"/>
            <w:rPr>
              <w:rFonts w:cstheme="majorHAnsi"/>
              <w:b/>
              <w:spacing w:val="2"/>
              <w:szCs w:val="20"/>
            </w:rPr>
          </w:pPr>
          <w:r>
            <w:rPr>
              <w:rFonts w:cstheme="majorHAnsi"/>
              <w:b/>
              <w:spacing w:val="2"/>
              <w:szCs w:val="20"/>
            </w:rPr>
            <w:t>Utbildningsförvaltningen</w:t>
          </w:r>
        </w:p>
      </w:tc>
      <w:tc>
        <w:tcPr>
          <w:tcW w:w="3305" w:type="dxa"/>
          <w:vMerge w:val="restart"/>
        </w:tcPr>
        <w:p w:rsidR="00223F9F" w:rsidRDefault="00223F9F" w:rsidP="00B75C59">
          <w:pPr>
            <w:pStyle w:val="Sidhuvud"/>
            <w:jc w:val="right"/>
            <w:rPr>
              <w:rFonts w:cstheme="majorHAnsi"/>
              <w:spacing w:val="2"/>
              <w:szCs w:val="20"/>
            </w:rPr>
          </w:pPr>
          <w:r>
            <w:rPr>
              <w:rFonts w:cstheme="majorHAnsi"/>
              <w:spacing w:val="2"/>
              <w:szCs w:val="20"/>
            </w:rPr>
            <w:t>Tjänsteutlåtande</w:t>
          </w:r>
        </w:p>
        <w:p w:rsidR="00B75C59" w:rsidRDefault="00223F9F" w:rsidP="00B75C59">
          <w:pPr>
            <w:pStyle w:val="Sidhuvud"/>
            <w:jc w:val="right"/>
            <w:rPr>
              <w:rFonts w:cstheme="majorHAnsi"/>
              <w:spacing w:val="2"/>
              <w:szCs w:val="20"/>
            </w:rPr>
          </w:pPr>
          <w:r w:rsidRPr="000D1603">
            <w:rPr>
              <w:rFonts w:cstheme="majorHAnsi"/>
              <w:spacing w:val="2"/>
              <w:szCs w:val="20"/>
            </w:rPr>
            <w:t xml:space="preserve">Dnr </w:t>
          </w:r>
          <w:r w:rsidR="000D1603">
            <w:rPr>
              <w:rFonts w:cstheme="majorHAnsi"/>
              <w:spacing w:val="2"/>
              <w:szCs w:val="20"/>
            </w:rPr>
            <w:t>13-222/790</w:t>
          </w:r>
        </w:p>
        <w:p w:rsidR="00B75C59" w:rsidRDefault="00B75C59" w:rsidP="00B75C59">
          <w:pPr>
            <w:pStyle w:val="Sidhuvud"/>
            <w:jc w:val="right"/>
            <w:rPr>
              <w:rFonts w:cstheme="majorHAnsi"/>
              <w:spacing w:val="2"/>
              <w:szCs w:val="20"/>
            </w:rPr>
          </w:pPr>
          <w:r w:rsidRPr="003524D5">
            <w:rPr>
              <w:rFonts w:cstheme="majorHAnsi"/>
              <w:spacing w:val="2"/>
              <w:szCs w:val="20"/>
            </w:rPr>
            <w:t xml:space="preserve">Sida </w:t>
          </w:r>
          <w:r w:rsidR="00BD4EED" w:rsidRPr="003524D5">
            <w:rPr>
              <w:rFonts w:cstheme="majorHAnsi"/>
              <w:spacing w:val="2"/>
              <w:szCs w:val="20"/>
            </w:rPr>
            <w:fldChar w:fldCharType="begin"/>
          </w:r>
          <w:r w:rsidRPr="003524D5">
            <w:rPr>
              <w:rFonts w:cstheme="majorHAnsi"/>
              <w:spacing w:val="2"/>
              <w:szCs w:val="20"/>
            </w:rPr>
            <w:instrText xml:space="preserve"> PAGE   \* MERGEFORMAT </w:instrText>
          </w:r>
          <w:r w:rsidR="00BD4EED" w:rsidRPr="003524D5">
            <w:rPr>
              <w:rFonts w:cstheme="majorHAnsi"/>
              <w:spacing w:val="2"/>
              <w:szCs w:val="20"/>
            </w:rPr>
            <w:fldChar w:fldCharType="separate"/>
          </w:r>
          <w:r w:rsidR="005518D8">
            <w:rPr>
              <w:rFonts w:cstheme="majorHAnsi"/>
              <w:noProof/>
              <w:spacing w:val="2"/>
              <w:szCs w:val="20"/>
            </w:rPr>
            <w:t>1</w:t>
          </w:r>
          <w:r w:rsidR="00BD4EED" w:rsidRPr="003524D5">
            <w:rPr>
              <w:rFonts w:cstheme="majorHAnsi"/>
              <w:spacing w:val="2"/>
              <w:szCs w:val="20"/>
            </w:rPr>
            <w:fldChar w:fldCharType="end"/>
          </w:r>
          <w:r w:rsidRPr="003524D5">
            <w:rPr>
              <w:rFonts w:cstheme="majorHAnsi"/>
              <w:spacing w:val="2"/>
              <w:szCs w:val="20"/>
            </w:rPr>
            <w:t xml:space="preserve"> (</w:t>
          </w:r>
          <w:r w:rsidR="005518D8">
            <w:fldChar w:fldCharType="begin"/>
          </w:r>
          <w:r w:rsidR="005518D8">
            <w:instrText xml:space="preserve"> NUMPAGES   \* MERGEFORMAT </w:instrText>
          </w:r>
          <w:r w:rsidR="005518D8">
            <w:fldChar w:fldCharType="separate"/>
          </w:r>
          <w:r w:rsidR="005518D8" w:rsidRPr="005518D8">
            <w:rPr>
              <w:rFonts w:cstheme="majorHAnsi"/>
              <w:noProof/>
              <w:spacing w:val="2"/>
              <w:szCs w:val="20"/>
            </w:rPr>
            <w:t>5</w:t>
          </w:r>
          <w:r w:rsidR="005518D8">
            <w:rPr>
              <w:rFonts w:cstheme="majorHAnsi"/>
              <w:noProof/>
              <w:spacing w:val="2"/>
              <w:szCs w:val="20"/>
            </w:rPr>
            <w:fldChar w:fldCharType="end"/>
          </w:r>
          <w:r w:rsidRPr="003524D5">
            <w:rPr>
              <w:rFonts w:cstheme="majorHAnsi"/>
              <w:spacing w:val="2"/>
              <w:szCs w:val="20"/>
            </w:rPr>
            <w:t>)</w:t>
          </w:r>
        </w:p>
        <w:p w:rsidR="00EB6543" w:rsidRPr="00AE3BC1" w:rsidRDefault="00223F9F" w:rsidP="00B75C59">
          <w:pPr>
            <w:pStyle w:val="Sidhuvud"/>
            <w:jc w:val="right"/>
          </w:pPr>
          <w:r>
            <w:t>2014-11-26</w:t>
          </w:r>
        </w:p>
      </w:tc>
    </w:tr>
    <w:tr w:rsidR="00EB6543" w:rsidRPr="003524D5" w:rsidTr="000F1527">
      <w:trPr>
        <w:trHeight w:val="651"/>
        <w:jc w:val="right"/>
      </w:trPr>
      <w:tc>
        <w:tcPr>
          <w:tcW w:w="3272" w:type="dxa"/>
        </w:tcPr>
        <w:p w:rsidR="00EB6543" w:rsidRPr="003524D5" w:rsidRDefault="00223F9F" w:rsidP="005641FC">
          <w:pPr>
            <w:pStyle w:val="Sidhuvud"/>
            <w:rPr>
              <w:rFonts w:cstheme="majorHAnsi"/>
              <w:spacing w:val="2"/>
              <w:szCs w:val="20"/>
            </w:rPr>
          </w:pPr>
          <w:r>
            <w:rPr>
              <w:rFonts w:cstheme="majorHAnsi"/>
              <w:spacing w:val="2"/>
              <w:szCs w:val="20"/>
            </w:rPr>
            <w:t>Ledningsstaben</w:t>
          </w:r>
        </w:p>
      </w:tc>
      <w:tc>
        <w:tcPr>
          <w:tcW w:w="3305" w:type="dxa"/>
          <w:vMerge/>
        </w:tcPr>
        <w:p w:rsidR="00EB6543" w:rsidRPr="003524D5" w:rsidRDefault="00EB6543" w:rsidP="005641FC">
          <w:pPr>
            <w:pStyle w:val="Sidhuvud"/>
            <w:jc w:val="right"/>
            <w:rPr>
              <w:rFonts w:cstheme="majorHAnsi"/>
              <w:b/>
              <w:spacing w:val="2"/>
              <w:szCs w:val="20"/>
            </w:rPr>
          </w:pPr>
        </w:p>
      </w:tc>
    </w:tr>
  </w:tbl>
  <w:p w:rsidR="00EB6543" w:rsidRPr="003524D5" w:rsidRDefault="00EB6543" w:rsidP="00EB6543">
    <w:pPr>
      <w:pStyle w:val="Sidhuvud"/>
      <w:rPr>
        <w:spacing w:val="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F4640CC"/>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46D22395"/>
    <w:multiLevelType w:val="hybridMultilevel"/>
    <w:tmpl w:val="F0F2082A"/>
    <w:lvl w:ilvl="0" w:tplc="AB2C4008">
      <w:start w:val="1"/>
      <w:numFmt w:val="decimal"/>
      <w:pStyle w:val="Liststycke"/>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5E56C3D"/>
    <w:multiLevelType w:val="hybridMultilevel"/>
    <w:tmpl w:val="4B4295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71923A2F"/>
    <w:multiLevelType w:val="hybridMultilevel"/>
    <w:tmpl w:val="D1DA1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D0744FD"/>
    <w:multiLevelType w:val="hybridMultilevel"/>
    <w:tmpl w:val="CCAA3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1"/>
  </w:num>
  <w:num w:numId="6">
    <w:abstractNumId w:val="0"/>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readOnly" w:enforcement="0"/>
  <w:defaultTabStop w:val="357"/>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F9F"/>
    <w:rsid w:val="000062C4"/>
    <w:rsid w:val="000252F9"/>
    <w:rsid w:val="00025CA7"/>
    <w:rsid w:val="000309D3"/>
    <w:rsid w:val="00033F28"/>
    <w:rsid w:val="00035591"/>
    <w:rsid w:val="000370DF"/>
    <w:rsid w:val="000376C0"/>
    <w:rsid w:val="0004309B"/>
    <w:rsid w:val="0004599E"/>
    <w:rsid w:val="00047D75"/>
    <w:rsid w:val="00060461"/>
    <w:rsid w:val="00070385"/>
    <w:rsid w:val="00073CE4"/>
    <w:rsid w:val="00092FDE"/>
    <w:rsid w:val="00093ECD"/>
    <w:rsid w:val="00094120"/>
    <w:rsid w:val="0009424A"/>
    <w:rsid w:val="000A1512"/>
    <w:rsid w:val="000A6BC9"/>
    <w:rsid w:val="000D1603"/>
    <w:rsid w:val="000D4408"/>
    <w:rsid w:val="000E1C00"/>
    <w:rsid w:val="000F1527"/>
    <w:rsid w:val="000F1663"/>
    <w:rsid w:val="000F1BC2"/>
    <w:rsid w:val="000F1F04"/>
    <w:rsid w:val="000F2AB7"/>
    <w:rsid w:val="000F5B55"/>
    <w:rsid w:val="00100A30"/>
    <w:rsid w:val="00114F48"/>
    <w:rsid w:val="00114FD8"/>
    <w:rsid w:val="00120D4F"/>
    <w:rsid w:val="00133318"/>
    <w:rsid w:val="001409AE"/>
    <w:rsid w:val="0014514B"/>
    <w:rsid w:val="0015162D"/>
    <w:rsid w:val="00156A86"/>
    <w:rsid w:val="00164044"/>
    <w:rsid w:val="0016522D"/>
    <w:rsid w:val="00176111"/>
    <w:rsid w:val="00181DEC"/>
    <w:rsid w:val="00183AD2"/>
    <w:rsid w:val="00183EB7"/>
    <w:rsid w:val="001876F4"/>
    <w:rsid w:val="001A1205"/>
    <w:rsid w:val="001B4AB8"/>
    <w:rsid w:val="001C09BE"/>
    <w:rsid w:val="001C66EA"/>
    <w:rsid w:val="001D41D9"/>
    <w:rsid w:val="001D74AA"/>
    <w:rsid w:val="001E2D29"/>
    <w:rsid w:val="001E31C9"/>
    <w:rsid w:val="001E3865"/>
    <w:rsid w:val="001E3F49"/>
    <w:rsid w:val="001F0007"/>
    <w:rsid w:val="001F1536"/>
    <w:rsid w:val="001F2BEB"/>
    <w:rsid w:val="001F3A17"/>
    <w:rsid w:val="0020245C"/>
    <w:rsid w:val="00204F9A"/>
    <w:rsid w:val="00207FEA"/>
    <w:rsid w:val="00213EF8"/>
    <w:rsid w:val="00215899"/>
    <w:rsid w:val="00217A67"/>
    <w:rsid w:val="002221C0"/>
    <w:rsid w:val="00223F9F"/>
    <w:rsid w:val="00233DD7"/>
    <w:rsid w:val="00237A59"/>
    <w:rsid w:val="00244B1C"/>
    <w:rsid w:val="00252775"/>
    <w:rsid w:val="00252E23"/>
    <w:rsid w:val="0025644D"/>
    <w:rsid w:val="00263F4D"/>
    <w:rsid w:val="002673A9"/>
    <w:rsid w:val="002703C9"/>
    <w:rsid w:val="00270847"/>
    <w:rsid w:val="00276DD3"/>
    <w:rsid w:val="00292991"/>
    <w:rsid w:val="002A2D9B"/>
    <w:rsid w:val="002A67F6"/>
    <w:rsid w:val="002B112E"/>
    <w:rsid w:val="002B2B7E"/>
    <w:rsid w:val="002C3C07"/>
    <w:rsid w:val="002C5955"/>
    <w:rsid w:val="002C793F"/>
    <w:rsid w:val="002D0015"/>
    <w:rsid w:val="002D357A"/>
    <w:rsid w:val="002E4A69"/>
    <w:rsid w:val="002E66D6"/>
    <w:rsid w:val="002E7B84"/>
    <w:rsid w:val="0030445D"/>
    <w:rsid w:val="003064E8"/>
    <w:rsid w:val="00311229"/>
    <w:rsid w:val="00313B84"/>
    <w:rsid w:val="0031507A"/>
    <w:rsid w:val="00316898"/>
    <w:rsid w:val="0032075B"/>
    <w:rsid w:val="003209AC"/>
    <w:rsid w:val="00323DAD"/>
    <w:rsid w:val="003250E3"/>
    <w:rsid w:val="00331D42"/>
    <w:rsid w:val="0033439B"/>
    <w:rsid w:val="00337E44"/>
    <w:rsid w:val="00340302"/>
    <w:rsid w:val="003430DC"/>
    <w:rsid w:val="00350467"/>
    <w:rsid w:val="00350750"/>
    <w:rsid w:val="003524D5"/>
    <w:rsid w:val="00366DCF"/>
    <w:rsid w:val="00367DB7"/>
    <w:rsid w:val="0038606A"/>
    <w:rsid w:val="0038791A"/>
    <w:rsid w:val="003A00A9"/>
    <w:rsid w:val="003A33FD"/>
    <w:rsid w:val="003A5DFD"/>
    <w:rsid w:val="003B18E6"/>
    <w:rsid w:val="003B476E"/>
    <w:rsid w:val="003C4A46"/>
    <w:rsid w:val="003D549B"/>
    <w:rsid w:val="003E0647"/>
    <w:rsid w:val="003E164C"/>
    <w:rsid w:val="003E4DCF"/>
    <w:rsid w:val="003E5676"/>
    <w:rsid w:val="003F1AAD"/>
    <w:rsid w:val="003F7E9E"/>
    <w:rsid w:val="004078B7"/>
    <w:rsid w:val="00407C71"/>
    <w:rsid w:val="00421CC7"/>
    <w:rsid w:val="00425865"/>
    <w:rsid w:val="004340BC"/>
    <w:rsid w:val="00435817"/>
    <w:rsid w:val="00444C88"/>
    <w:rsid w:val="00465CE9"/>
    <w:rsid w:val="004732A1"/>
    <w:rsid w:val="0047471D"/>
    <w:rsid w:val="004775FE"/>
    <w:rsid w:val="00484B57"/>
    <w:rsid w:val="004861DE"/>
    <w:rsid w:val="00486CCC"/>
    <w:rsid w:val="00487074"/>
    <w:rsid w:val="00487A40"/>
    <w:rsid w:val="00491E55"/>
    <w:rsid w:val="00493544"/>
    <w:rsid w:val="00494C81"/>
    <w:rsid w:val="004A06B1"/>
    <w:rsid w:val="004A58B6"/>
    <w:rsid w:val="004B3A27"/>
    <w:rsid w:val="004D01D4"/>
    <w:rsid w:val="004D0A5A"/>
    <w:rsid w:val="004D555A"/>
    <w:rsid w:val="004D67D0"/>
    <w:rsid w:val="00516254"/>
    <w:rsid w:val="00516B35"/>
    <w:rsid w:val="005375B6"/>
    <w:rsid w:val="005518D8"/>
    <w:rsid w:val="00553739"/>
    <w:rsid w:val="005564D2"/>
    <w:rsid w:val="00560B4A"/>
    <w:rsid w:val="00560C42"/>
    <w:rsid w:val="0056146B"/>
    <w:rsid w:val="00567DA4"/>
    <w:rsid w:val="00574111"/>
    <w:rsid w:val="005A0679"/>
    <w:rsid w:val="005A174B"/>
    <w:rsid w:val="005A1DB7"/>
    <w:rsid w:val="005A78BF"/>
    <w:rsid w:val="005B18D9"/>
    <w:rsid w:val="005B1E93"/>
    <w:rsid w:val="005B2F7B"/>
    <w:rsid w:val="005D6C9E"/>
    <w:rsid w:val="005E4192"/>
    <w:rsid w:val="005F75F2"/>
    <w:rsid w:val="006053E6"/>
    <w:rsid w:val="0060727A"/>
    <w:rsid w:val="00611031"/>
    <w:rsid w:val="0061247A"/>
    <w:rsid w:val="00636021"/>
    <w:rsid w:val="00637A26"/>
    <w:rsid w:val="00647543"/>
    <w:rsid w:val="00650EAA"/>
    <w:rsid w:val="00654FB9"/>
    <w:rsid w:val="00655CDD"/>
    <w:rsid w:val="00665AC1"/>
    <w:rsid w:val="00666CEC"/>
    <w:rsid w:val="00671825"/>
    <w:rsid w:val="0068062E"/>
    <w:rsid w:val="006829E7"/>
    <w:rsid w:val="006837C1"/>
    <w:rsid w:val="006838CA"/>
    <w:rsid w:val="00685D32"/>
    <w:rsid w:val="00686C81"/>
    <w:rsid w:val="006951DE"/>
    <w:rsid w:val="006964CB"/>
    <w:rsid w:val="006971FD"/>
    <w:rsid w:val="00697598"/>
    <w:rsid w:val="00697A91"/>
    <w:rsid w:val="00697AEA"/>
    <w:rsid w:val="006A6D3B"/>
    <w:rsid w:val="006B1633"/>
    <w:rsid w:val="006D3C37"/>
    <w:rsid w:val="006D419A"/>
    <w:rsid w:val="006E0C71"/>
    <w:rsid w:val="006E366B"/>
    <w:rsid w:val="006E3C96"/>
    <w:rsid w:val="006E66D3"/>
    <w:rsid w:val="006F199E"/>
    <w:rsid w:val="006F57F0"/>
    <w:rsid w:val="006F63CD"/>
    <w:rsid w:val="006F7C43"/>
    <w:rsid w:val="0070242E"/>
    <w:rsid w:val="007103B9"/>
    <w:rsid w:val="007230E9"/>
    <w:rsid w:val="0074673D"/>
    <w:rsid w:val="00750F8F"/>
    <w:rsid w:val="007802D8"/>
    <w:rsid w:val="00782E51"/>
    <w:rsid w:val="00794092"/>
    <w:rsid w:val="007A165B"/>
    <w:rsid w:val="007C0493"/>
    <w:rsid w:val="007C5EDF"/>
    <w:rsid w:val="007C5F72"/>
    <w:rsid w:val="007D65C5"/>
    <w:rsid w:val="007E4DE2"/>
    <w:rsid w:val="007F15E7"/>
    <w:rsid w:val="007F167B"/>
    <w:rsid w:val="007F39EA"/>
    <w:rsid w:val="00807619"/>
    <w:rsid w:val="00811554"/>
    <w:rsid w:val="008123B7"/>
    <w:rsid w:val="00815BDB"/>
    <w:rsid w:val="008210AD"/>
    <w:rsid w:val="0082203A"/>
    <w:rsid w:val="00827113"/>
    <w:rsid w:val="008315CB"/>
    <w:rsid w:val="00832D12"/>
    <w:rsid w:val="00836E36"/>
    <w:rsid w:val="008373CB"/>
    <w:rsid w:val="008610BD"/>
    <w:rsid w:val="008623DD"/>
    <w:rsid w:val="00880086"/>
    <w:rsid w:val="00880894"/>
    <w:rsid w:val="008954A7"/>
    <w:rsid w:val="00895FD8"/>
    <w:rsid w:val="00897EE2"/>
    <w:rsid w:val="008A06F8"/>
    <w:rsid w:val="008A2A27"/>
    <w:rsid w:val="008B19BA"/>
    <w:rsid w:val="008B2834"/>
    <w:rsid w:val="008B5C8D"/>
    <w:rsid w:val="008C4FAD"/>
    <w:rsid w:val="008C7205"/>
    <w:rsid w:val="008F49BC"/>
    <w:rsid w:val="00920DC9"/>
    <w:rsid w:val="009217DB"/>
    <w:rsid w:val="009240EE"/>
    <w:rsid w:val="009339F3"/>
    <w:rsid w:val="00933D14"/>
    <w:rsid w:val="0094373E"/>
    <w:rsid w:val="00946CE9"/>
    <w:rsid w:val="009475D4"/>
    <w:rsid w:val="009507FF"/>
    <w:rsid w:val="00957BA5"/>
    <w:rsid w:val="00957D12"/>
    <w:rsid w:val="0096343B"/>
    <w:rsid w:val="00967227"/>
    <w:rsid w:val="00973050"/>
    <w:rsid w:val="009734E3"/>
    <w:rsid w:val="0098135A"/>
    <w:rsid w:val="009916D1"/>
    <w:rsid w:val="00992136"/>
    <w:rsid w:val="00994A6B"/>
    <w:rsid w:val="009B4716"/>
    <w:rsid w:val="009C0AEE"/>
    <w:rsid w:val="009C3E38"/>
    <w:rsid w:val="009C41CB"/>
    <w:rsid w:val="009D0FD4"/>
    <w:rsid w:val="009D6016"/>
    <w:rsid w:val="009E07C9"/>
    <w:rsid w:val="009E257C"/>
    <w:rsid w:val="009E2BE4"/>
    <w:rsid w:val="009F34AD"/>
    <w:rsid w:val="009F585C"/>
    <w:rsid w:val="00A2580E"/>
    <w:rsid w:val="00A3570A"/>
    <w:rsid w:val="00A35B54"/>
    <w:rsid w:val="00A402BB"/>
    <w:rsid w:val="00A530A2"/>
    <w:rsid w:val="00A54811"/>
    <w:rsid w:val="00A6459D"/>
    <w:rsid w:val="00A802D7"/>
    <w:rsid w:val="00A82D52"/>
    <w:rsid w:val="00A8645C"/>
    <w:rsid w:val="00A917E0"/>
    <w:rsid w:val="00A9453F"/>
    <w:rsid w:val="00AA1150"/>
    <w:rsid w:val="00AA7530"/>
    <w:rsid w:val="00AC42D8"/>
    <w:rsid w:val="00AD56AE"/>
    <w:rsid w:val="00AE228B"/>
    <w:rsid w:val="00AE3BC1"/>
    <w:rsid w:val="00AE5E13"/>
    <w:rsid w:val="00AE6CD8"/>
    <w:rsid w:val="00AF15B0"/>
    <w:rsid w:val="00B035EC"/>
    <w:rsid w:val="00B149BB"/>
    <w:rsid w:val="00B17ED9"/>
    <w:rsid w:val="00B213B5"/>
    <w:rsid w:val="00B262A6"/>
    <w:rsid w:val="00B342DF"/>
    <w:rsid w:val="00B35C99"/>
    <w:rsid w:val="00B36B9A"/>
    <w:rsid w:val="00B4227A"/>
    <w:rsid w:val="00B5424C"/>
    <w:rsid w:val="00B60F1B"/>
    <w:rsid w:val="00B70F4B"/>
    <w:rsid w:val="00B72B09"/>
    <w:rsid w:val="00B75C59"/>
    <w:rsid w:val="00B85C35"/>
    <w:rsid w:val="00B90737"/>
    <w:rsid w:val="00B92D7D"/>
    <w:rsid w:val="00B930D8"/>
    <w:rsid w:val="00B96345"/>
    <w:rsid w:val="00BA5ABD"/>
    <w:rsid w:val="00BA5F21"/>
    <w:rsid w:val="00BA7661"/>
    <w:rsid w:val="00BC1678"/>
    <w:rsid w:val="00BC1957"/>
    <w:rsid w:val="00BD25F4"/>
    <w:rsid w:val="00BD4998"/>
    <w:rsid w:val="00BD4EED"/>
    <w:rsid w:val="00BD55CE"/>
    <w:rsid w:val="00BD6E09"/>
    <w:rsid w:val="00BE0FFF"/>
    <w:rsid w:val="00BE6B6B"/>
    <w:rsid w:val="00BF127E"/>
    <w:rsid w:val="00BF3DB9"/>
    <w:rsid w:val="00C0034A"/>
    <w:rsid w:val="00C03EA2"/>
    <w:rsid w:val="00C05A38"/>
    <w:rsid w:val="00C10819"/>
    <w:rsid w:val="00C116BE"/>
    <w:rsid w:val="00C1334E"/>
    <w:rsid w:val="00C21673"/>
    <w:rsid w:val="00C2319A"/>
    <w:rsid w:val="00C27382"/>
    <w:rsid w:val="00C341E7"/>
    <w:rsid w:val="00C505DF"/>
    <w:rsid w:val="00C548AE"/>
    <w:rsid w:val="00C56298"/>
    <w:rsid w:val="00C6492F"/>
    <w:rsid w:val="00C70EC4"/>
    <w:rsid w:val="00C75236"/>
    <w:rsid w:val="00C83367"/>
    <w:rsid w:val="00C90AB0"/>
    <w:rsid w:val="00C90BEC"/>
    <w:rsid w:val="00C958EC"/>
    <w:rsid w:val="00CA4CE2"/>
    <w:rsid w:val="00CA4E29"/>
    <w:rsid w:val="00CB2CE4"/>
    <w:rsid w:val="00CC43E8"/>
    <w:rsid w:val="00CD326F"/>
    <w:rsid w:val="00CD4C7D"/>
    <w:rsid w:val="00CD7269"/>
    <w:rsid w:val="00CE0CDD"/>
    <w:rsid w:val="00CF0128"/>
    <w:rsid w:val="00CF2E45"/>
    <w:rsid w:val="00CF3902"/>
    <w:rsid w:val="00CF4C4A"/>
    <w:rsid w:val="00D00AFD"/>
    <w:rsid w:val="00D01B0B"/>
    <w:rsid w:val="00D0661C"/>
    <w:rsid w:val="00D12557"/>
    <w:rsid w:val="00D174E8"/>
    <w:rsid w:val="00D2108E"/>
    <w:rsid w:val="00D212DC"/>
    <w:rsid w:val="00D2277F"/>
    <w:rsid w:val="00D26B91"/>
    <w:rsid w:val="00D26D02"/>
    <w:rsid w:val="00D330C9"/>
    <w:rsid w:val="00D339DD"/>
    <w:rsid w:val="00D35760"/>
    <w:rsid w:val="00D37228"/>
    <w:rsid w:val="00D45CD6"/>
    <w:rsid w:val="00D4646A"/>
    <w:rsid w:val="00D5799A"/>
    <w:rsid w:val="00D701D3"/>
    <w:rsid w:val="00D86253"/>
    <w:rsid w:val="00D93408"/>
    <w:rsid w:val="00D935BD"/>
    <w:rsid w:val="00DA1BA8"/>
    <w:rsid w:val="00DA7802"/>
    <w:rsid w:val="00DB10FB"/>
    <w:rsid w:val="00DC2175"/>
    <w:rsid w:val="00DC2D11"/>
    <w:rsid w:val="00DC6E22"/>
    <w:rsid w:val="00DE48A4"/>
    <w:rsid w:val="00DE7657"/>
    <w:rsid w:val="00DF3136"/>
    <w:rsid w:val="00E12DCE"/>
    <w:rsid w:val="00E1308C"/>
    <w:rsid w:val="00E13811"/>
    <w:rsid w:val="00E13958"/>
    <w:rsid w:val="00E16F35"/>
    <w:rsid w:val="00E17E96"/>
    <w:rsid w:val="00E21769"/>
    <w:rsid w:val="00E25901"/>
    <w:rsid w:val="00E3107D"/>
    <w:rsid w:val="00E31A3E"/>
    <w:rsid w:val="00E3797C"/>
    <w:rsid w:val="00E41403"/>
    <w:rsid w:val="00E42F98"/>
    <w:rsid w:val="00E46DEC"/>
    <w:rsid w:val="00E5788F"/>
    <w:rsid w:val="00E60A99"/>
    <w:rsid w:val="00E66591"/>
    <w:rsid w:val="00E7020F"/>
    <w:rsid w:val="00E86572"/>
    <w:rsid w:val="00E9285F"/>
    <w:rsid w:val="00E9312C"/>
    <w:rsid w:val="00E94D2F"/>
    <w:rsid w:val="00E97427"/>
    <w:rsid w:val="00EA08C7"/>
    <w:rsid w:val="00EA48B1"/>
    <w:rsid w:val="00EA7084"/>
    <w:rsid w:val="00EB311D"/>
    <w:rsid w:val="00EB6543"/>
    <w:rsid w:val="00EC0C49"/>
    <w:rsid w:val="00EC1430"/>
    <w:rsid w:val="00ED0D1A"/>
    <w:rsid w:val="00ED135D"/>
    <w:rsid w:val="00ED6BAD"/>
    <w:rsid w:val="00EF09CD"/>
    <w:rsid w:val="00F00449"/>
    <w:rsid w:val="00F01570"/>
    <w:rsid w:val="00F02CFF"/>
    <w:rsid w:val="00F0492F"/>
    <w:rsid w:val="00F058BC"/>
    <w:rsid w:val="00F15784"/>
    <w:rsid w:val="00F17D07"/>
    <w:rsid w:val="00F31A87"/>
    <w:rsid w:val="00F3389B"/>
    <w:rsid w:val="00F365CA"/>
    <w:rsid w:val="00F40AD9"/>
    <w:rsid w:val="00F42560"/>
    <w:rsid w:val="00F471E5"/>
    <w:rsid w:val="00F52DDE"/>
    <w:rsid w:val="00F6189F"/>
    <w:rsid w:val="00F64E3B"/>
    <w:rsid w:val="00F725ED"/>
    <w:rsid w:val="00F826F7"/>
    <w:rsid w:val="00F95087"/>
    <w:rsid w:val="00FA2AE4"/>
    <w:rsid w:val="00FA2DAF"/>
    <w:rsid w:val="00FA72B5"/>
    <w:rsid w:val="00FA78BC"/>
    <w:rsid w:val="00FB6245"/>
    <w:rsid w:val="00FC0AD7"/>
    <w:rsid w:val="00FC1092"/>
    <w:rsid w:val="00FC586F"/>
    <w:rsid w:val="00FD717E"/>
    <w:rsid w:val="00FE53B4"/>
    <w:rsid w:val="00FE57B0"/>
    <w:rsid w:val="00FE7357"/>
    <w:rsid w:val="00FF0490"/>
    <w:rsid w:val="00FF2DDD"/>
    <w:rsid w:val="00FF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9" w:qFormat="1"/>
    <w:lsdException w:name="Title" w:uiPriority="10" w:unhideWhenUsed="0"/>
    <w:lsdException w:name="Default Paragraph Font" w:uiPriority="1"/>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D339DD"/>
    <w:pPr>
      <w:spacing w:line="300" w:lineRule="atLeast"/>
    </w:pPr>
    <w:rPr>
      <w:lang w:val="sv-SE"/>
    </w:rPr>
  </w:style>
  <w:style w:type="paragraph" w:styleId="Rubrik1">
    <w:name w:val="heading 1"/>
    <w:basedOn w:val="Normal"/>
    <w:next w:val="Normal"/>
    <w:link w:val="Rubrik1Char"/>
    <w:uiPriority w:val="9"/>
    <w:qFormat/>
    <w:rsid w:val="00B262A6"/>
    <w:pPr>
      <w:keepNext/>
      <w:keepLines/>
      <w:spacing w:before="280" w:after="280" w:line="280" w:lineRule="atLeast"/>
      <w:outlineLvl w:val="0"/>
    </w:pPr>
    <w:rPr>
      <w:rFonts w:asciiTheme="majorHAnsi" w:eastAsiaTheme="majorEastAsia" w:hAnsiTheme="majorHAnsi" w:cstheme="majorBidi"/>
      <w:b/>
      <w:bCs/>
      <w:kern w:val="18"/>
      <w:sz w:val="28"/>
      <w:szCs w:val="28"/>
    </w:rPr>
  </w:style>
  <w:style w:type="paragraph" w:styleId="Rubrik2">
    <w:name w:val="heading 2"/>
    <w:basedOn w:val="Normal"/>
    <w:next w:val="Normal"/>
    <w:link w:val="Rubrik2Char"/>
    <w:uiPriority w:val="9"/>
    <w:unhideWhenUsed/>
    <w:qFormat/>
    <w:rsid w:val="00B262A6"/>
    <w:pPr>
      <w:keepNext/>
      <w:keepLines/>
      <w:spacing w:before="240" w:line="240" w:lineRule="atLeast"/>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9"/>
    <w:qFormat/>
    <w:rsid w:val="00B262A6"/>
    <w:pPr>
      <w:keepNext/>
      <w:keepLines/>
      <w:spacing w:before="240" w:line="240" w:lineRule="atLeast"/>
      <w:outlineLvl w:val="2"/>
    </w:pPr>
    <w:rPr>
      <w:rFonts w:asciiTheme="majorHAnsi" w:eastAsiaTheme="majorEastAsia" w:hAnsiTheme="majorHAnsi" w:cstheme="majorBidi"/>
      <w:bCs/>
    </w:rPr>
  </w:style>
  <w:style w:type="paragraph" w:styleId="Rubrik4">
    <w:name w:val="heading 4"/>
    <w:basedOn w:val="Normal"/>
    <w:next w:val="Normal"/>
    <w:link w:val="Rubrik4Char"/>
    <w:uiPriority w:val="9"/>
    <w:qFormat/>
    <w:rsid w:val="00B262A6"/>
    <w:pPr>
      <w:keepNext/>
      <w:keepLines/>
      <w:spacing w:before="220" w:line="220" w:lineRule="atLeast"/>
      <w:outlineLvl w:val="3"/>
    </w:pPr>
    <w:rPr>
      <w:rFonts w:asciiTheme="majorHAnsi" w:eastAsiaTheme="majorEastAsia" w:hAnsiTheme="majorHAnsi" w:cstheme="majorBidi"/>
      <w:b/>
      <w:bCs/>
      <w:iCs/>
      <w:sz w:val="22"/>
    </w:rPr>
  </w:style>
  <w:style w:type="paragraph" w:styleId="Rubrik5">
    <w:name w:val="heading 5"/>
    <w:basedOn w:val="Normal"/>
    <w:next w:val="Normal"/>
    <w:link w:val="Rubrik5Char"/>
    <w:uiPriority w:val="9"/>
    <w:qFormat/>
    <w:rsid w:val="00B262A6"/>
    <w:pPr>
      <w:keepNext/>
      <w:keepLines/>
      <w:spacing w:before="220" w:line="220" w:lineRule="atLeast"/>
      <w:outlineLvl w:val="4"/>
    </w:pPr>
    <w:rPr>
      <w:rFonts w:asciiTheme="majorHAnsi" w:eastAsiaTheme="majorEastAsia" w:hAnsiTheme="majorHAnsi" w:cstheme="majorBidi"/>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CF4C4A"/>
    <w:pPr>
      <w:spacing w:line="240" w:lineRule="auto"/>
    </w:pPr>
    <w:rPr>
      <w:rFonts w:asciiTheme="majorHAnsi" w:hAnsiTheme="maj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uiPriority w:val="9"/>
    <w:rsid w:val="00B262A6"/>
    <w:rPr>
      <w:rFonts w:asciiTheme="majorHAnsi" w:eastAsiaTheme="majorEastAsia" w:hAnsiTheme="majorHAnsi" w:cstheme="majorBidi"/>
      <w:b/>
      <w:bCs/>
      <w:kern w:val="18"/>
      <w:sz w:val="28"/>
      <w:szCs w:val="28"/>
      <w:lang w:val="sv-SE"/>
    </w:rPr>
  </w:style>
  <w:style w:type="paragraph" w:styleId="Sidhuvud">
    <w:name w:val="header"/>
    <w:basedOn w:val="Normal"/>
    <w:link w:val="SidhuvudChar"/>
    <w:uiPriority w:val="99"/>
    <w:unhideWhenUsed/>
    <w:rsid w:val="00CF4C4A"/>
    <w:pPr>
      <w:tabs>
        <w:tab w:val="center" w:pos="4703"/>
        <w:tab w:val="right" w:pos="9406"/>
      </w:tabs>
      <w:spacing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3524D5"/>
    <w:rPr>
      <w:rFonts w:asciiTheme="majorHAnsi" w:hAnsiTheme="majorHAnsi"/>
      <w:sz w:val="20"/>
      <w:lang w:val="sv-SE"/>
    </w:rPr>
  </w:style>
  <w:style w:type="paragraph" w:styleId="Sidfot">
    <w:name w:val="footer"/>
    <w:basedOn w:val="Normal"/>
    <w:link w:val="SidfotChar"/>
    <w:uiPriority w:val="99"/>
    <w:unhideWhenUsed/>
    <w:rsid w:val="00CF4C4A"/>
    <w:pPr>
      <w:tabs>
        <w:tab w:val="center" w:pos="4703"/>
        <w:tab w:val="right" w:pos="9406"/>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AE3BC1"/>
    <w:rPr>
      <w:rFonts w:asciiTheme="majorHAnsi" w:hAnsiTheme="majorHAnsi"/>
      <w:sz w:val="15"/>
      <w:lang w:val="sv-SE"/>
    </w:rPr>
  </w:style>
  <w:style w:type="paragraph" w:styleId="Ballongtext">
    <w:name w:val="Balloon Text"/>
    <w:basedOn w:val="Normal"/>
    <w:link w:val="BallongtextChar"/>
    <w:uiPriority w:val="99"/>
    <w:semiHidden/>
    <w:unhideWhenUsed/>
    <w:rsid w:val="00CF4C4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0727A"/>
    <w:rPr>
      <w:rFonts w:ascii="Tahoma" w:hAnsi="Tahoma" w:cs="Tahoma"/>
      <w:sz w:val="16"/>
      <w:szCs w:val="16"/>
      <w:lang w:val="sv-SE"/>
    </w:rPr>
  </w:style>
  <w:style w:type="paragraph" w:customStyle="1" w:styleId="plats">
    <w:name w:val="plats"/>
    <w:basedOn w:val="Sidhuvud"/>
    <w:semiHidden/>
    <w:rsid w:val="00CF4C4A"/>
    <w:pPr>
      <w:tabs>
        <w:tab w:val="clear" w:pos="4703"/>
        <w:tab w:val="clear" w:pos="9406"/>
        <w:tab w:val="center" w:pos="4536"/>
        <w:tab w:val="right" w:pos="9072"/>
      </w:tabs>
      <w:spacing w:line="240" w:lineRule="exact"/>
    </w:pPr>
    <w:rPr>
      <w:rFonts w:ascii="Gill Sans MT" w:eastAsia="Times New Roman" w:hAnsi="Gill Sans MT" w:cs="Times New Roman"/>
      <w:caps/>
      <w:spacing w:val="20"/>
      <w:kern w:val="20"/>
      <w:sz w:val="18"/>
      <w:lang w:eastAsia="sv-SE"/>
    </w:rPr>
  </w:style>
  <w:style w:type="paragraph" w:customStyle="1" w:styleId="Sidfot3">
    <w:name w:val="Sidfot3"/>
    <w:basedOn w:val="Sidfot"/>
    <w:semiHidden/>
    <w:rsid w:val="00CF4C4A"/>
    <w:pPr>
      <w:tabs>
        <w:tab w:val="clear" w:pos="4703"/>
        <w:tab w:val="clear" w:pos="9406"/>
        <w:tab w:val="right" w:pos="7910"/>
      </w:tabs>
      <w:spacing w:line="220" w:lineRule="atLeast"/>
    </w:pPr>
    <w:rPr>
      <w:rFonts w:ascii="Gill Sans MT" w:eastAsia="Times New Roman" w:hAnsi="Gill Sans MT" w:cs="Times New Roman"/>
      <w:noProof/>
      <w:spacing w:val="8"/>
      <w:kern w:val="16"/>
      <w:sz w:val="18"/>
      <w:szCs w:val="18"/>
      <w:lang w:eastAsia="sv-SE"/>
    </w:rPr>
  </w:style>
  <w:style w:type="character" w:customStyle="1" w:styleId="Rubrik2Char">
    <w:name w:val="Rubrik 2 Char"/>
    <w:basedOn w:val="Standardstycketeckensnitt"/>
    <w:link w:val="Rubrik2"/>
    <w:uiPriority w:val="9"/>
    <w:rsid w:val="00B262A6"/>
    <w:rPr>
      <w:rFonts w:asciiTheme="majorHAnsi" w:eastAsiaTheme="majorEastAsia" w:hAnsiTheme="majorHAnsi" w:cstheme="majorBidi"/>
      <w:b/>
      <w:bCs/>
      <w:szCs w:val="26"/>
      <w:lang w:val="sv-SE"/>
    </w:rPr>
  </w:style>
  <w:style w:type="paragraph" w:styleId="Liststycke">
    <w:name w:val="List Paragraph"/>
    <w:basedOn w:val="Normal"/>
    <w:uiPriority w:val="9"/>
    <w:qFormat/>
    <w:rsid w:val="00316898"/>
    <w:pPr>
      <w:numPr>
        <w:numId w:val="5"/>
      </w:numPr>
      <w:ind w:left="714" w:hanging="357"/>
      <w:contextualSpacing/>
    </w:pPr>
  </w:style>
  <w:style w:type="character" w:customStyle="1" w:styleId="Rubrik3Char">
    <w:name w:val="Rubrik 3 Char"/>
    <w:basedOn w:val="Standardstycketeckensnitt"/>
    <w:link w:val="Rubrik3"/>
    <w:uiPriority w:val="9"/>
    <w:rsid w:val="00B262A6"/>
    <w:rPr>
      <w:rFonts w:asciiTheme="majorHAnsi" w:eastAsiaTheme="majorEastAsia" w:hAnsiTheme="majorHAnsi" w:cstheme="majorBidi"/>
      <w:bCs/>
      <w:lang w:val="sv-SE"/>
    </w:rPr>
  </w:style>
  <w:style w:type="character" w:customStyle="1" w:styleId="Rubrik4Char">
    <w:name w:val="Rubrik 4 Char"/>
    <w:basedOn w:val="Standardstycketeckensnitt"/>
    <w:link w:val="Rubrik4"/>
    <w:uiPriority w:val="9"/>
    <w:rsid w:val="00B262A6"/>
    <w:rPr>
      <w:rFonts w:asciiTheme="majorHAnsi" w:eastAsiaTheme="majorEastAsia" w:hAnsiTheme="majorHAnsi" w:cstheme="majorBidi"/>
      <w:b/>
      <w:bCs/>
      <w:iCs/>
      <w:sz w:val="22"/>
      <w:lang w:val="sv-SE"/>
    </w:rPr>
  </w:style>
  <w:style w:type="character" w:customStyle="1" w:styleId="Rubrik5Char">
    <w:name w:val="Rubrik 5 Char"/>
    <w:basedOn w:val="Standardstycketeckensnitt"/>
    <w:link w:val="Rubrik5"/>
    <w:uiPriority w:val="9"/>
    <w:rsid w:val="00B262A6"/>
    <w:rPr>
      <w:rFonts w:asciiTheme="majorHAnsi" w:eastAsiaTheme="majorEastAsia" w:hAnsiTheme="majorHAnsi" w:cstheme="majorBidi"/>
      <w:sz w:val="22"/>
      <w:lang w:val="sv-SE"/>
    </w:rPr>
  </w:style>
  <w:style w:type="paragraph" w:styleId="Punktlista">
    <w:name w:val="List Bullet"/>
    <w:basedOn w:val="Normal"/>
    <w:uiPriority w:val="9"/>
    <w:qFormat/>
    <w:rsid w:val="00EF09CD"/>
    <w:pPr>
      <w:numPr>
        <w:numId w:val="7"/>
      </w:numPr>
      <w:ind w:left="714" w:hanging="357"/>
      <w:contextualSpacing/>
    </w:pPr>
  </w:style>
  <w:style w:type="paragraph" w:customStyle="1" w:styleId="SidfotFrvaltning">
    <w:name w:val="SidfotFörvaltning"/>
    <w:basedOn w:val="Sidfot"/>
    <w:next w:val="Sidfot"/>
    <w:link w:val="SidfotFrvaltningChar"/>
    <w:semiHidden/>
    <w:qFormat/>
    <w:rsid w:val="00CF4C4A"/>
    <w:pPr>
      <w:framePr w:wrap="around" w:vAnchor="text" w:hAnchor="page" w:x="1390" w:y="1"/>
      <w:suppressOverlap/>
    </w:pPr>
    <w:rPr>
      <w:b/>
      <w:szCs w:val="16"/>
    </w:rPr>
  </w:style>
  <w:style w:type="character" w:customStyle="1" w:styleId="SidfotFrvaltningChar">
    <w:name w:val="SidfotFörvaltning Char"/>
    <w:basedOn w:val="SidfotChar"/>
    <w:link w:val="SidfotFrvaltning"/>
    <w:semiHidden/>
    <w:rsid w:val="00073CE4"/>
    <w:rPr>
      <w:rFonts w:asciiTheme="majorHAnsi" w:hAnsiTheme="majorHAnsi"/>
      <w:b/>
      <w:sz w:val="15"/>
      <w:szCs w:val="16"/>
      <w:lang w:val="sv-SE"/>
    </w:rPr>
  </w:style>
  <w:style w:type="paragraph" w:customStyle="1" w:styleId="Bilagor">
    <w:name w:val="Bilagor"/>
    <w:basedOn w:val="Rubrik2"/>
    <w:next w:val="Liststycke"/>
    <w:rsid w:val="00CF4C4A"/>
    <w:pPr>
      <w:keepLines w:val="0"/>
    </w:pPr>
    <w:rPr>
      <w:rFonts w:eastAsia="Times New Roman" w:cs="Times New Roman"/>
      <w:bCs w:val="0"/>
      <w:szCs w:val="24"/>
      <w:lang w:eastAsia="sv-SE"/>
    </w:rPr>
  </w:style>
  <w:style w:type="paragraph" w:customStyle="1" w:styleId="Underskrift">
    <w:name w:val="Underskrift"/>
    <w:basedOn w:val="Normal"/>
    <w:rsid w:val="00CF4C4A"/>
    <w:pPr>
      <w:tabs>
        <w:tab w:val="left" w:pos="3119"/>
      </w:tabs>
      <w:spacing w:before="240" w:line="360" w:lineRule="atLeast"/>
    </w:pPr>
    <w:rPr>
      <w:rFonts w:ascii="Times New Roman" w:eastAsia="Times New Roman" w:hAnsi="Times New Roman" w:cs="Times New Roman"/>
      <w:kern w:val="24"/>
      <w:lang w:eastAsia="sv-SE"/>
    </w:rPr>
  </w:style>
  <w:style w:type="paragraph" w:styleId="Beskrivning">
    <w:name w:val="caption"/>
    <w:basedOn w:val="Normal"/>
    <w:next w:val="Normal"/>
    <w:uiPriority w:val="35"/>
    <w:unhideWhenUsed/>
    <w:qFormat/>
    <w:rsid w:val="00D93408"/>
    <w:pPr>
      <w:spacing w:before="60" w:after="60" w:line="240" w:lineRule="auto"/>
    </w:pPr>
    <w:rPr>
      <w:rFonts w:ascii="Arial" w:hAnsi="Arial"/>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9" w:qFormat="1"/>
    <w:lsdException w:name="Title" w:uiPriority="10" w:unhideWhenUsed="0"/>
    <w:lsdException w:name="Default Paragraph Font" w:uiPriority="1"/>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D339DD"/>
    <w:pPr>
      <w:spacing w:line="300" w:lineRule="atLeast"/>
    </w:pPr>
    <w:rPr>
      <w:lang w:val="sv-SE"/>
    </w:rPr>
  </w:style>
  <w:style w:type="paragraph" w:styleId="Rubrik1">
    <w:name w:val="heading 1"/>
    <w:basedOn w:val="Normal"/>
    <w:next w:val="Normal"/>
    <w:link w:val="Rubrik1Char"/>
    <w:uiPriority w:val="9"/>
    <w:qFormat/>
    <w:rsid w:val="00B262A6"/>
    <w:pPr>
      <w:keepNext/>
      <w:keepLines/>
      <w:spacing w:before="280" w:after="280" w:line="280" w:lineRule="atLeast"/>
      <w:outlineLvl w:val="0"/>
    </w:pPr>
    <w:rPr>
      <w:rFonts w:asciiTheme="majorHAnsi" w:eastAsiaTheme="majorEastAsia" w:hAnsiTheme="majorHAnsi" w:cstheme="majorBidi"/>
      <w:b/>
      <w:bCs/>
      <w:kern w:val="18"/>
      <w:sz w:val="28"/>
      <w:szCs w:val="28"/>
    </w:rPr>
  </w:style>
  <w:style w:type="paragraph" w:styleId="Rubrik2">
    <w:name w:val="heading 2"/>
    <w:basedOn w:val="Normal"/>
    <w:next w:val="Normal"/>
    <w:link w:val="Rubrik2Char"/>
    <w:uiPriority w:val="9"/>
    <w:unhideWhenUsed/>
    <w:qFormat/>
    <w:rsid w:val="00B262A6"/>
    <w:pPr>
      <w:keepNext/>
      <w:keepLines/>
      <w:spacing w:before="240" w:line="240" w:lineRule="atLeast"/>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9"/>
    <w:qFormat/>
    <w:rsid w:val="00B262A6"/>
    <w:pPr>
      <w:keepNext/>
      <w:keepLines/>
      <w:spacing w:before="240" w:line="240" w:lineRule="atLeast"/>
      <w:outlineLvl w:val="2"/>
    </w:pPr>
    <w:rPr>
      <w:rFonts w:asciiTheme="majorHAnsi" w:eastAsiaTheme="majorEastAsia" w:hAnsiTheme="majorHAnsi" w:cstheme="majorBidi"/>
      <w:bCs/>
    </w:rPr>
  </w:style>
  <w:style w:type="paragraph" w:styleId="Rubrik4">
    <w:name w:val="heading 4"/>
    <w:basedOn w:val="Normal"/>
    <w:next w:val="Normal"/>
    <w:link w:val="Rubrik4Char"/>
    <w:uiPriority w:val="9"/>
    <w:qFormat/>
    <w:rsid w:val="00B262A6"/>
    <w:pPr>
      <w:keepNext/>
      <w:keepLines/>
      <w:spacing w:before="220" w:line="220" w:lineRule="atLeast"/>
      <w:outlineLvl w:val="3"/>
    </w:pPr>
    <w:rPr>
      <w:rFonts w:asciiTheme="majorHAnsi" w:eastAsiaTheme="majorEastAsia" w:hAnsiTheme="majorHAnsi" w:cstheme="majorBidi"/>
      <w:b/>
      <w:bCs/>
      <w:iCs/>
      <w:sz w:val="22"/>
    </w:rPr>
  </w:style>
  <w:style w:type="paragraph" w:styleId="Rubrik5">
    <w:name w:val="heading 5"/>
    <w:basedOn w:val="Normal"/>
    <w:next w:val="Normal"/>
    <w:link w:val="Rubrik5Char"/>
    <w:uiPriority w:val="9"/>
    <w:qFormat/>
    <w:rsid w:val="00B262A6"/>
    <w:pPr>
      <w:keepNext/>
      <w:keepLines/>
      <w:spacing w:before="220" w:line="220" w:lineRule="atLeast"/>
      <w:outlineLvl w:val="4"/>
    </w:pPr>
    <w:rPr>
      <w:rFonts w:asciiTheme="majorHAnsi" w:eastAsiaTheme="majorEastAsia" w:hAnsiTheme="majorHAnsi" w:cstheme="majorBidi"/>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CF4C4A"/>
    <w:pPr>
      <w:spacing w:line="240" w:lineRule="auto"/>
    </w:pPr>
    <w:rPr>
      <w:rFonts w:asciiTheme="majorHAnsi" w:hAnsiTheme="maj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uiPriority w:val="9"/>
    <w:rsid w:val="00B262A6"/>
    <w:rPr>
      <w:rFonts w:asciiTheme="majorHAnsi" w:eastAsiaTheme="majorEastAsia" w:hAnsiTheme="majorHAnsi" w:cstheme="majorBidi"/>
      <w:b/>
      <w:bCs/>
      <w:kern w:val="18"/>
      <w:sz w:val="28"/>
      <w:szCs w:val="28"/>
      <w:lang w:val="sv-SE"/>
    </w:rPr>
  </w:style>
  <w:style w:type="paragraph" w:styleId="Sidhuvud">
    <w:name w:val="header"/>
    <w:basedOn w:val="Normal"/>
    <w:link w:val="SidhuvudChar"/>
    <w:uiPriority w:val="99"/>
    <w:unhideWhenUsed/>
    <w:rsid w:val="00CF4C4A"/>
    <w:pPr>
      <w:tabs>
        <w:tab w:val="center" w:pos="4703"/>
        <w:tab w:val="right" w:pos="9406"/>
      </w:tabs>
      <w:spacing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3524D5"/>
    <w:rPr>
      <w:rFonts w:asciiTheme="majorHAnsi" w:hAnsiTheme="majorHAnsi"/>
      <w:sz w:val="20"/>
      <w:lang w:val="sv-SE"/>
    </w:rPr>
  </w:style>
  <w:style w:type="paragraph" w:styleId="Sidfot">
    <w:name w:val="footer"/>
    <w:basedOn w:val="Normal"/>
    <w:link w:val="SidfotChar"/>
    <w:uiPriority w:val="99"/>
    <w:unhideWhenUsed/>
    <w:rsid w:val="00CF4C4A"/>
    <w:pPr>
      <w:tabs>
        <w:tab w:val="center" w:pos="4703"/>
        <w:tab w:val="right" w:pos="9406"/>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AE3BC1"/>
    <w:rPr>
      <w:rFonts w:asciiTheme="majorHAnsi" w:hAnsiTheme="majorHAnsi"/>
      <w:sz w:val="15"/>
      <w:lang w:val="sv-SE"/>
    </w:rPr>
  </w:style>
  <w:style w:type="paragraph" w:styleId="Ballongtext">
    <w:name w:val="Balloon Text"/>
    <w:basedOn w:val="Normal"/>
    <w:link w:val="BallongtextChar"/>
    <w:uiPriority w:val="99"/>
    <w:semiHidden/>
    <w:unhideWhenUsed/>
    <w:rsid w:val="00CF4C4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0727A"/>
    <w:rPr>
      <w:rFonts w:ascii="Tahoma" w:hAnsi="Tahoma" w:cs="Tahoma"/>
      <w:sz w:val="16"/>
      <w:szCs w:val="16"/>
      <w:lang w:val="sv-SE"/>
    </w:rPr>
  </w:style>
  <w:style w:type="paragraph" w:customStyle="1" w:styleId="plats">
    <w:name w:val="plats"/>
    <w:basedOn w:val="Sidhuvud"/>
    <w:semiHidden/>
    <w:rsid w:val="00CF4C4A"/>
    <w:pPr>
      <w:tabs>
        <w:tab w:val="clear" w:pos="4703"/>
        <w:tab w:val="clear" w:pos="9406"/>
        <w:tab w:val="center" w:pos="4536"/>
        <w:tab w:val="right" w:pos="9072"/>
      </w:tabs>
      <w:spacing w:line="240" w:lineRule="exact"/>
    </w:pPr>
    <w:rPr>
      <w:rFonts w:ascii="Gill Sans MT" w:eastAsia="Times New Roman" w:hAnsi="Gill Sans MT" w:cs="Times New Roman"/>
      <w:caps/>
      <w:spacing w:val="20"/>
      <w:kern w:val="20"/>
      <w:sz w:val="18"/>
      <w:lang w:eastAsia="sv-SE"/>
    </w:rPr>
  </w:style>
  <w:style w:type="paragraph" w:customStyle="1" w:styleId="Sidfot3">
    <w:name w:val="Sidfot3"/>
    <w:basedOn w:val="Sidfot"/>
    <w:semiHidden/>
    <w:rsid w:val="00CF4C4A"/>
    <w:pPr>
      <w:tabs>
        <w:tab w:val="clear" w:pos="4703"/>
        <w:tab w:val="clear" w:pos="9406"/>
        <w:tab w:val="right" w:pos="7910"/>
      </w:tabs>
      <w:spacing w:line="220" w:lineRule="atLeast"/>
    </w:pPr>
    <w:rPr>
      <w:rFonts w:ascii="Gill Sans MT" w:eastAsia="Times New Roman" w:hAnsi="Gill Sans MT" w:cs="Times New Roman"/>
      <w:noProof/>
      <w:spacing w:val="8"/>
      <w:kern w:val="16"/>
      <w:sz w:val="18"/>
      <w:szCs w:val="18"/>
      <w:lang w:eastAsia="sv-SE"/>
    </w:rPr>
  </w:style>
  <w:style w:type="character" w:customStyle="1" w:styleId="Rubrik2Char">
    <w:name w:val="Rubrik 2 Char"/>
    <w:basedOn w:val="Standardstycketeckensnitt"/>
    <w:link w:val="Rubrik2"/>
    <w:uiPriority w:val="9"/>
    <w:rsid w:val="00B262A6"/>
    <w:rPr>
      <w:rFonts w:asciiTheme="majorHAnsi" w:eastAsiaTheme="majorEastAsia" w:hAnsiTheme="majorHAnsi" w:cstheme="majorBidi"/>
      <w:b/>
      <w:bCs/>
      <w:szCs w:val="26"/>
      <w:lang w:val="sv-SE"/>
    </w:rPr>
  </w:style>
  <w:style w:type="paragraph" w:styleId="Liststycke">
    <w:name w:val="List Paragraph"/>
    <w:basedOn w:val="Normal"/>
    <w:uiPriority w:val="9"/>
    <w:qFormat/>
    <w:rsid w:val="00316898"/>
    <w:pPr>
      <w:numPr>
        <w:numId w:val="5"/>
      </w:numPr>
      <w:ind w:left="714" w:hanging="357"/>
      <w:contextualSpacing/>
    </w:pPr>
  </w:style>
  <w:style w:type="character" w:customStyle="1" w:styleId="Rubrik3Char">
    <w:name w:val="Rubrik 3 Char"/>
    <w:basedOn w:val="Standardstycketeckensnitt"/>
    <w:link w:val="Rubrik3"/>
    <w:uiPriority w:val="9"/>
    <w:rsid w:val="00B262A6"/>
    <w:rPr>
      <w:rFonts w:asciiTheme="majorHAnsi" w:eastAsiaTheme="majorEastAsia" w:hAnsiTheme="majorHAnsi" w:cstheme="majorBidi"/>
      <w:bCs/>
      <w:lang w:val="sv-SE"/>
    </w:rPr>
  </w:style>
  <w:style w:type="character" w:customStyle="1" w:styleId="Rubrik4Char">
    <w:name w:val="Rubrik 4 Char"/>
    <w:basedOn w:val="Standardstycketeckensnitt"/>
    <w:link w:val="Rubrik4"/>
    <w:uiPriority w:val="9"/>
    <w:rsid w:val="00B262A6"/>
    <w:rPr>
      <w:rFonts w:asciiTheme="majorHAnsi" w:eastAsiaTheme="majorEastAsia" w:hAnsiTheme="majorHAnsi" w:cstheme="majorBidi"/>
      <w:b/>
      <w:bCs/>
      <w:iCs/>
      <w:sz w:val="22"/>
      <w:lang w:val="sv-SE"/>
    </w:rPr>
  </w:style>
  <w:style w:type="character" w:customStyle="1" w:styleId="Rubrik5Char">
    <w:name w:val="Rubrik 5 Char"/>
    <w:basedOn w:val="Standardstycketeckensnitt"/>
    <w:link w:val="Rubrik5"/>
    <w:uiPriority w:val="9"/>
    <w:rsid w:val="00B262A6"/>
    <w:rPr>
      <w:rFonts w:asciiTheme="majorHAnsi" w:eastAsiaTheme="majorEastAsia" w:hAnsiTheme="majorHAnsi" w:cstheme="majorBidi"/>
      <w:sz w:val="22"/>
      <w:lang w:val="sv-SE"/>
    </w:rPr>
  </w:style>
  <w:style w:type="paragraph" w:styleId="Punktlista">
    <w:name w:val="List Bullet"/>
    <w:basedOn w:val="Normal"/>
    <w:uiPriority w:val="9"/>
    <w:qFormat/>
    <w:rsid w:val="00EF09CD"/>
    <w:pPr>
      <w:numPr>
        <w:numId w:val="7"/>
      </w:numPr>
      <w:ind w:left="714" w:hanging="357"/>
      <w:contextualSpacing/>
    </w:pPr>
  </w:style>
  <w:style w:type="paragraph" w:customStyle="1" w:styleId="SidfotFrvaltning">
    <w:name w:val="SidfotFörvaltning"/>
    <w:basedOn w:val="Sidfot"/>
    <w:next w:val="Sidfot"/>
    <w:link w:val="SidfotFrvaltningChar"/>
    <w:semiHidden/>
    <w:qFormat/>
    <w:rsid w:val="00CF4C4A"/>
    <w:pPr>
      <w:framePr w:wrap="around" w:vAnchor="text" w:hAnchor="page" w:x="1390" w:y="1"/>
      <w:suppressOverlap/>
    </w:pPr>
    <w:rPr>
      <w:b/>
      <w:szCs w:val="16"/>
    </w:rPr>
  </w:style>
  <w:style w:type="character" w:customStyle="1" w:styleId="SidfotFrvaltningChar">
    <w:name w:val="SidfotFörvaltning Char"/>
    <w:basedOn w:val="SidfotChar"/>
    <w:link w:val="SidfotFrvaltning"/>
    <w:semiHidden/>
    <w:rsid w:val="00073CE4"/>
    <w:rPr>
      <w:rFonts w:asciiTheme="majorHAnsi" w:hAnsiTheme="majorHAnsi"/>
      <w:b/>
      <w:sz w:val="15"/>
      <w:szCs w:val="16"/>
      <w:lang w:val="sv-SE"/>
    </w:rPr>
  </w:style>
  <w:style w:type="paragraph" w:customStyle="1" w:styleId="Bilagor">
    <w:name w:val="Bilagor"/>
    <w:basedOn w:val="Rubrik2"/>
    <w:next w:val="Liststycke"/>
    <w:rsid w:val="00CF4C4A"/>
    <w:pPr>
      <w:keepLines w:val="0"/>
    </w:pPr>
    <w:rPr>
      <w:rFonts w:eastAsia="Times New Roman" w:cs="Times New Roman"/>
      <w:bCs w:val="0"/>
      <w:szCs w:val="24"/>
      <w:lang w:eastAsia="sv-SE"/>
    </w:rPr>
  </w:style>
  <w:style w:type="paragraph" w:customStyle="1" w:styleId="Underskrift">
    <w:name w:val="Underskrift"/>
    <w:basedOn w:val="Normal"/>
    <w:rsid w:val="00CF4C4A"/>
    <w:pPr>
      <w:tabs>
        <w:tab w:val="left" w:pos="3119"/>
      </w:tabs>
      <w:spacing w:before="240" w:line="360" w:lineRule="atLeast"/>
    </w:pPr>
    <w:rPr>
      <w:rFonts w:ascii="Times New Roman" w:eastAsia="Times New Roman" w:hAnsi="Times New Roman" w:cs="Times New Roman"/>
      <w:kern w:val="24"/>
      <w:lang w:eastAsia="sv-SE"/>
    </w:rPr>
  </w:style>
  <w:style w:type="paragraph" w:styleId="Beskrivning">
    <w:name w:val="caption"/>
    <w:basedOn w:val="Normal"/>
    <w:next w:val="Normal"/>
    <w:uiPriority w:val="35"/>
    <w:unhideWhenUsed/>
    <w:qFormat/>
    <w:rsid w:val="00D93408"/>
    <w:pPr>
      <w:spacing w:before="60" w:after="60" w:line="240" w:lineRule="auto"/>
    </w:pPr>
    <w:rPr>
      <w:rFonts w:ascii="Arial" w:hAnsi="Arial"/>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tockholm.se\cli-mallar\mallar\Stockholms%20Stad\Stockholms%20Stad\Tjut.dotm" TargetMode="External"/></Relationships>
</file>

<file path=word/theme/theme1.xml><?xml version="1.0" encoding="utf-8"?>
<a:theme xmlns:a="http://schemas.openxmlformats.org/drawingml/2006/main" name="Office-tema">
  <a:themeElements>
    <a:clrScheme name="Stockholms stads färger">
      <a:dk1>
        <a:srgbClr val="683788"/>
      </a:dk1>
      <a:lt1>
        <a:srgbClr val="BCAAD0"/>
      </a:lt1>
      <a:dk2>
        <a:srgbClr val="007EC4"/>
      </a:dk2>
      <a:lt2>
        <a:srgbClr val="ACC7E9"/>
      </a:lt2>
      <a:accent1>
        <a:srgbClr val="E4B1C3"/>
      </a:accent1>
      <a:accent2>
        <a:srgbClr val="C40068"/>
      </a:accent2>
      <a:accent3>
        <a:srgbClr val="B6D7D3"/>
      </a:accent3>
      <a:accent4>
        <a:srgbClr val="289D93"/>
      </a:accent4>
      <a:accent5>
        <a:srgbClr val="CB5019"/>
      </a:accent5>
      <a:accent6>
        <a:srgbClr val="FFFFFF"/>
      </a:accent6>
      <a:hlink>
        <a:srgbClr val="007EC4"/>
      </a:hlink>
      <a:folHlink>
        <a:srgbClr val="683788"/>
      </a:folHlink>
    </a:clrScheme>
    <a:fontScheme name="Office - klassiskt">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Tjut</Template>
  <TotalTime>7</TotalTime>
  <Pages>5</Pages>
  <Words>1486</Words>
  <Characters>7878</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Överklagande av Förvaltningsrätten i Stockholms dom</vt:lpstr>
    </vt:vector>
  </TitlesOfParts>
  <Company>Stockholms stad</Company>
  <LinksUpToDate>false</LinksUpToDate>
  <CharactersWithSpaces>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Överklagande av Förvaltningsrätten i Stockholms dom</dc:title>
  <dc:creator>Johan Adolfsson</dc:creator>
  <cp:keywords>Dnr x.x.x-XXXX/2014</cp:keywords>
  <cp:lastModifiedBy>Johan Adolfsson</cp:lastModifiedBy>
  <cp:revision>5</cp:revision>
  <cp:lastPrinted>2014-11-27T09:48:00Z</cp:lastPrinted>
  <dcterms:created xsi:type="dcterms:W3CDTF">2014-11-27T09:42:00Z</dcterms:created>
  <dcterms:modified xsi:type="dcterms:W3CDTF">2014-11-27T09:58:00Z</dcterms:modified>
  <cp:category>Tjänsteutlåtande</cp:category>
</cp:coreProperties>
</file>