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98" w:rsidRPr="003E5298" w:rsidRDefault="004C5E68" w:rsidP="00916A86">
      <w:pPr>
        <w:pStyle w:val="Rubrik1"/>
      </w:pPr>
      <w:r>
        <w:t xml:space="preserve">Smidigare arbetsdag med </w:t>
      </w:r>
      <w:r w:rsidR="005777E2">
        <w:t>Webers</w:t>
      </w:r>
      <w:r>
        <w:t xml:space="preserve"> </w:t>
      </w:r>
      <w:r w:rsidR="005777E2">
        <w:t xml:space="preserve">nya </w:t>
      </w:r>
      <w:r w:rsidR="00EF62BA">
        <w:t>f</w:t>
      </w:r>
      <w:r>
        <w:t>olielim</w:t>
      </w:r>
    </w:p>
    <w:p w:rsidR="001A40C9" w:rsidRDefault="001A40C9" w:rsidP="00916A86">
      <w:r>
        <w:t>– nu med 4 timmars öppentid</w:t>
      </w:r>
      <w:r w:rsidR="003E5298">
        <w:t xml:space="preserve"> och bättre </w:t>
      </w:r>
      <w:r w:rsidR="004C5E68">
        <w:t>klibb</w:t>
      </w:r>
      <w:r>
        <w:t>.</w:t>
      </w:r>
    </w:p>
    <w:p w:rsidR="005777E2" w:rsidRDefault="001A40C9" w:rsidP="00916A86">
      <w:r w:rsidRPr="00916A86">
        <w:t xml:space="preserve">Nu lanserar Weber en förbättrad version av weber.tec 3 </w:t>
      </w:r>
      <w:r w:rsidR="005777E2">
        <w:t>folielim.</w:t>
      </w:r>
    </w:p>
    <w:p w:rsidR="006C68EF" w:rsidRPr="00916A86" w:rsidRDefault="004C5E68" w:rsidP="00916A86">
      <w:r w:rsidRPr="00916A86">
        <w:t>Produkten har en smidigare ko</w:t>
      </w:r>
      <w:r w:rsidR="00E63BD5" w:rsidRPr="00916A86">
        <w:t>nsistens</w:t>
      </w:r>
      <w:bookmarkStart w:id="0" w:name="_GoBack"/>
      <w:bookmarkEnd w:id="0"/>
      <w:r w:rsidR="00B759B9">
        <w:t>,</w:t>
      </w:r>
      <w:r w:rsidR="005777E2">
        <w:t xml:space="preserve"> bättre fästförmåga</w:t>
      </w:r>
      <w:r w:rsidR="00690A2F">
        <w:t xml:space="preserve"> och klibb</w:t>
      </w:r>
      <w:r w:rsidR="00E63BD5" w:rsidRPr="00916A86">
        <w:t xml:space="preserve"> som gör den </w:t>
      </w:r>
      <w:r w:rsidR="005777E2">
        <w:t>lätt</w:t>
      </w:r>
      <w:r w:rsidR="00690A2F">
        <w:t>are</w:t>
      </w:r>
      <w:r w:rsidR="005777E2">
        <w:t xml:space="preserve"> att arbeta med. D</w:t>
      </w:r>
      <w:r w:rsidR="00E63BD5" w:rsidRPr="00916A86">
        <w:t xml:space="preserve">en </w:t>
      </w:r>
      <w:r w:rsidR="001E13CF" w:rsidRPr="00916A86">
        <w:t>förlängda</w:t>
      </w:r>
      <w:r w:rsidR="00E63BD5" w:rsidRPr="00916A86">
        <w:t xml:space="preserve"> öppe</w:t>
      </w:r>
      <w:r w:rsidR="001E13CF" w:rsidRPr="00916A86">
        <w:t>n</w:t>
      </w:r>
      <w:r w:rsidR="00E63BD5" w:rsidRPr="00916A86">
        <w:t>tiden gör att man slipper blanda flera satser</w:t>
      </w:r>
      <w:r w:rsidR="00690A2F">
        <w:t xml:space="preserve"> vilket gör monteringen både enklare att planera och </w:t>
      </w:r>
      <w:r w:rsidR="00E63BD5" w:rsidRPr="00916A86">
        <w:t xml:space="preserve">lättare att </w:t>
      </w:r>
      <w:r w:rsidR="002614C9" w:rsidRPr="00916A86">
        <w:t>utföra</w:t>
      </w:r>
      <w:r w:rsidR="003E5298" w:rsidRPr="00916A86">
        <w:t>.</w:t>
      </w:r>
    </w:p>
    <w:p w:rsidR="00116BE1" w:rsidRPr="00916A86" w:rsidRDefault="00116BE1" w:rsidP="00916A86">
      <w:r w:rsidRPr="00916A86">
        <w:rPr>
          <w:b/>
        </w:rPr>
        <w:t>Godkänd produkt enligt BKR</w:t>
      </w:r>
      <w:r w:rsidRPr="00916A86">
        <w:br/>
        <w:t>För ett godkänt våtrum, enligt BKRs branschregler, krävs det att ett självhärdande lim används som skarvförsegling av skarvremsor, rörmansche</w:t>
      </w:r>
      <w:r w:rsidR="00690A2F">
        <w:t xml:space="preserve">tter och inner- och ytterhörn. </w:t>
      </w:r>
      <w:r w:rsidR="00EF62BA">
        <w:t>w</w:t>
      </w:r>
      <w:r w:rsidRPr="00916A86">
        <w:t xml:space="preserve">eber.tec 3 </w:t>
      </w:r>
      <w:r w:rsidR="00690A2F">
        <w:t>f</w:t>
      </w:r>
      <w:r w:rsidRPr="00916A86">
        <w:t xml:space="preserve">olielim </w:t>
      </w:r>
      <w:r w:rsidR="002614C9" w:rsidRPr="00916A86">
        <w:t>klarar av att möta</w:t>
      </w:r>
      <w:r w:rsidRPr="00916A86">
        <w:t xml:space="preserve"> BKRs branschregler</w:t>
      </w:r>
      <w:r w:rsidR="002614C9" w:rsidRPr="00916A86">
        <w:t>.</w:t>
      </w:r>
    </w:p>
    <w:p w:rsidR="001E13CF" w:rsidRPr="00916A86" w:rsidRDefault="00EF62BA" w:rsidP="00916A86">
      <w:proofErr w:type="spellStart"/>
      <w:r>
        <w:t>w</w:t>
      </w:r>
      <w:r w:rsidR="00690A2F">
        <w:t>eber.tec</w:t>
      </w:r>
      <w:proofErr w:type="spellEnd"/>
      <w:r w:rsidR="00690A2F">
        <w:t xml:space="preserve"> 3 f</w:t>
      </w:r>
      <w:r w:rsidR="00475399" w:rsidRPr="00916A86">
        <w:t xml:space="preserve">olielim </w:t>
      </w:r>
      <w:r w:rsidR="001F04DE" w:rsidRPr="00916A86">
        <w:t xml:space="preserve">används som lim och försegling av skarvar </w:t>
      </w:r>
      <w:r w:rsidR="00116BE1" w:rsidRPr="00916A86">
        <w:t>för</w:t>
      </w:r>
      <w:r w:rsidR="001F04DE" w:rsidRPr="00916A86">
        <w:t xml:space="preserve"> tätskiktssystemen </w:t>
      </w:r>
      <w:proofErr w:type="spellStart"/>
      <w:r w:rsidR="001F04DE" w:rsidRPr="00916A86">
        <w:t>Tec</w:t>
      </w:r>
      <w:proofErr w:type="spellEnd"/>
      <w:r w:rsidR="001F04DE" w:rsidRPr="00916A86">
        <w:t xml:space="preserve"> Foliesystem och </w:t>
      </w:r>
      <w:proofErr w:type="spellStart"/>
      <w:r w:rsidR="001F04DE" w:rsidRPr="00916A86">
        <w:t>Litex</w:t>
      </w:r>
      <w:proofErr w:type="spellEnd"/>
      <w:r w:rsidR="001F04DE" w:rsidRPr="00916A86">
        <w:t xml:space="preserve"> Våtrumsskiva. </w:t>
      </w:r>
    </w:p>
    <w:p w:rsidR="006C68EF" w:rsidRPr="00916A86" w:rsidRDefault="001F04DE" w:rsidP="00916A86">
      <w:r w:rsidRPr="00916A86">
        <w:t xml:space="preserve">Produkten </w:t>
      </w:r>
      <w:r w:rsidR="00475399" w:rsidRPr="00916A86">
        <w:t xml:space="preserve">består av två komponenter, pulver och dispersion, som vispas ihop i medföljande hink. </w:t>
      </w:r>
    </w:p>
    <w:p w:rsidR="006C68EF" w:rsidRPr="00916A86" w:rsidRDefault="00116BE1" w:rsidP="00916A86">
      <w:pPr>
        <w:rPr>
          <w:b/>
        </w:rPr>
      </w:pPr>
      <w:r w:rsidRPr="00916A86">
        <w:rPr>
          <w:b/>
        </w:rPr>
        <w:t>Produkte</w:t>
      </w:r>
      <w:r w:rsidR="006C68EF" w:rsidRPr="00916A86">
        <w:rPr>
          <w:b/>
        </w:rPr>
        <w:t>genskaper</w:t>
      </w:r>
    </w:p>
    <w:p w:rsidR="005777E2" w:rsidRPr="005777E2" w:rsidRDefault="005777E2" w:rsidP="005777E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Bättre konsistens</w:t>
      </w:r>
    </w:p>
    <w:p w:rsidR="005777E2" w:rsidRPr="005777E2" w:rsidRDefault="005777E2" w:rsidP="005777E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Bättre våtsug och klibb</w:t>
      </w:r>
    </w:p>
    <w:p w:rsidR="005777E2" w:rsidRPr="005777E2" w:rsidRDefault="005777E2" w:rsidP="005777E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Bättre vidhäftning</w:t>
      </w:r>
    </w:p>
    <w:p w:rsidR="005777E2" w:rsidRPr="005777E2" w:rsidRDefault="005777E2" w:rsidP="005777E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Lättare att blanda</w:t>
      </w:r>
    </w:p>
    <w:p w:rsidR="005777E2" w:rsidRPr="005777E2" w:rsidRDefault="005777E2" w:rsidP="005777E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Spricköverbyggande</w:t>
      </w:r>
    </w:p>
    <w:p w:rsidR="005777E2" w:rsidRPr="005777E2" w:rsidRDefault="005777E2" w:rsidP="005777E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Självhärdande</w:t>
      </w:r>
    </w:p>
    <w:p w:rsidR="005777E2" w:rsidRPr="005777E2" w:rsidRDefault="005777E2" w:rsidP="005777E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Lätt att applicera med roller och pensel</w:t>
      </w:r>
    </w:p>
    <w:p w:rsidR="005777E2" w:rsidRPr="005777E2" w:rsidRDefault="005777E2" w:rsidP="005777E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Flexibelt</w:t>
      </w:r>
    </w:p>
    <w:p w:rsidR="005777E2" w:rsidRPr="005777E2" w:rsidRDefault="005777E2" w:rsidP="005777E2">
      <w:pPr>
        <w:ind w:left="360"/>
        <w:rPr>
          <w:rFonts w:ascii="Calibri" w:hAnsi="Calibri" w:cs="Calibri"/>
        </w:rPr>
      </w:pPr>
      <w:r w:rsidRPr="005777E2">
        <w:rPr>
          <w:rFonts w:ascii="Calibri" w:hAnsi="Calibri" w:cs="Calibri"/>
        </w:rPr>
        <w:t>• 4 timmars öppentid</w:t>
      </w:r>
    </w:p>
    <w:p w:rsidR="003F2697" w:rsidRDefault="00690A2F" w:rsidP="00690A2F">
      <w:r>
        <w:t>Används p</w:t>
      </w:r>
      <w:r w:rsidR="00116BE1" w:rsidRPr="00916A86">
        <w:t>å un</w:t>
      </w:r>
      <w:r w:rsidR="001F04DE" w:rsidRPr="00916A86">
        <w:t>derlag</w:t>
      </w:r>
      <w:r w:rsidR="00116BE1" w:rsidRPr="00916A86">
        <w:t xml:space="preserve"> av</w:t>
      </w:r>
      <w:r w:rsidR="002614C9" w:rsidRPr="00916A86">
        <w:t xml:space="preserve"> </w:t>
      </w:r>
      <w:r w:rsidR="001F04DE" w:rsidRPr="00916A86">
        <w:t>betong äldre än 2 månader</w:t>
      </w:r>
      <w:r w:rsidR="002614C9" w:rsidRPr="00916A86">
        <w:t xml:space="preserve">, </w:t>
      </w:r>
      <w:r w:rsidR="001F04DE" w:rsidRPr="00916A86">
        <w:t>murverk putsat/spacklat med cementbaserad puts</w:t>
      </w:r>
      <w:r w:rsidR="002614C9" w:rsidRPr="00916A86">
        <w:t xml:space="preserve">, </w:t>
      </w:r>
      <w:r w:rsidR="001F04DE" w:rsidRPr="00916A86">
        <w:t>godkänd gipsputs</w:t>
      </w:r>
      <w:r w:rsidR="002614C9" w:rsidRPr="00916A86">
        <w:t xml:space="preserve">, </w:t>
      </w:r>
      <w:r w:rsidR="001F04DE" w:rsidRPr="00916A86">
        <w:t>mineraliskt bundet spackel</w:t>
      </w:r>
      <w:r w:rsidR="002614C9" w:rsidRPr="00916A86">
        <w:t xml:space="preserve">, </w:t>
      </w:r>
      <w:r w:rsidR="001F04DE" w:rsidRPr="00916A86">
        <w:t>formstabila våtrumsskivor</w:t>
      </w:r>
      <w:r w:rsidR="005777E2">
        <w:t xml:space="preserve"> och gipsskivor</w:t>
      </w:r>
      <w:r w:rsidR="001F04DE" w:rsidRPr="00916A86">
        <w:t>.</w:t>
      </w:r>
    </w:p>
    <w:p w:rsidR="0044618B" w:rsidRDefault="0044618B" w:rsidP="0044618B">
      <w:pPr>
        <w:rPr>
          <w:b/>
        </w:rPr>
      </w:pPr>
    </w:p>
    <w:p w:rsidR="0044618B" w:rsidRDefault="0044618B" w:rsidP="0044618B">
      <w:r w:rsidRPr="0044618B">
        <w:rPr>
          <w:b/>
        </w:rPr>
        <w:t>För mer information, kontakta:</w:t>
      </w:r>
      <w:r w:rsidRPr="0044618B">
        <w:rPr>
          <w:b/>
        </w:rPr>
        <w:br/>
      </w:r>
      <w:r>
        <w:t>Lena Eliasson, Concept Manager Tiling, Weber</w:t>
      </w:r>
      <w:r>
        <w:br/>
        <w:t>Telefon: 08-625 60 95</w:t>
      </w:r>
      <w:r>
        <w:br/>
        <w:t xml:space="preserve">E-post: </w:t>
      </w:r>
      <w:hyperlink r:id="rId6" w:history="1">
        <w:r w:rsidR="005777E2" w:rsidRPr="00180826">
          <w:rPr>
            <w:rStyle w:val="Hyperlnk"/>
          </w:rPr>
          <w:t>lena.eliasson@weber.se</w:t>
        </w:r>
      </w:hyperlink>
    </w:p>
    <w:p w:rsidR="005777E2" w:rsidRDefault="005777E2" w:rsidP="0044618B"/>
    <w:sectPr w:rsidR="0057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036"/>
    <w:multiLevelType w:val="hybridMultilevel"/>
    <w:tmpl w:val="A18E3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D7F39"/>
    <w:multiLevelType w:val="hybridMultilevel"/>
    <w:tmpl w:val="957072FA"/>
    <w:lvl w:ilvl="0" w:tplc="D0F273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920EE"/>
    <w:multiLevelType w:val="hybridMultilevel"/>
    <w:tmpl w:val="0ECAC0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F"/>
    <w:rsid w:val="00116BE1"/>
    <w:rsid w:val="001A40C9"/>
    <w:rsid w:val="001E13CF"/>
    <w:rsid w:val="001F04DE"/>
    <w:rsid w:val="002614C9"/>
    <w:rsid w:val="003E5298"/>
    <w:rsid w:val="003F2697"/>
    <w:rsid w:val="0044618B"/>
    <w:rsid w:val="00475399"/>
    <w:rsid w:val="004C3FED"/>
    <w:rsid w:val="004C5E68"/>
    <w:rsid w:val="005777E2"/>
    <w:rsid w:val="00690A2F"/>
    <w:rsid w:val="006C68EF"/>
    <w:rsid w:val="008F043C"/>
    <w:rsid w:val="00916A86"/>
    <w:rsid w:val="00B7030D"/>
    <w:rsid w:val="00B759B9"/>
    <w:rsid w:val="00C576FA"/>
    <w:rsid w:val="00CA741B"/>
    <w:rsid w:val="00E63BD5"/>
    <w:rsid w:val="00EF62BA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4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A40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A40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1A4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116BE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77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4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A40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A40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1A4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116BE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77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a.eliasson@weber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SAINT-GOBAIN</dc:creator>
  <cp:lastModifiedBy>SAINT-GOBAIN</cp:lastModifiedBy>
  <cp:revision>3</cp:revision>
  <dcterms:created xsi:type="dcterms:W3CDTF">2015-05-25T15:00:00Z</dcterms:created>
  <dcterms:modified xsi:type="dcterms:W3CDTF">2015-06-01T11:06:00Z</dcterms:modified>
</cp:coreProperties>
</file>