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05DB" w:rsidRPr="00BE2C2D" w:rsidRDefault="004A0124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Pressrelease</w:t>
                              </w:r>
                              <w:proofErr w:type="spellEnd"/>
                              <w:r w:rsidR="00CC50B0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6C05DB" w:rsidRPr="00BE2C2D" w:rsidRDefault="004A0124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Pressrelease</w:t>
                        </w:r>
                        <w:proofErr w:type="spellEnd"/>
                        <w:r w:rsidR="00CC50B0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0124">
        <w:rPr>
          <w:rFonts w:ascii="LindeDaxOffice" w:hAnsi="LindeDaxOffice" w:cs="LindeDaxOffice"/>
          <w:lang w:val="sv-SE"/>
        </w:rPr>
        <w:t>Oktober</w:t>
      </w:r>
      <w:r w:rsidR="00A5228E">
        <w:rPr>
          <w:rFonts w:ascii="LindeDaxOffice" w:hAnsi="LindeDaxOffice" w:cs="LindeDaxOffice"/>
          <w:lang w:val="sv-SE"/>
        </w:rPr>
        <w:t xml:space="preserve">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bookmarkStart w:id="0" w:name="_GoBack"/>
      <w:bookmarkEnd w:id="0"/>
    </w:p>
    <w:p w:rsidR="004A0124" w:rsidRPr="0076569E" w:rsidRDefault="004A0124" w:rsidP="004A0124">
      <w:pPr>
        <w:rPr>
          <w:b/>
          <w:sz w:val="32"/>
          <w:szCs w:val="32"/>
        </w:rPr>
      </w:pPr>
      <w:r w:rsidRPr="0076569E">
        <w:rPr>
          <w:b/>
          <w:sz w:val="32"/>
          <w:szCs w:val="32"/>
        </w:rPr>
        <w:t xml:space="preserve">DHL </w:t>
      </w:r>
      <w:proofErr w:type="spellStart"/>
      <w:r w:rsidRPr="0076569E">
        <w:rPr>
          <w:b/>
          <w:sz w:val="32"/>
          <w:szCs w:val="32"/>
        </w:rPr>
        <w:t>valde</w:t>
      </w:r>
      <w:proofErr w:type="spellEnd"/>
      <w:r w:rsidRPr="0076569E">
        <w:rPr>
          <w:b/>
          <w:sz w:val="32"/>
          <w:szCs w:val="32"/>
        </w:rPr>
        <w:t xml:space="preserve"> Linde </w:t>
      </w:r>
      <w:proofErr w:type="spellStart"/>
      <w:r w:rsidRPr="0076569E">
        <w:rPr>
          <w:b/>
          <w:sz w:val="32"/>
          <w:szCs w:val="32"/>
        </w:rPr>
        <w:t>som</w:t>
      </w:r>
      <w:proofErr w:type="spellEnd"/>
      <w:r w:rsidRPr="0076569E">
        <w:rPr>
          <w:b/>
          <w:sz w:val="32"/>
          <w:szCs w:val="32"/>
        </w:rPr>
        <w:t xml:space="preserve"> </w:t>
      </w:r>
      <w:proofErr w:type="spellStart"/>
      <w:r w:rsidRPr="0076569E">
        <w:rPr>
          <w:b/>
          <w:sz w:val="32"/>
          <w:szCs w:val="32"/>
        </w:rPr>
        <w:t>leverantör</w:t>
      </w:r>
      <w:proofErr w:type="spellEnd"/>
      <w:r w:rsidRPr="0076569E">
        <w:rPr>
          <w:b/>
          <w:sz w:val="32"/>
          <w:szCs w:val="32"/>
        </w:rPr>
        <w:t xml:space="preserve"> </w:t>
      </w:r>
      <w:proofErr w:type="spellStart"/>
      <w:r w:rsidRPr="0076569E">
        <w:rPr>
          <w:b/>
          <w:sz w:val="32"/>
          <w:szCs w:val="32"/>
        </w:rPr>
        <w:t>av</w:t>
      </w:r>
      <w:proofErr w:type="spellEnd"/>
      <w:r w:rsidRPr="0076569E">
        <w:rPr>
          <w:b/>
          <w:sz w:val="32"/>
          <w:szCs w:val="32"/>
        </w:rPr>
        <w:t xml:space="preserve"> </w:t>
      </w:r>
      <w:proofErr w:type="spellStart"/>
      <w:r w:rsidRPr="0076569E">
        <w:rPr>
          <w:b/>
          <w:sz w:val="32"/>
          <w:szCs w:val="32"/>
        </w:rPr>
        <w:t>truckar</w:t>
      </w:r>
      <w:proofErr w:type="spellEnd"/>
    </w:p>
    <w:p w:rsidR="004A0124" w:rsidRDefault="004A0124" w:rsidP="004A0124"/>
    <w:p w:rsidR="004A0124" w:rsidRPr="0076569E" w:rsidRDefault="004A0124" w:rsidP="004A0124">
      <w:pPr>
        <w:rPr>
          <w:b/>
        </w:rPr>
      </w:pPr>
      <w:r w:rsidRPr="0076569E">
        <w:rPr>
          <w:b/>
        </w:rPr>
        <w:t xml:space="preserve">Linde Material Handling AB </w:t>
      </w:r>
      <w:proofErr w:type="spellStart"/>
      <w:r w:rsidRPr="0076569E">
        <w:rPr>
          <w:b/>
        </w:rPr>
        <w:t>blir</w:t>
      </w:r>
      <w:proofErr w:type="spellEnd"/>
      <w:r w:rsidRPr="0076569E">
        <w:rPr>
          <w:b/>
        </w:rPr>
        <w:t xml:space="preserve"> DHL </w:t>
      </w:r>
      <w:proofErr w:type="spellStart"/>
      <w:r w:rsidRPr="0076569E">
        <w:rPr>
          <w:b/>
        </w:rPr>
        <w:t>Freight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Swedens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huvudleverantör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av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truckar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fem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år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framåt</w:t>
      </w:r>
      <w:proofErr w:type="spellEnd"/>
      <w:r w:rsidRPr="0076569E">
        <w:rPr>
          <w:b/>
        </w:rPr>
        <w:t xml:space="preserve">. </w:t>
      </w:r>
      <w:proofErr w:type="spellStart"/>
      <w:r w:rsidRPr="0076569E">
        <w:rPr>
          <w:b/>
        </w:rPr>
        <w:t>Bolagen</w:t>
      </w:r>
      <w:proofErr w:type="spellEnd"/>
      <w:r w:rsidRPr="0076569E">
        <w:rPr>
          <w:b/>
        </w:rPr>
        <w:t xml:space="preserve"> har </w:t>
      </w:r>
      <w:proofErr w:type="spellStart"/>
      <w:r w:rsidRPr="0076569E">
        <w:rPr>
          <w:b/>
        </w:rPr>
        <w:t>s</w:t>
      </w:r>
      <w:r>
        <w:rPr>
          <w:b/>
        </w:rPr>
        <w:t>krivit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omfattar</w:t>
      </w:r>
      <w:proofErr w:type="spellEnd"/>
      <w:r>
        <w:rPr>
          <w:b/>
        </w:rPr>
        <w:t xml:space="preserve"> 22</w:t>
      </w:r>
      <w:r w:rsidRPr="0076569E">
        <w:rPr>
          <w:b/>
        </w:rPr>
        <w:t xml:space="preserve"> terminaler. </w:t>
      </w:r>
    </w:p>
    <w:p w:rsidR="004A0124" w:rsidRPr="0076569E" w:rsidRDefault="004A0124" w:rsidP="004A0124">
      <w:pPr>
        <w:rPr>
          <w:b/>
        </w:rPr>
      </w:pPr>
      <w:r w:rsidRPr="0076569E">
        <w:rPr>
          <w:b/>
        </w:rPr>
        <w:t xml:space="preserve">– Linde </w:t>
      </w:r>
      <w:proofErr w:type="spellStart"/>
      <w:r w:rsidRPr="0076569E">
        <w:rPr>
          <w:b/>
        </w:rPr>
        <w:t>sköter</w:t>
      </w:r>
      <w:proofErr w:type="spellEnd"/>
      <w:r w:rsidRPr="0076569E">
        <w:rPr>
          <w:b/>
        </w:rPr>
        <w:t xml:space="preserve"> all </w:t>
      </w:r>
      <w:proofErr w:type="spellStart"/>
      <w:r w:rsidRPr="0076569E">
        <w:rPr>
          <w:b/>
        </w:rPr>
        <w:t>drift</w:t>
      </w:r>
      <w:proofErr w:type="spellEnd"/>
      <w:r w:rsidRPr="0076569E">
        <w:rPr>
          <w:b/>
        </w:rPr>
        <w:t xml:space="preserve"> och </w:t>
      </w:r>
      <w:proofErr w:type="spellStart"/>
      <w:r w:rsidRPr="0076569E">
        <w:rPr>
          <w:b/>
        </w:rPr>
        <w:t>underhåll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av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truckarna</w:t>
      </w:r>
      <w:proofErr w:type="spellEnd"/>
      <w:r w:rsidRPr="0076569E">
        <w:rPr>
          <w:b/>
        </w:rPr>
        <w:t xml:space="preserve">, </w:t>
      </w:r>
      <w:proofErr w:type="spellStart"/>
      <w:r w:rsidRPr="0076569E">
        <w:rPr>
          <w:b/>
        </w:rPr>
        <w:t>förklarar</w:t>
      </w:r>
      <w:proofErr w:type="spellEnd"/>
      <w:r w:rsidRPr="0076569E">
        <w:rPr>
          <w:b/>
        </w:rPr>
        <w:t xml:space="preserve"> Morgan </w:t>
      </w:r>
      <w:proofErr w:type="spellStart"/>
      <w:r w:rsidRPr="0076569E">
        <w:rPr>
          <w:b/>
        </w:rPr>
        <w:t>Wörding</w:t>
      </w:r>
      <w:proofErr w:type="spellEnd"/>
      <w:r w:rsidRPr="0076569E">
        <w:rPr>
          <w:b/>
        </w:rPr>
        <w:t xml:space="preserve">, Equipment Manager </w:t>
      </w:r>
      <w:proofErr w:type="spellStart"/>
      <w:r w:rsidRPr="0076569E">
        <w:rPr>
          <w:b/>
        </w:rPr>
        <w:t>på</w:t>
      </w:r>
      <w:proofErr w:type="spellEnd"/>
      <w:r w:rsidRPr="0076569E">
        <w:rPr>
          <w:b/>
        </w:rPr>
        <w:t xml:space="preserve"> DHL </w:t>
      </w:r>
      <w:proofErr w:type="spellStart"/>
      <w:r w:rsidRPr="0076569E">
        <w:rPr>
          <w:b/>
        </w:rPr>
        <w:t>Freight</w:t>
      </w:r>
      <w:proofErr w:type="spellEnd"/>
      <w:r w:rsidRPr="0076569E">
        <w:rPr>
          <w:b/>
        </w:rPr>
        <w:t xml:space="preserve">. </w:t>
      </w:r>
      <w:proofErr w:type="spellStart"/>
      <w:r w:rsidRPr="0076569E">
        <w:rPr>
          <w:b/>
        </w:rPr>
        <w:t>Det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innebär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att</w:t>
      </w:r>
      <w:proofErr w:type="spellEnd"/>
      <w:r w:rsidRPr="0076569E">
        <w:rPr>
          <w:b/>
        </w:rPr>
        <w:t xml:space="preserve"> vi </w:t>
      </w:r>
      <w:proofErr w:type="spellStart"/>
      <w:r w:rsidRPr="0076569E">
        <w:rPr>
          <w:b/>
        </w:rPr>
        <w:t>kan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ägna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oss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åt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vår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kärnverksamhet</w:t>
      </w:r>
      <w:proofErr w:type="spellEnd"/>
      <w:r w:rsidRPr="0076569E">
        <w:rPr>
          <w:b/>
        </w:rPr>
        <w:t xml:space="preserve"> och </w:t>
      </w:r>
      <w:proofErr w:type="spellStart"/>
      <w:r w:rsidRPr="0076569E">
        <w:rPr>
          <w:b/>
        </w:rPr>
        <w:t>tryggt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förlita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oss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på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att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truckarna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är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operationella</w:t>
      </w:r>
      <w:proofErr w:type="spellEnd"/>
      <w:r w:rsidRPr="0076569E">
        <w:rPr>
          <w:b/>
        </w:rPr>
        <w:t xml:space="preserve"> och </w:t>
      </w:r>
      <w:proofErr w:type="spellStart"/>
      <w:r w:rsidRPr="0076569E">
        <w:rPr>
          <w:b/>
        </w:rPr>
        <w:t>fungerar</w:t>
      </w:r>
      <w:proofErr w:type="spellEnd"/>
      <w:r w:rsidRPr="0076569E">
        <w:rPr>
          <w:b/>
        </w:rPr>
        <w:t xml:space="preserve"> </w:t>
      </w:r>
      <w:proofErr w:type="spellStart"/>
      <w:r w:rsidRPr="0076569E">
        <w:rPr>
          <w:b/>
        </w:rPr>
        <w:t>när</w:t>
      </w:r>
      <w:proofErr w:type="spellEnd"/>
      <w:r w:rsidRPr="0076569E">
        <w:rPr>
          <w:b/>
        </w:rPr>
        <w:t xml:space="preserve"> vi </w:t>
      </w:r>
      <w:proofErr w:type="spellStart"/>
      <w:r w:rsidRPr="0076569E">
        <w:rPr>
          <w:b/>
        </w:rPr>
        <w:t>behöver</w:t>
      </w:r>
      <w:proofErr w:type="spellEnd"/>
      <w:r w:rsidRPr="0076569E">
        <w:rPr>
          <w:b/>
        </w:rPr>
        <w:t xml:space="preserve"> dem.</w:t>
      </w:r>
    </w:p>
    <w:p w:rsidR="004A0124" w:rsidRDefault="004A0124" w:rsidP="004A0124"/>
    <w:p w:rsidR="004A0124" w:rsidRDefault="004A0124" w:rsidP="004A0124">
      <w:r>
        <w:t xml:space="preserve">– </w:t>
      </w:r>
      <w:proofErr w:type="spellStart"/>
      <w:r>
        <w:t>Vi</w:t>
      </w:r>
      <w:proofErr w:type="spellEnd"/>
      <w:r>
        <w:t xml:space="preserve"> </w:t>
      </w:r>
      <w:proofErr w:type="spellStart"/>
      <w:r>
        <w:t>valde</w:t>
      </w:r>
      <w:proofErr w:type="spellEnd"/>
      <w:r>
        <w:t xml:space="preserve"> Linde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dess</w:t>
      </w:r>
      <w:proofErr w:type="spellEnd"/>
      <w:r>
        <w:t xml:space="preserve"> </w:t>
      </w:r>
      <w:proofErr w:type="spellStart"/>
      <w:r>
        <w:t>innovativa</w:t>
      </w:r>
      <w:proofErr w:type="spellEnd"/>
      <w:r>
        <w:t xml:space="preserve"> </w:t>
      </w:r>
      <w:proofErr w:type="spellStart"/>
      <w:r>
        <w:t>truckar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vi </w:t>
      </w:r>
      <w:proofErr w:type="spellStart"/>
      <w:r>
        <w:t>anser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marknadsledande</w:t>
      </w:r>
      <w:proofErr w:type="spellEnd"/>
      <w:r>
        <w:t xml:space="preserve"> i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slag</w:t>
      </w:r>
      <w:proofErr w:type="spellEnd"/>
      <w:r>
        <w:t xml:space="preserve">, </w:t>
      </w:r>
      <w:proofErr w:type="spellStart"/>
      <w:r>
        <w:t>säger</w:t>
      </w:r>
      <w:proofErr w:type="spellEnd"/>
      <w:r>
        <w:t xml:space="preserve"> Morgan </w:t>
      </w:r>
      <w:proofErr w:type="spellStart"/>
      <w:r>
        <w:t>Wörding</w:t>
      </w:r>
      <w:proofErr w:type="spellEnd"/>
      <w:r>
        <w:t xml:space="preserve">. Lindes </w:t>
      </w:r>
      <w:proofErr w:type="spellStart"/>
      <w:r>
        <w:t>truckar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kostnads</w:t>
      </w:r>
      <w:proofErr w:type="spellEnd"/>
      <w:r>
        <w:t xml:space="preserve">- och </w:t>
      </w:r>
      <w:proofErr w:type="spellStart"/>
      <w:r>
        <w:t>energieffektiva</w:t>
      </w:r>
      <w:proofErr w:type="spellEnd"/>
      <w:r>
        <w:t xml:space="preserve">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gör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minskar</w:t>
      </w:r>
      <w:proofErr w:type="spellEnd"/>
      <w:r>
        <w:t xml:space="preserve">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behov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elektricitet</w:t>
      </w:r>
      <w:proofErr w:type="spellEnd"/>
      <w:r>
        <w:t xml:space="preserve">.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ger</w:t>
      </w:r>
      <w:proofErr w:type="spellEnd"/>
      <w:r>
        <w:t xml:space="preserve"> </w:t>
      </w:r>
      <w:proofErr w:type="spellStart"/>
      <w:r>
        <w:t>positiva</w:t>
      </w:r>
      <w:proofErr w:type="spellEnd"/>
      <w:r>
        <w:t xml:space="preserve"> </w:t>
      </w:r>
      <w:proofErr w:type="spellStart"/>
      <w:r>
        <w:t>effekter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miljön</w:t>
      </w:r>
      <w:proofErr w:type="spellEnd"/>
      <w:r>
        <w:t xml:space="preserve">,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en </w:t>
      </w:r>
      <w:proofErr w:type="spellStart"/>
      <w:r>
        <w:t>viktig</w:t>
      </w:r>
      <w:proofErr w:type="spellEnd"/>
      <w:r>
        <w:t xml:space="preserve"> </w:t>
      </w:r>
      <w:proofErr w:type="spellStart"/>
      <w:r>
        <w:t>målsättning</w:t>
      </w:r>
      <w:proofErr w:type="spellEnd"/>
      <w:r>
        <w:t xml:space="preserve"> i </w:t>
      </w:r>
      <w:proofErr w:type="spellStart"/>
      <w:r>
        <w:t>allt</w:t>
      </w:r>
      <w:proofErr w:type="spellEnd"/>
      <w:r>
        <w:t xml:space="preserve"> DHL:s </w:t>
      </w:r>
      <w:proofErr w:type="spellStart"/>
      <w:r>
        <w:t>arbete</w:t>
      </w:r>
      <w:proofErr w:type="spellEnd"/>
      <w:r>
        <w:t xml:space="preserve">. </w:t>
      </w:r>
    </w:p>
    <w:p w:rsidR="004A0124" w:rsidRDefault="004A0124" w:rsidP="004A0124"/>
    <w:p w:rsidR="004A0124" w:rsidRPr="003176C7" w:rsidRDefault="004A0124" w:rsidP="004A0124">
      <w:pPr>
        <w:rPr>
          <w:b/>
        </w:rPr>
      </w:pPr>
      <w:proofErr w:type="spellStart"/>
      <w:r w:rsidRPr="003176C7">
        <w:rPr>
          <w:b/>
        </w:rPr>
        <w:t>Uppfyller</w:t>
      </w:r>
      <w:proofErr w:type="spellEnd"/>
      <w:r w:rsidRPr="003176C7">
        <w:rPr>
          <w:b/>
        </w:rPr>
        <w:t xml:space="preserve"> alla </w:t>
      </w:r>
      <w:proofErr w:type="spellStart"/>
      <w:r w:rsidRPr="003176C7">
        <w:rPr>
          <w:b/>
        </w:rPr>
        <w:t>krav</w:t>
      </w:r>
      <w:proofErr w:type="spellEnd"/>
      <w:r w:rsidRPr="003176C7">
        <w:rPr>
          <w:b/>
        </w:rPr>
        <w:t xml:space="preserve"> </w:t>
      </w:r>
      <w:proofErr w:type="spellStart"/>
      <w:r w:rsidRPr="003176C7">
        <w:rPr>
          <w:b/>
        </w:rPr>
        <w:t>på</w:t>
      </w:r>
      <w:proofErr w:type="spellEnd"/>
      <w:r w:rsidRPr="003176C7">
        <w:rPr>
          <w:b/>
        </w:rPr>
        <w:t xml:space="preserve"> </w:t>
      </w:r>
      <w:proofErr w:type="spellStart"/>
      <w:r w:rsidRPr="003176C7">
        <w:rPr>
          <w:b/>
        </w:rPr>
        <w:t>tillgänglighet</w:t>
      </w:r>
      <w:proofErr w:type="spellEnd"/>
      <w:r w:rsidRPr="003176C7">
        <w:rPr>
          <w:b/>
        </w:rPr>
        <w:t xml:space="preserve"> och </w:t>
      </w:r>
      <w:proofErr w:type="spellStart"/>
      <w:r w:rsidRPr="003176C7">
        <w:rPr>
          <w:b/>
        </w:rPr>
        <w:t>säkerhet</w:t>
      </w:r>
      <w:proofErr w:type="spellEnd"/>
    </w:p>
    <w:p w:rsidR="004A0124" w:rsidRDefault="004A0124" w:rsidP="004A0124">
      <w:r>
        <w:t xml:space="preserve">– </w:t>
      </w:r>
      <w:proofErr w:type="spellStart"/>
      <w:r>
        <w:t>Dessutom</w:t>
      </w:r>
      <w:proofErr w:type="spellEnd"/>
      <w:r>
        <w:t xml:space="preserve"> </w:t>
      </w:r>
      <w:proofErr w:type="spellStart"/>
      <w:r>
        <w:t>uppfyller</w:t>
      </w:r>
      <w:proofErr w:type="spellEnd"/>
      <w:r>
        <w:t xml:space="preserve"> Lindes </w:t>
      </w:r>
      <w:proofErr w:type="spellStart"/>
      <w:r>
        <w:t>rikstäckande</w:t>
      </w:r>
      <w:proofErr w:type="spellEnd"/>
      <w:r>
        <w:t xml:space="preserve"> </w:t>
      </w:r>
      <w:proofErr w:type="spellStart"/>
      <w:r>
        <w:t>sälj</w:t>
      </w:r>
      <w:proofErr w:type="spellEnd"/>
      <w:r>
        <w:t xml:space="preserve">- och </w:t>
      </w:r>
      <w:proofErr w:type="spellStart"/>
      <w:r>
        <w:t>serviceorganisation</w:t>
      </w:r>
      <w:proofErr w:type="spellEnd"/>
      <w:r>
        <w:t xml:space="preserve"> de </w:t>
      </w:r>
      <w:proofErr w:type="spellStart"/>
      <w:r>
        <w:t>krav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flexibilitet</w:t>
      </w:r>
      <w:proofErr w:type="spellEnd"/>
      <w:r>
        <w:t xml:space="preserve">, </w:t>
      </w:r>
      <w:proofErr w:type="spellStart"/>
      <w:r>
        <w:t>tillgänglighet</w:t>
      </w:r>
      <w:proofErr w:type="spellEnd"/>
      <w:r>
        <w:t xml:space="preserve"> och </w:t>
      </w:r>
      <w:proofErr w:type="spellStart"/>
      <w:r>
        <w:t>säkerhet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vår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 </w:t>
      </w:r>
      <w:proofErr w:type="spellStart"/>
      <w:r>
        <w:t>kräver</w:t>
      </w:r>
      <w:proofErr w:type="spellEnd"/>
      <w:r>
        <w:t xml:space="preserve">, </w:t>
      </w:r>
      <w:proofErr w:type="spellStart"/>
      <w:r>
        <w:t>fortsätter</w:t>
      </w:r>
      <w:proofErr w:type="spellEnd"/>
      <w:r>
        <w:t xml:space="preserve"> Morgan </w:t>
      </w:r>
      <w:proofErr w:type="spellStart"/>
      <w:r>
        <w:t>Wörding</w:t>
      </w:r>
      <w:proofErr w:type="spellEnd"/>
      <w:r>
        <w:t>.</w:t>
      </w:r>
    </w:p>
    <w:p w:rsidR="004A0124" w:rsidRDefault="004A0124" w:rsidP="004A0124">
      <w:proofErr w:type="spellStart"/>
      <w:r>
        <w:t>Fem</w:t>
      </w:r>
      <w:proofErr w:type="spellEnd"/>
      <w:r>
        <w:t xml:space="preserve"> terminaler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igång</w:t>
      </w:r>
      <w:proofErr w:type="spellEnd"/>
      <w:r>
        <w:t xml:space="preserve"> </w:t>
      </w:r>
      <w:proofErr w:type="spellStart"/>
      <w:r>
        <w:t>sedan</w:t>
      </w:r>
      <w:proofErr w:type="spellEnd"/>
      <w:r>
        <w:t xml:space="preserve"> den 1 </w:t>
      </w:r>
      <w:proofErr w:type="spellStart"/>
      <w:r>
        <w:t>oktober</w:t>
      </w:r>
      <w:proofErr w:type="spellEnd"/>
      <w:r>
        <w:t xml:space="preserve">, de </w:t>
      </w:r>
      <w:proofErr w:type="spellStart"/>
      <w:r>
        <w:t>övriga</w:t>
      </w:r>
      <w:proofErr w:type="spellEnd"/>
      <w:r>
        <w:t xml:space="preserve"> den 1 </w:t>
      </w:r>
      <w:proofErr w:type="spellStart"/>
      <w:r>
        <w:t>januari</w:t>
      </w:r>
      <w:proofErr w:type="spellEnd"/>
      <w:r>
        <w:t xml:space="preserve"> 2015.</w:t>
      </w:r>
    </w:p>
    <w:p w:rsidR="004A0124" w:rsidRDefault="004A0124" w:rsidP="004A0124">
      <w:r>
        <w:t xml:space="preserve">– </w:t>
      </w:r>
      <w:proofErr w:type="spellStart"/>
      <w:r>
        <w:t>Vi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väldigt</w:t>
      </w:r>
      <w:proofErr w:type="spellEnd"/>
      <w:r>
        <w:t xml:space="preserve"> </w:t>
      </w:r>
      <w:proofErr w:type="spellStart"/>
      <w:r>
        <w:t>stolta</w:t>
      </w:r>
      <w:proofErr w:type="spellEnd"/>
      <w:r>
        <w:t xml:space="preserve"> och </w:t>
      </w:r>
      <w:proofErr w:type="spellStart"/>
      <w:r>
        <w:t>glada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DHL:s </w:t>
      </w:r>
      <w:proofErr w:type="spellStart"/>
      <w:r>
        <w:t>val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truckleverantör</w:t>
      </w:r>
      <w:proofErr w:type="spellEnd"/>
      <w:r>
        <w:t xml:space="preserve">, </w:t>
      </w:r>
      <w:proofErr w:type="spellStart"/>
      <w:r>
        <w:t>säger</w:t>
      </w:r>
      <w:proofErr w:type="spellEnd"/>
      <w:r>
        <w:t xml:space="preserve"> Karl-Johan </w:t>
      </w:r>
      <w:proofErr w:type="spellStart"/>
      <w:r>
        <w:t>Lindahl</w:t>
      </w:r>
      <w:proofErr w:type="spellEnd"/>
      <w:r>
        <w:t xml:space="preserve">, </w:t>
      </w:r>
      <w:proofErr w:type="spellStart"/>
      <w:r>
        <w:t>marknadschef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Linde.</w:t>
      </w:r>
    </w:p>
    <w:p w:rsidR="004A0124" w:rsidRDefault="004A0124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eastAsia="en-GB" w:bidi="ar-SA"/>
        </w:rPr>
      </w:pPr>
    </w:p>
    <w:p w:rsidR="000E4A26" w:rsidRPr="00630F45" w:rsidRDefault="00CC50B0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>
        <w:rPr>
          <w:b/>
          <w:bCs/>
          <w:color w:val="000000"/>
          <w:sz w:val="22"/>
          <w:szCs w:val="22"/>
          <w:lang w:val="sv-SE" w:eastAsia="en-GB" w:bidi="ar-SA"/>
        </w:rPr>
        <w:t>Kontakt för mer information</w:t>
      </w:r>
    </w:p>
    <w:p w:rsidR="000F5B8B" w:rsidRDefault="000E4A26" w:rsidP="00CC50B0">
      <w:pPr>
        <w:keepNext/>
        <w:keepLines/>
        <w:spacing w:line="360" w:lineRule="auto"/>
        <w:rPr>
          <w:color w:val="000000"/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="000F5B8B">
        <w:rPr>
          <w:color w:val="000000"/>
          <w:szCs w:val="20"/>
          <w:lang w:val="sv-SE" w:eastAsia="en-GB" w:bidi="ar-SA"/>
        </w:rPr>
        <w:t>—</w:t>
      </w:r>
      <w:proofErr w:type="gramEnd"/>
      <w:r w:rsidR="000F5B8B">
        <w:rPr>
          <w:color w:val="000000"/>
          <w:szCs w:val="20"/>
          <w:lang w:val="sv-SE" w:eastAsia="en-GB" w:bidi="ar-SA"/>
        </w:rPr>
        <w:t xml:space="preserve"> email: </w:t>
      </w:r>
      <w:hyperlink r:id="rId10" w:history="1">
        <w:r w:rsidR="000F5B8B" w:rsidRPr="00B51A5B">
          <w:rPr>
            <w:rStyle w:val="Hyperlnk"/>
            <w:szCs w:val="20"/>
            <w:lang w:val="sv-SE" w:eastAsia="en-GB" w:bidi="ar-SA"/>
          </w:rPr>
          <w:t>kj.lindahl@linde-mh.se</w:t>
        </w:r>
      </w:hyperlink>
    </w:p>
    <w:p w:rsidR="004A0124" w:rsidRDefault="004A0124" w:rsidP="00CC50B0">
      <w:pPr>
        <w:keepNext/>
        <w:keepLines/>
        <w:spacing w:line="360" w:lineRule="auto"/>
        <w:rPr>
          <w:color w:val="000000"/>
          <w:szCs w:val="20"/>
          <w:lang w:val="sv-SE" w:eastAsia="en-GB" w:bidi="ar-SA"/>
        </w:rPr>
      </w:pPr>
    </w:p>
    <w:p w:rsidR="000E4A26" w:rsidRPr="00CC50B0" w:rsidRDefault="000E4A26" w:rsidP="00CC50B0">
      <w:pPr>
        <w:keepNext/>
        <w:keepLines/>
        <w:spacing w:line="360" w:lineRule="auto"/>
        <w:rPr>
          <w:sz w:val="22"/>
          <w:szCs w:val="22"/>
          <w:lang w:val="sv-SE" w:eastAsia="en-GB" w:bidi="ar-SA"/>
        </w:rPr>
      </w:pPr>
      <w:r>
        <w:rPr>
          <w:color w:val="000000"/>
          <w:szCs w:val="20"/>
          <w:lang w:val="sv-SE" w:eastAsia="en-GB" w:bidi="ar-SA"/>
        </w:rPr>
        <w:br/>
      </w:r>
      <w:r w:rsidR="00CC50B0">
        <w:rPr>
          <w:color w:val="000000"/>
          <w:szCs w:val="20"/>
          <w:lang w:val="sv-SE" w:eastAsia="en-GB" w:bidi="ar-SA"/>
        </w:rPr>
        <w:t xml:space="preserve"> </w:t>
      </w:r>
    </w:p>
    <w:p w:rsidR="000E4A26" w:rsidRPr="00A5228E" w:rsidRDefault="000E4A26" w:rsidP="000E4A26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0E4A26" w:rsidRPr="00A5228E" w:rsidRDefault="000E4A26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sectPr w:rsidR="002D1BE5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abstractNum w:abstractNumId="2">
    <w:nsid w:val="63C41C63"/>
    <w:multiLevelType w:val="hybridMultilevel"/>
    <w:tmpl w:val="5882035A"/>
    <w:lvl w:ilvl="0" w:tplc="DA7A1B1C">
      <w:numFmt w:val="bullet"/>
      <w:lvlText w:val="-"/>
      <w:lvlJc w:val="left"/>
      <w:pPr>
        <w:ind w:left="720" w:hanging="360"/>
      </w:pPr>
      <w:rPr>
        <w:rFonts w:ascii="LindeDaxOffice" w:eastAsia="Times New Roman" w:hAnsi="LindeDaxOffice" w:cs="LindeDaxOffic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87191"/>
    <w:rsid w:val="000941C1"/>
    <w:rsid w:val="000A7A2E"/>
    <w:rsid w:val="000E4A26"/>
    <w:rsid w:val="000F5B8B"/>
    <w:rsid w:val="001C0A43"/>
    <w:rsid w:val="00217258"/>
    <w:rsid w:val="00262D78"/>
    <w:rsid w:val="002A526C"/>
    <w:rsid w:val="002D1BE5"/>
    <w:rsid w:val="00382195"/>
    <w:rsid w:val="00404F8A"/>
    <w:rsid w:val="00421963"/>
    <w:rsid w:val="00441464"/>
    <w:rsid w:val="00481B8B"/>
    <w:rsid w:val="004A0124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E61E6"/>
    <w:rsid w:val="00942499"/>
    <w:rsid w:val="009F5549"/>
    <w:rsid w:val="00A5228E"/>
    <w:rsid w:val="00A5363A"/>
    <w:rsid w:val="00AC067C"/>
    <w:rsid w:val="00B23B18"/>
    <w:rsid w:val="00B30C7A"/>
    <w:rsid w:val="00BC0C62"/>
    <w:rsid w:val="00BC5702"/>
    <w:rsid w:val="00BE2C2D"/>
    <w:rsid w:val="00BF49FA"/>
    <w:rsid w:val="00C2335A"/>
    <w:rsid w:val="00CC50B0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j.lindahl@linde-mh.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8BAA-D5D7-4F03-9D7B-92BF3C00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2</cp:revision>
  <cp:lastPrinted>2014-06-30T13:57:00Z</cp:lastPrinted>
  <dcterms:created xsi:type="dcterms:W3CDTF">2014-10-10T11:11:00Z</dcterms:created>
  <dcterms:modified xsi:type="dcterms:W3CDTF">2014-10-10T11:11:00Z</dcterms:modified>
</cp:coreProperties>
</file>