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720EDA" w:rsidRDefault="007A3A2F" w:rsidP="007A3A2F">
      <w:pPr>
        <w:pStyle w:val="titel"/>
        <w:rPr>
          <w:sz w:val="22"/>
          <w:szCs w:val="22"/>
          <w:lang w:val="en-US"/>
        </w:rPr>
      </w:pPr>
      <w:r w:rsidRPr="00720EDA">
        <w:rPr>
          <w:sz w:val="22"/>
          <w:szCs w:val="22"/>
          <w:lang w:val="en-US"/>
        </w:rPr>
        <w:t>GOETHEANUM</w:t>
      </w:r>
      <w:r w:rsidRPr="00720EDA">
        <w:rPr>
          <w:sz w:val="22"/>
          <w:szCs w:val="22"/>
          <w:lang w:val="en-US"/>
        </w:rPr>
        <w:tab/>
      </w:r>
      <w:r w:rsidR="00B90BB3" w:rsidRPr="00720EDA">
        <w:rPr>
          <w:sz w:val="22"/>
          <w:szCs w:val="22"/>
          <w:lang w:val="en-US"/>
        </w:rPr>
        <w:t xml:space="preserve"> </w:t>
      </w:r>
      <w:r w:rsidR="0081275A" w:rsidRPr="00720EDA">
        <w:rPr>
          <w:sz w:val="22"/>
          <w:szCs w:val="22"/>
          <w:lang w:val="en-US"/>
        </w:rPr>
        <w:t>COMUNICACIÓN</w:t>
      </w:r>
    </w:p>
    <w:p w14:paraId="2CA980B4" w14:textId="77777777" w:rsidR="007A3A2F" w:rsidRPr="00720EDA" w:rsidRDefault="007A3A2F" w:rsidP="007A3A2F">
      <w:pPr>
        <w:pStyle w:val="titel"/>
        <w:jc w:val="right"/>
        <w:rPr>
          <w:sz w:val="22"/>
          <w:szCs w:val="22"/>
          <w:lang w:val="en-US"/>
        </w:rPr>
      </w:pPr>
    </w:p>
    <w:p w14:paraId="3D8AFE1B" w14:textId="77777777" w:rsidR="009549A3" w:rsidRPr="009549A3" w:rsidRDefault="009549A3" w:rsidP="009549A3">
      <w:pPr>
        <w:pStyle w:val="titel"/>
        <w:jc w:val="right"/>
        <w:rPr>
          <w:sz w:val="22"/>
          <w:szCs w:val="22"/>
          <w:lang w:val="en-US"/>
        </w:rPr>
      </w:pPr>
      <w:r w:rsidRPr="009549A3">
        <w:rPr>
          <w:sz w:val="22"/>
          <w:szCs w:val="22"/>
          <w:lang w:val="en-US"/>
        </w:rPr>
        <w:tab/>
        <w:t>Goetheanum, Dornach, Suiza, 22 de marzo de 2023</w:t>
      </w:r>
    </w:p>
    <w:p w14:paraId="184316F8" w14:textId="77777777" w:rsidR="009549A3" w:rsidRPr="009549A3" w:rsidRDefault="009549A3" w:rsidP="009549A3">
      <w:pPr>
        <w:pStyle w:val="body"/>
        <w:rPr>
          <w:lang w:val="en-US"/>
        </w:rPr>
      </w:pPr>
    </w:p>
    <w:p w14:paraId="60D4F4AB" w14:textId="77777777" w:rsidR="009549A3" w:rsidRPr="009549A3" w:rsidRDefault="009549A3" w:rsidP="009549A3">
      <w:pPr>
        <w:pStyle w:val="titel"/>
        <w:spacing w:before="57"/>
        <w:rPr>
          <w:b/>
          <w:bCs/>
          <w:sz w:val="28"/>
          <w:szCs w:val="28"/>
          <w:lang w:val="en-US"/>
        </w:rPr>
      </w:pPr>
      <w:r w:rsidRPr="009549A3">
        <w:rPr>
          <w:b/>
          <w:bCs/>
          <w:sz w:val="28"/>
          <w:szCs w:val="28"/>
          <w:lang w:val="en-US"/>
        </w:rPr>
        <w:t>Pamy Mediaproductions y el Escenario del Goetheanum</w:t>
      </w:r>
    </w:p>
    <w:p w14:paraId="64BB3663" w14:textId="77777777" w:rsidR="009549A3" w:rsidRPr="009549A3" w:rsidRDefault="009549A3" w:rsidP="009549A3">
      <w:pPr>
        <w:pStyle w:val="titel"/>
        <w:spacing w:before="57"/>
        <w:rPr>
          <w:b/>
          <w:bCs/>
          <w:sz w:val="24"/>
          <w:szCs w:val="24"/>
          <w:lang w:val="en-US"/>
        </w:rPr>
      </w:pPr>
      <w:r w:rsidRPr="009549A3">
        <w:rPr>
          <w:b/>
          <w:bCs/>
          <w:sz w:val="24"/>
          <w:szCs w:val="24"/>
          <w:lang w:val="en-US"/>
        </w:rPr>
        <w:t>El ‹Parsifal› de Richard Wagner en el Goetheanum – con euritmia</w:t>
      </w:r>
    </w:p>
    <w:p w14:paraId="7D224DE0" w14:textId="77777777" w:rsidR="009549A3" w:rsidRPr="009549A3" w:rsidRDefault="009549A3" w:rsidP="009549A3">
      <w:pPr>
        <w:pStyle w:val="body"/>
        <w:rPr>
          <w:b/>
          <w:bCs/>
          <w:lang w:val="en-US"/>
        </w:rPr>
      </w:pPr>
    </w:p>
    <w:p w14:paraId="28128961" w14:textId="77777777" w:rsidR="009549A3" w:rsidRPr="009549A3" w:rsidRDefault="009549A3" w:rsidP="009549A3">
      <w:pPr>
        <w:pStyle w:val="body"/>
        <w:rPr>
          <w:rFonts w:ascii="Titillium" w:hAnsi="Titillium" w:cs="Titillium"/>
          <w:b/>
          <w:bCs/>
          <w:lang w:val="en-US"/>
        </w:rPr>
      </w:pPr>
      <w:r w:rsidRPr="009549A3">
        <w:rPr>
          <w:rFonts w:ascii="Titillium" w:hAnsi="Titillium" w:cs="Titillium"/>
          <w:b/>
          <w:bCs/>
          <w:spacing w:val="-1"/>
          <w:lang w:val="en-US"/>
        </w:rPr>
        <w:t>Con la producción de esta obra, que el compositor denominó ‹festival de consagración escénica›, el equipo de dirección artística en torno a Jasmin Solfaghari (escenografía y dirección de ópera) y Stefan Hasler (dirección de euritmia) está haciendo historia. Renombrados cantantes de ópera actuarán junto con los euritmistas en el escenario.</w:t>
      </w:r>
    </w:p>
    <w:p w14:paraId="6A2D2394" w14:textId="77777777" w:rsidR="009549A3" w:rsidRPr="009549A3" w:rsidRDefault="009549A3" w:rsidP="009549A3">
      <w:pPr>
        <w:pStyle w:val="body"/>
        <w:rPr>
          <w:rFonts w:ascii="Titillium" w:hAnsi="Titillium" w:cs="Titillium"/>
          <w:spacing w:val="1"/>
          <w:lang w:val="en-US"/>
        </w:rPr>
      </w:pPr>
    </w:p>
    <w:p w14:paraId="60BAE0B2" w14:textId="77777777" w:rsidR="009549A3" w:rsidRPr="009549A3" w:rsidRDefault="009549A3" w:rsidP="009549A3">
      <w:pPr>
        <w:pStyle w:val="body"/>
        <w:rPr>
          <w:rFonts w:ascii="Titillium" w:hAnsi="Titillium" w:cs="Titillium"/>
          <w:spacing w:val="1"/>
          <w:lang w:val="en-US"/>
        </w:rPr>
      </w:pPr>
      <w:r w:rsidRPr="009549A3">
        <w:rPr>
          <w:rFonts w:ascii="Titillium" w:hAnsi="Titillium" w:cs="Titillium"/>
          <w:spacing w:val="1"/>
          <w:lang w:val="en-US"/>
        </w:rPr>
        <w:t>El hecho de que esta producción se realice en el Goetheanum se debe, entre otros, a Alexander von Glenck. Con Jasmin Solfaghari (escenografía), Walter Schütze (escenografía y vestuario) y Roland Fister (dirección musical) ha formado un equipo de probada experiencia en la producción de óperas de Wagner. Por parte del Goetheanum, Stefan Hasler (dirección de euritmia) y Klaus Suppan (iluminación) se han unido al equipo. Un elemento clave de la cooperación es el trabajo de Felix Lindenmaier, que profundizó en la partitura de Richard Wagner para descubrir las disposiciones anímicas más sutiles de los personajes y hacerlas accesibles para la interpretación eurítmica. Como señala Jasmin Solfaghari, el acontecimiento del Grial es un proceso interior en todo ser humano.</w:t>
      </w:r>
    </w:p>
    <w:p w14:paraId="7C4AF722" w14:textId="77777777" w:rsidR="009549A3" w:rsidRPr="009549A3" w:rsidRDefault="009549A3" w:rsidP="009549A3">
      <w:pPr>
        <w:pStyle w:val="body"/>
        <w:rPr>
          <w:rFonts w:ascii="Titillium" w:hAnsi="Titillium" w:cs="Titillium"/>
          <w:spacing w:val="1"/>
          <w:lang w:val="en-US"/>
        </w:rPr>
      </w:pPr>
    </w:p>
    <w:p w14:paraId="62F7D7D3" w14:textId="77777777" w:rsidR="009549A3" w:rsidRPr="009549A3" w:rsidRDefault="009549A3" w:rsidP="009549A3">
      <w:pPr>
        <w:pStyle w:val="body"/>
        <w:rPr>
          <w:rFonts w:ascii="Titillium" w:hAnsi="Titillium" w:cs="Titillium"/>
          <w:spacing w:val="1"/>
          <w:lang w:val="en-US"/>
        </w:rPr>
      </w:pPr>
      <w:r w:rsidRPr="009549A3">
        <w:rPr>
          <w:rFonts w:ascii="Titillium" w:hAnsi="Titillium" w:cs="Titillium"/>
          <w:spacing w:val="1"/>
          <w:lang w:val="en-US"/>
        </w:rPr>
        <w:t>Los elementos centrales como el Grial, la lanza y el cisne, que a la vez tienen carácter representativo y simbólico, se hacen visibles mediante las técnicas eurítmicas. Este planteamiento repercute en la puesta en escena en todos los sentidos: La escenografía debe responder a las necesidades tanto de la euritmia como de los cantantes (incluido el coro); necesita cierta flexibilidad de transformación. Hay que elegir el vestuario más adecuado para los diferentes personajes que salen en el escenario. La presencia compartida de la euritmia y la ópera también plantea tareas especiales a la iluminación en términos de visibilidad y ambiente.</w:t>
      </w:r>
    </w:p>
    <w:p w14:paraId="591F98E3" w14:textId="77777777" w:rsidR="009549A3" w:rsidRPr="009549A3" w:rsidRDefault="009549A3" w:rsidP="009549A3">
      <w:pPr>
        <w:pStyle w:val="body"/>
        <w:rPr>
          <w:rFonts w:ascii="Titillium" w:hAnsi="Titillium" w:cs="Titillium"/>
          <w:spacing w:val="1"/>
          <w:lang w:val="en-US"/>
        </w:rPr>
      </w:pPr>
    </w:p>
    <w:p w14:paraId="2C391123" w14:textId="77777777" w:rsidR="009549A3" w:rsidRPr="009549A3" w:rsidRDefault="009549A3" w:rsidP="009549A3">
      <w:pPr>
        <w:pStyle w:val="body"/>
        <w:rPr>
          <w:rFonts w:ascii="Titillium" w:hAnsi="Titillium" w:cs="Titillium"/>
          <w:spacing w:val="1"/>
          <w:lang w:val="en-US"/>
        </w:rPr>
      </w:pPr>
      <w:r w:rsidRPr="009549A3">
        <w:rPr>
          <w:rFonts w:ascii="Titillium" w:hAnsi="Titillium" w:cs="Titillium"/>
          <w:spacing w:val="1"/>
          <w:lang w:val="en-US"/>
        </w:rPr>
        <w:t xml:space="preserve">Los cantantes proceden de contextos artísticos y operísticos de renombre internacional. Interpreta la Filarmónica de Baden-Baden (Alemania) y canta el conjunto vocal de la Opernfestspiele Heidenheim (Alemania). En cuanto a la euritmia, se reunirán el Conjunto de Euritmia del Goetheanum y el Eurythmeum Stuttgart, entre otros euritmistas. </w:t>
      </w:r>
    </w:p>
    <w:p w14:paraId="245328EF" w14:textId="77777777" w:rsidR="009549A3" w:rsidRPr="009549A3" w:rsidRDefault="009549A3" w:rsidP="009549A3">
      <w:pPr>
        <w:pStyle w:val="body"/>
        <w:rPr>
          <w:rFonts w:ascii="Titillium" w:hAnsi="Titillium" w:cs="Titillium"/>
          <w:spacing w:val="1"/>
          <w:lang w:val="en-US"/>
        </w:rPr>
      </w:pPr>
    </w:p>
    <w:p w14:paraId="25561BAA" w14:textId="77777777" w:rsidR="009549A3" w:rsidRPr="009549A3" w:rsidRDefault="009549A3" w:rsidP="009549A3">
      <w:pPr>
        <w:pStyle w:val="body"/>
        <w:rPr>
          <w:rFonts w:ascii="Titillium" w:hAnsi="Titillium" w:cs="Titillium"/>
          <w:spacing w:val="1"/>
          <w:lang w:val="en-US"/>
        </w:rPr>
      </w:pPr>
      <w:r w:rsidRPr="009549A3">
        <w:rPr>
          <w:rFonts w:ascii="Titillium" w:hAnsi="Titillium" w:cs="Titillium"/>
          <w:spacing w:val="1"/>
          <w:lang w:val="en-US"/>
        </w:rPr>
        <w:t>Hasta ahora ha habido varias escenificaciones de óperas en el Goetheanum pero nunca de una obra tan completa del repertorio operístico.</w:t>
      </w:r>
    </w:p>
    <w:p w14:paraId="736FFD21" w14:textId="77777777" w:rsidR="009549A3" w:rsidRPr="009549A3" w:rsidRDefault="009549A3" w:rsidP="009549A3">
      <w:pPr>
        <w:pStyle w:val="body"/>
        <w:jc w:val="right"/>
        <w:rPr>
          <w:rFonts w:ascii="Titillium" w:hAnsi="Titillium" w:cs="Titillium"/>
          <w:lang w:val="en-US"/>
        </w:rPr>
      </w:pPr>
      <w:r w:rsidRPr="009549A3">
        <w:rPr>
          <w:rFonts w:ascii="Titillium" w:hAnsi="Titillium" w:cs="Titillium"/>
          <w:lang w:val="en-US"/>
        </w:rPr>
        <w:t>(2227 caracteres/SJ; traducido por Michael Kranawetvogl)</w:t>
      </w:r>
    </w:p>
    <w:p w14:paraId="1EC56D1C" w14:textId="77777777" w:rsidR="009549A3" w:rsidRPr="009549A3" w:rsidRDefault="009549A3" w:rsidP="009549A3">
      <w:pPr>
        <w:pStyle w:val="body"/>
        <w:spacing w:before="113"/>
        <w:rPr>
          <w:rFonts w:ascii="Titillium" w:hAnsi="Titillium" w:cs="Titillium"/>
          <w:spacing w:val="1"/>
          <w:lang w:val="en-US"/>
        </w:rPr>
      </w:pPr>
      <w:r w:rsidRPr="009549A3">
        <w:rPr>
          <w:rFonts w:ascii="Titillium Bd" w:hAnsi="Titillium Bd" w:cs="Titillium Bd"/>
          <w:b/>
          <w:bCs/>
          <w:spacing w:val="1"/>
          <w:lang w:val="en-US"/>
        </w:rPr>
        <w:t>‹Parsifal› (entradas agotadas)</w:t>
      </w:r>
      <w:r w:rsidRPr="009549A3">
        <w:rPr>
          <w:rFonts w:ascii="Titillium" w:hAnsi="Titillium" w:cs="Titillium"/>
          <w:spacing w:val="1"/>
          <w:lang w:val="en-US"/>
        </w:rPr>
        <w:t xml:space="preserve"> 2, 7 y 9 de abril de 2023, Goetheanum </w:t>
      </w:r>
      <w:r w:rsidRPr="009549A3">
        <w:rPr>
          <w:rFonts w:ascii="Titillium" w:hAnsi="Titillium" w:cs="Titillium"/>
          <w:spacing w:val="1"/>
          <w:lang w:val="en-US"/>
        </w:rPr>
        <w:br/>
      </w:r>
      <w:r w:rsidRPr="009549A3">
        <w:rPr>
          <w:rFonts w:ascii="Titillium Bd" w:hAnsi="Titillium Bd" w:cs="Titillium Bd"/>
          <w:b/>
          <w:bCs/>
          <w:spacing w:val="1"/>
          <w:lang w:val="en-US"/>
        </w:rPr>
        <w:t>Web (alemán)</w:t>
      </w:r>
      <w:r w:rsidRPr="009549A3">
        <w:rPr>
          <w:rFonts w:ascii="Titillium" w:hAnsi="Titillium" w:cs="Titillium"/>
          <w:spacing w:val="1"/>
          <w:lang w:val="en-US"/>
        </w:rPr>
        <w:t xml:space="preserve"> www.parsifal-wagner.ch</w:t>
      </w:r>
    </w:p>
    <w:p w14:paraId="7DBB424B" w14:textId="1C1CFA92" w:rsidR="006E7E7B" w:rsidRPr="009549A3" w:rsidRDefault="009549A3" w:rsidP="009549A3">
      <w:pPr>
        <w:pStyle w:val="body"/>
        <w:spacing w:before="113"/>
        <w:rPr>
          <w:rFonts w:ascii="Titillium" w:hAnsi="Titillium" w:cs="Titillium"/>
          <w:spacing w:val="1"/>
          <w:lang w:val="en-US"/>
        </w:rPr>
      </w:pPr>
      <w:r w:rsidRPr="009549A3">
        <w:rPr>
          <w:rFonts w:ascii="Titillium Bd" w:hAnsi="Titillium Bd" w:cs="Titillium Bd"/>
          <w:b/>
          <w:bCs/>
          <w:spacing w:val="1"/>
          <w:lang w:val="en-US"/>
        </w:rPr>
        <w:t>Contacto de prensa</w:t>
      </w:r>
      <w:r w:rsidRPr="009549A3">
        <w:rPr>
          <w:rFonts w:ascii="Titillium" w:hAnsi="Titillium" w:cs="Titillium"/>
          <w:spacing w:val="1"/>
          <w:lang w:val="en-US"/>
        </w:rPr>
        <w:t xml:space="preserve"> Felix Schmidt, buehne@goetheanum.ch</w:t>
      </w:r>
    </w:p>
    <w:sectPr w:rsidR="006E7E7B" w:rsidRPr="009549A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20EDA"/>
    <w:rsid w:val="007A3A2F"/>
    <w:rsid w:val="0081275A"/>
    <w:rsid w:val="009549A3"/>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549A3"/>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2285</Characters>
  <Application>Microsoft Office Word</Application>
  <DocSecurity>0</DocSecurity>
  <Lines>19</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2023-03-22T14:05:00Z</dcterms:modified>
</cp:coreProperties>
</file>