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68E5C570" w:rsidR="00086D2D" w:rsidRPr="00675C5F" w:rsidRDefault="00483A5B" w:rsidP="00086D2D">
      <w:pPr>
        <w:tabs>
          <w:tab w:val="right" w:pos="9072"/>
        </w:tabs>
        <w:spacing w:after="0"/>
        <w:jc w:val="right"/>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21</w:t>
      </w:r>
    </w:p>
    <w:p w14:paraId="0A829C28" w14:textId="01AA64B2" w:rsidR="00FF1894" w:rsidRPr="00B615CF" w:rsidRDefault="00B615CF" w:rsidP="00B615CF">
      <w:pPr>
        <w:pStyle w:val="Rubrik1"/>
        <w:spacing w:before="320"/>
        <w:rPr>
          <w:sz w:val="32"/>
          <w:lang w:val="sv-SE"/>
        </w:rPr>
      </w:pPr>
      <w:r w:rsidRPr="00B615CF">
        <w:rPr>
          <w:sz w:val="32"/>
          <w:lang w:val="sv-SE"/>
        </w:rPr>
        <w:t>engcons delårsrapport fjärde kvartalet 2023: Stabilt resultat för året trots svagt fjärde kvartal</w:t>
      </w:r>
    </w:p>
    <w:p w14:paraId="2317A7F5" w14:textId="77777777" w:rsidR="00086D2D" w:rsidRDefault="00086D2D" w:rsidP="007D183B">
      <w:pPr>
        <w:pStyle w:val="Brdtextmedindrag"/>
        <w:ind w:firstLine="0"/>
        <w:rPr>
          <w:sz w:val="20"/>
          <w:szCs w:val="20"/>
          <w:lang w:val="sv-SE" w:eastAsia="en-GB" w:bidi="en-GB"/>
        </w:rPr>
      </w:pPr>
    </w:p>
    <w:p w14:paraId="536AE158" w14:textId="77777777" w:rsidR="001C1E28" w:rsidRDefault="001C1E28" w:rsidP="001C1E28">
      <w:pPr>
        <w:pStyle w:val="Brdtextmedindrag"/>
        <w:spacing w:line="240" w:lineRule="auto"/>
        <w:ind w:firstLine="0"/>
        <w:rPr>
          <w:b/>
          <w:bCs/>
          <w:sz w:val="28"/>
          <w:szCs w:val="28"/>
          <w:lang w:val="sv-SE" w:eastAsia="en-GB" w:bidi="en-GB"/>
        </w:rPr>
      </w:pPr>
      <w:r w:rsidRPr="001D0BA0">
        <w:rPr>
          <w:b/>
          <w:bCs/>
          <w:sz w:val="28"/>
          <w:szCs w:val="28"/>
          <w:lang w:val="sv-SE" w:eastAsia="en-GB" w:bidi="en-GB"/>
        </w:rPr>
        <w:t>Fjärde kvartalet 2023</w:t>
      </w:r>
    </w:p>
    <w:p w14:paraId="36653139" w14:textId="77777777" w:rsidR="001D0BA0" w:rsidRPr="001D0BA0" w:rsidRDefault="001D0BA0" w:rsidP="001C1E28">
      <w:pPr>
        <w:pStyle w:val="Brdtextmedindrag"/>
        <w:spacing w:line="240" w:lineRule="auto"/>
        <w:ind w:firstLine="0"/>
        <w:rPr>
          <w:b/>
          <w:bCs/>
          <w:sz w:val="28"/>
          <w:szCs w:val="28"/>
          <w:lang w:val="sv-SE" w:eastAsia="en-GB" w:bidi="en-GB"/>
        </w:rPr>
      </w:pPr>
    </w:p>
    <w:p w14:paraId="4653D74B" w14:textId="2820EBC5" w:rsidR="001C1E28" w:rsidRPr="001C1E28" w:rsidRDefault="001C1E28" w:rsidP="001C1E28">
      <w:pPr>
        <w:pStyle w:val="Brdtextmedindrag"/>
        <w:numPr>
          <w:ilvl w:val="0"/>
          <w:numId w:val="34"/>
        </w:numPr>
        <w:spacing w:line="240" w:lineRule="auto"/>
        <w:rPr>
          <w:sz w:val="24"/>
          <w:lang w:val="sv-SE" w:eastAsia="en-GB" w:bidi="en-GB"/>
        </w:rPr>
      </w:pPr>
      <w:r w:rsidRPr="001C1E28">
        <w:rPr>
          <w:sz w:val="24"/>
          <w:lang w:val="sv-SE" w:eastAsia="en-GB" w:bidi="en-GB"/>
        </w:rPr>
        <w:t>Orderingången minskade med 25% till 414 (553) MSEK, den organiska ordertillväxten var -26%.</w:t>
      </w:r>
    </w:p>
    <w:p w14:paraId="1977286C" w14:textId="3D0A99A3" w:rsidR="001C1E28" w:rsidRPr="001C1E28" w:rsidRDefault="001C1E28" w:rsidP="001C1E28">
      <w:pPr>
        <w:pStyle w:val="Brdtextmedindrag"/>
        <w:numPr>
          <w:ilvl w:val="0"/>
          <w:numId w:val="34"/>
        </w:numPr>
        <w:spacing w:line="240" w:lineRule="auto"/>
        <w:rPr>
          <w:sz w:val="24"/>
          <w:lang w:val="sv-SE" w:eastAsia="en-GB" w:bidi="en-GB"/>
        </w:rPr>
      </w:pPr>
      <w:r w:rsidRPr="001C1E28">
        <w:rPr>
          <w:sz w:val="24"/>
          <w:lang w:val="sv-SE" w:eastAsia="en-GB" w:bidi="en-GB"/>
        </w:rPr>
        <w:t>Nettoomsättningen minskade med 43% till 308 (541) MSEK, den organiska nettoomsättningstillväxten var -43%.</w:t>
      </w:r>
    </w:p>
    <w:p w14:paraId="0B56785A" w14:textId="6483C839" w:rsidR="001C1E28" w:rsidRPr="001C1E28" w:rsidRDefault="001C1E28" w:rsidP="001C1E28">
      <w:pPr>
        <w:pStyle w:val="Brdtextmedindrag"/>
        <w:numPr>
          <w:ilvl w:val="0"/>
          <w:numId w:val="34"/>
        </w:numPr>
        <w:spacing w:line="240" w:lineRule="auto"/>
        <w:rPr>
          <w:sz w:val="24"/>
          <w:lang w:val="sv-SE" w:eastAsia="en-GB" w:bidi="en-GB"/>
        </w:rPr>
      </w:pPr>
      <w:r w:rsidRPr="001C1E28">
        <w:rPr>
          <w:sz w:val="24"/>
          <w:lang w:val="sv-SE" w:eastAsia="en-GB" w:bidi="en-GB"/>
        </w:rPr>
        <w:t>Rörelseresultatet minskade med 84% till 19 (121) MSEK och rörelsemarginalen var 6,2% (22,4%).</w:t>
      </w:r>
    </w:p>
    <w:p w14:paraId="0F53C241" w14:textId="11BEB068" w:rsidR="001C1E28" w:rsidRPr="001C1E28" w:rsidRDefault="001C1E28" w:rsidP="001C1E28">
      <w:pPr>
        <w:pStyle w:val="Brdtextmedindrag"/>
        <w:numPr>
          <w:ilvl w:val="0"/>
          <w:numId w:val="34"/>
        </w:numPr>
        <w:spacing w:line="240" w:lineRule="auto"/>
        <w:rPr>
          <w:sz w:val="24"/>
          <w:lang w:val="sv-SE" w:eastAsia="en-GB" w:bidi="en-GB"/>
        </w:rPr>
      </w:pPr>
      <w:r w:rsidRPr="001C1E28">
        <w:rPr>
          <w:sz w:val="24"/>
          <w:lang w:val="sv-SE" w:eastAsia="en-GB" w:bidi="en-GB"/>
        </w:rPr>
        <w:t>Kvartalets resultat minskade med 90% till 9 (90) MSEK.</w:t>
      </w:r>
    </w:p>
    <w:p w14:paraId="1B4FFBE0" w14:textId="2FF7D256" w:rsidR="001C1E28" w:rsidRPr="001C1E28" w:rsidRDefault="001C1E28" w:rsidP="001C1E28">
      <w:pPr>
        <w:pStyle w:val="Brdtextmedindrag"/>
        <w:numPr>
          <w:ilvl w:val="0"/>
          <w:numId w:val="34"/>
        </w:numPr>
        <w:spacing w:line="240" w:lineRule="auto"/>
        <w:rPr>
          <w:sz w:val="24"/>
          <w:lang w:val="sv-SE" w:eastAsia="en-GB" w:bidi="en-GB"/>
        </w:rPr>
      </w:pPr>
      <w:r w:rsidRPr="001C1E28">
        <w:rPr>
          <w:sz w:val="24"/>
          <w:lang w:val="sv-SE" w:eastAsia="en-GB" w:bidi="en-GB"/>
        </w:rPr>
        <w:t>Resultat per aktie, före och efter utspädning, uppgick till 0,07 (0,59) SEK.</w:t>
      </w:r>
    </w:p>
    <w:p w14:paraId="11E4D003" w14:textId="77777777" w:rsidR="001C1E28" w:rsidRDefault="001C1E28" w:rsidP="001C1E28">
      <w:pPr>
        <w:pStyle w:val="Brdtextmedindrag"/>
        <w:spacing w:line="240" w:lineRule="auto"/>
        <w:ind w:firstLine="0"/>
        <w:rPr>
          <w:sz w:val="24"/>
          <w:lang w:val="sv-SE" w:eastAsia="en-GB" w:bidi="en-GB"/>
        </w:rPr>
      </w:pPr>
    </w:p>
    <w:p w14:paraId="667E860E" w14:textId="514CFF23" w:rsidR="001C1E28" w:rsidRDefault="001C1E28" w:rsidP="001C1E28">
      <w:pPr>
        <w:pStyle w:val="Brdtextmedindrag"/>
        <w:spacing w:line="240" w:lineRule="auto"/>
        <w:ind w:firstLine="0"/>
        <w:rPr>
          <w:b/>
          <w:bCs/>
          <w:sz w:val="28"/>
          <w:szCs w:val="28"/>
          <w:lang w:val="sv-SE" w:eastAsia="en-GB" w:bidi="en-GB"/>
        </w:rPr>
      </w:pPr>
      <w:r w:rsidRPr="001D0BA0">
        <w:rPr>
          <w:b/>
          <w:bCs/>
          <w:sz w:val="28"/>
          <w:szCs w:val="28"/>
          <w:lang w:val="sv-SE" w:eastAsia="en-GB" w:bidi="en-GB"/>
        </w:rPr>
        <w:t>Januari – december 2023</w:t>
      </w:r>
    </w:p>
    <w:p w14:paraId="19CF88FB" w14:textId="77777777" w:rsidR="001D0BA0" w:rsidRPr="001D0BA0" w:rsidRDefault="001D0BA0" w:rsidP="001C1E28">
      <w:pPr>
        <w:pStyle w:val="Brdtextmedindrag"/>
        <w:spacing w:line="240" w:lineRule="auto"/>
        <w:ind w:firstLine="0"/>
        <w:rPr>
          <w:b/>
          <w:bCs/>
          <w:sz w:val="28"/>
          <w:szCs w:val="28"/>
          <w:lang w:val="sv-SE" w:eastAsia="en-GB" w:bidi="en-GB"/>
        </w:rPr>
      </w:pPr>
    </w:p>
    <w:p w14:paraId="1EE9C471" w14:textId="0EEC9185" w:rsidR="001C1E28" w:rsidRPr="001C1E28" w:rsidRDefault="001C1E28" w:rsidP="001C1E28">
      <w:pPr>
        <w:pStyle w:val="Brdtextmedindrag"/>
        <w:numPr>
          <w:ilvl w:val="0"/>
          <w:numId w:val="35"/>
        </w:numPr>
        <w:spacing w:line="240" w:lineRule="auto"/>
        <w:rPr>
          <w:sz w:val="24"/>
          <w:lang w:val="sv-SE" w:eastAsia="en-GB" w:bidi="en-GB"/>
        </w:rPr>
      </w:pPr>
      <w:r w:rsidRPr="001C1E28">
        <w:rPr>
          <w:sz w:val="24"/>
          <w:lang w:val="sv-SE" w:eastAsia="en-GB" w:bidi="en-GB"/>
        </w:rPr>
        <w:t>Orderingången minskade med 24% till 1 510 (1 978) MSEK, den organiska ordertillväxten var -27%.</w:t>
      </w:r>
    </w:p>
    <w:p w14:paraId="0921F879" w14:textId="5DCD3B5D" w:rsidR="001C1E28" w:rsidRPr="001C1E28" w:rsidRDefault="001C1E28" w:rsidP="001C1E28">
      <w:pPr>
        <w:pStyle w:val="Brdtextmedindrag"/>
        <w:numPr>
          <w:ilvl w:val="0"/>
          <w:numId w:val="35"/>
        </w:numPr>
        <w:spacing w:line="240" w:lineRule="auto"/>
        <w:rPr>
          <w:sz w:val="24"/>
          <w:lang w:val="sv-SE" w:eastAsia="en-GB" w:bidi="en-GB"/>
        </w:rPr>
      </w:pPr>
      <w:r w:rsidRPr="001C1E28">
        <w:rPr>
          <w:sz w:val="24"/>
          <w:lang w:val="sv-SE" w:eastAsia="en-GB" w:bidi="en-GB"/>
        </w:rPr>
        <w:t>Nettoomsättningen minskade med 2% till 1 898 (1 938) MSEK, den organiska nettoomsättningstillväxten var -6%.</w:t>
      </w:r>
    </w:p>
    <w:p w14:paraId="7745F021" w14:textId="1D73A348" w:rsidR="001C1E28" w:rsidRPr="001C1E28" w:rsidRDefault="001C1E28" w:rsidP="001C1E28">
      <w:pPr>
        <w:pStyle w:val="Brdtextmedindrag"/>
        <w:numPr>
          <w:ilvl w:val="0"/>
          <w:numId w:val="35"/>
        </w:numPr>
        <w:spacing w:line="240" w:lineRule="auto"/>
        <w:rPr>
          <w:sz w:val="24"/>
          <w:lang w:val="sv-SE" w:eastAsia="en-GB" w:bidi="en-GB"/>
        </w:rPr>
      </w:pPr>
      <w:r w:rsidRPr="001C1E28">
        <w:rPr>
          <w:sz w:val="24"/>
          <w:lang w:val="sv-SE" w:eastAsia="en-GB" w:bidi="en-GB"/>
        </w:rPr>
        <w:t>Rörelseresultatet minskade med 9% till 376 (415) MSEK, och rörelsemarginalen var 19,8% (21,4%).</w:t>
      </w:r>
    </w:p>
    <w:p w14:paraId="511A0857" w14:textId="0E93978A" w:rsidR="001C1E28" w:rsidRPr="001C1E28" w:rsidRDefault="001C1E28" w:rsidP="001C1E28">
      <w:pPr>
        <w:pStyle w:val="Brdtextmedindrag"/>
        <w:numPr>
          <w:ilvl w:val="0"/>
          <w:numId w:val="35"/>
        </w:numPr>
        <w:spacing w:line="240" w:lineRule="auto"/>
        <w:rPr>
          <w:sz w:val="24"/>
          <w:lang w:val="sv-SE" w:eastAsia="en-GB" w:bidi="en-GB"/>
        </w:rPr>
      </w:pPr>
      <w:r w:rsidRPr="001C1E28">
        <w:rPr>
          <w:sz w:val="24"/>
          <w:lang w:val="sv-SE" w:eastAsia="en-GB" w:bidi="en-GB"/>
        </w:rPr>
        <w:t>Periodens resultat minskade med 12% till 285 (325) MSEK.</w:t>
      </w:r>
    </w:p>
    <w:p w14:paraId="3219D9F2" w14:textId="77777777" w:rsidR="001C1E28" w:rsidRDefault="001C1E28" w:rsidP="001C1E28">
      <w:pPr>
        <w:pStyle w:val="Brdtextmedindrag"/>
        <w:numPr>
          <w:ilvl w:val="0"/>
          <w:numId w:val="35"/>
        </w:numPr>
        <w:spacing w:line="240" w:lineRule="auto"/>
        <w:rPr>
          <w:sz w:val="24"/>
          <w:lang w:val="sv-SE" w:eastAsia="en-GB" w:bidi="en-GB"/>
        </w:rPr>
      </w:pPr>
      <w:r w:rsidRPr="001C1E28">
        <w:rPr>
          <w:sz w:val="24"/>
          <w:lang w:val="sv-SE" w:eastAsia="en-GB" w:bidi="en-GB"/>
        </w:rPr>
        <w:t>Resultat per aktie, före och efter utspädning, uppgick till 1,81 (2,01) SEK.Styrelsen föreslår en utdelning om 0,94 (0,85) kr per aktie, jämnt fördelat över två utbetalningstillfällen.</w:t>
      </w:r>
    </w:p>
    <w:p w14:paraId="180C3095" w14:textId="77777777" w:rsidR="001C1E28" w:rsidRDefault="001C1E28" w:rsidP="001C1E28">
      <w:pPr>
        <w:pStyle w:val="Brdtextmedindrag"/>
        <w:spacing w:line="240" w:lineRule="auto"/>
        <w:ind w:firstLine="0"/>
        <w:rPr>
          <w:sz w:val="24"/>
          <w:lang w:val="sv-SE" w:eastAsia="en-GB" w:bidi="en-GB"/>
        </w:rPr>
      </w:pPr>
    </w:p>
    <w:p w14:paraId="33F5FC01" w14:textId="77777777" w:rsidR="00316DA3" w:rsidRPr="00373763" w:rsidRDefault="00316DA3" w:rsidP="00316DA3">
      <w:pPr>
        <w:pStyle w:val="Brdtextmedindrag"/>
        <w:spacing w:line="240" w:lineRule="auto"/>
        <w:ind w:firstLine="0"/>
        <w:rPr>
          <w:b/>
          <w:bCs/>
          <w:sz w:val="28"/>
          <w:szCs w:val="28"/>
          <w:lang w:val="sv-SE" w:eastAsia="en-GB" w:bidi="en-GB"/>
        </w:rPr>
      </w:pPr>
      <w:r w:rsidRPr="00373763">
        <w:rPr>
          <w:b/>
          <w:bCs/>
          <w:sz w:val="28"/>
          <w:szCs w:val="28"/>
          <w:lang w:val="sv-SE" w:eastAsia="en-GB" w:bidi="en-GB"/>
        </w:rPr>
        <w:t>Vd Krister Blomgren kommenterar:</w:t>
      </w:r>
    </w:p>
    <w:p w14:paraId="040611F6" w14:textId="77777777" w:rsidR="00316DA3" w:rsidRPr="00316DA3" w:rsidRDefault="00316DA3" w:rsidP="00316DA3">
      <w:pPr>
        <w:pStyle w:val="Brdtextmedindrag"/>
        <w:spacing w:line="240" w:lineRule="auto"/>
        <w:ind w:firstLine="0"/>
        <w:rPr>
          <w:b/>
          <w:bCs/>
          <w:sz w:val="24"/>
          <w:lang w:val="sv-SE" w:eastAsia="en-GB" w:bidi="en-GB"/>
        </w:rPr>
      </w:pPr>
    </w:p>
    <w:p w14:paraId="7ED1903F" w14:textId="77777777" w:rsidR="00316DA3" w:rsidRDefault="00316DA3" w:rsidP="00316DA3">
      <w:pPr>
        <w:pStyle w:val="Brdtextmedindrag"/>
        <w:spacing w:line="240" w:lineRule="auto"/>
        <w:ind w:firstLine="0"/>
        <w:rPr>
          <w:sz w:val="24"/>
          <w:lang w:val="sv-SE" w:eastAsia="en-GB" w:bidi="en-GB"/>
        </w:rPr>
      </w:pPr>
      <w:r w:rsidRPr="00316DA3">
        <w:rPr>
          <w:sz w:val="24"/>
          <w:lang w:val="sv-SE" w:eastAsia="en-GB" w:bidi="en-GB"/>
        </w:rPr>
        <w:t>”Vi blickar tillbaka på ett år som präglats av geopolitisk oro, inflation, räntehöjningar och därmed en avvaktande marknad. Under utmanande förhållanden har vi levererat god lönsamhet och ett starkt kassaflöde samtidigt som vi påbörjat implementering av ett nytt affärssystem under pågående produktion. En historisk milstolpe är att våra regioner utanför Norden nu står för mer än 50 procent av vår omsättning.</w:t>
      </w:r>
    </w:p>
    <w:p w14:paraId="0A1C6D43" w14:textId="77777777" w:rsidR="00316DA3" w:rsidRDefault="00316DA3" w:rsidP="00316DA3">
      <w:pPr>
        <w:pStyle w:val="Brdtextmedindrag"/>
        <w:spacing w:line="240" w:lineRule="auto"/>
        <w:ind w:firstLine="0"/>
        <w:rPr>
          <w:sz w:val="24"/>
          <w:lang w:val="sv-SE" w:eastAsia="en-GB" w:bidi="en-GB"/>
        </w:rPr>
      </w:pPr>
    </w:p>
    <w:p w14:paraId="4897B194" w14:textId="2416648E" w:rsidR="00316DA3" w:rsidRDefault="00316DA3" w:rsidP="00316DA3">
      <w:pPr>
        <w:pStyle w:val="Brdtextmedindrag"/>
        <w:spacing w:line="240" w:lineRule="auto"/>
        <w:ind w:firstLine="0"/>
        <w:rPr>
          <w:sz w:val="24"/>
          <w:lang w:val="sv-SE" w:eastAsia="en-GB" w:bidi="en-GB"/>
        </w:rPr>
      </w:pPr>
      <w:r w:rsidRPr="00316DA3">
        <w:rPr>
          <w:sz w:val="24"/>
          <w:lang w:val="sv-SE" w:eastAsia="en-GB" w:bidi="en-GB"/>
        </w:rPr>
        <w:t>Nettoomsättningen i kvartalet uppgår till 308 (541) MSEK. Bruttovinsten uppgår till 40,3 (44,0) procent och belastas av den låga omsättningen och produktionsrelaterade personalkostnader. Rörelsemarginalen uppgår till 6,2 (22,4) procent som ett resultat av höga omkostnader i förhållande till en lägre omsättning. Kassaflödet uppgår till 96 (56) MSEK från den löpande verksamheten och förblir fortsatt starkt huvudsakligen på grund av minskad kapitalbindning. Bytet av affärssystem har utmanat organisationen och påverkat resultatet genom minskad kapacitet i produktionen samt krävt mycket resurser.</w:t>
      </w:r>
    </w:p>
    <w:p w14:paraId="12362260" w14:textId="77777777" w:rsidR="00316DA3" w:rsidRPr="00316DA3" w:rsidRDefault="00316DA3" w:rsidP="00316DA3">
      <w:pPr>
        <w:pStyle w:val="Brdtextmedindrag"/>
        <w:spacing w:line="240" w:lineRule="auto"/>
        <w:ind w:firstLine="0"/>
        <w:rPr>
          <w:sz w:val="24"/>
          <w:lang w:val="sv-SE" w:eastAsia="en-GB" w:bidi="en-GB"/>
        </w:rPr>
      </w:pPr>
    </w:p>
    <w:p w14:paraId="7E845BCB" w14:textId="77777777" w:rsidR="00316DA3" w:rsidRDefault="00316DA3" w:rsidP="00316DA3">
      <w:pPr>
        <w:pStyle w:val="Brdtextmedindrag"/>
        <w:spacing w:line="240" w:lineRule="auto"/>
        <w:ind w:firstLine="0"/>
        <w:rPr>
          <w:sz w:val="24"/>
          <w:lang w:val="sv-SE" w:eastAsia="en-GB" w:bidi="en-GB"/>
        </w:rPr>
      </w:pPr>
      <w:r w:rsidRPr="00316DA3">
        <w:rPr>
          <w:sz w:val="24"/>
          <w:lang w:val="sv-SE" w:eastAsia="en-GB" w:bidi="en-GB"/>
        </w:rPr>
        <w:t>Orderingången minskar organiskt med 26 procent men ökar i jämförelse med tredje kvartalet vilket indikerar en stabilisering. Förköpseffekterna var förhållandevis låga jämfört med tidigare år. Den nordiska marknaden är fortsatt pressad av den avstannade byggsektorn och visar få tecken på återhämtning i närtid. På våra tillväxtmarknader är bilden mer splittrad. Det är glädjande att se att Europa visar organisk tillväxt trots ekonomisk osäkerhet. I Asien-Oceanien ser vi en ökad orderingång efter en tids nedgång där både Australien och Korea visar positiva tendenser. Utvecklingen i Nordamerika är utmanande men vår tro på den nordamerikanska marknaden är fortsatt stark och vi följer aktivt utvecklingen.</w:t>
      </w:r>
    </w:p>
    <w:p w14:paraId="1E735478" w14:textId="77777777" w:rsidR="00316DA3" w:rsidRPr="00316DA3" w:rsidRDefault="00316DA3" w:rsidP="00316DA3">
      <w:pPr>
        <w:pStyle w:val="Brdtextmedindrag"/>
        <w:spacing w:line="240" w:lineRule="auto"/>
        <w:ind w:firstLine="0"/>
        <w:rPr>
          <w:sz w:val="24"/>
          <w:lang w:val="sv-SE" w:eastAsia="en-GB" w:bidi="en-GB"/>
        </w:rPr>
      </w:pPr>
    </w:p>
    <w:p w14:paraId="76A02B11" w14:textId="77777777" w:rsidR="00316DA3" w:rsidRDefault="00316DA3" w:rsidP="00316DA3">
      <w:pPr>
        <w:pStyle w:val="Brdtextmedindrag"/>
        <w:spacing w:line="240" w:lineRule="auto"/>
        <w:ind w:firstLine="0"/>
        <w:rPr>
          <w:sz w:val="24"/>
          <w:lang w:val="sv-SE" w:eastAsia="en-GB" w:bidi="en-GB"/>
        </w:rPr>
      </w:pPr>
      <w:r w:rsidRPr="00316DA3">
        <w:rPr>
          <w:sz w:val="24"/>
          <w:lang w:val="sv-SE" w:eastAsia="en-GB" w:bidi="en-GB"/>
        </w:rPr>
        <w:t>Vi är fortsatt försiktiga i vår framtidsbedömning. Vi tror inte att kommande kvartal kommer att bidra med någon dramatisk tillväxt. Vår strategi och våra finansiella mål ligger dock fast och vi arbetar målmedvetet för att uppnå dessa.”</w:t>
      </w:r>
    </w:p>
    <w:p w14:paraId="33F65D6C" w14:textId="77777777" w:rsidR="00316DA3" w:rsidRDefault="00316DA3" w:rsidP="00316DA3">
      <w:pPr>
        <w:pStyle w:val="Brdtextmedindrag"/>
        <w:spacing w:line="240" w:lineRule="auto"/>
        <w:ind w:firstLine="0"/>
        <w:rPr>
          <w:sz w:val="24"/>
          <w:lang w:val="sv-SE" w:eastAsia="en-GB" w:bidi="en-GB"/>
        </w:rPr>
      </w:pPr>
    </w:p>
    <w:p w14:paraId="047A72EA" w14:textId="77777777" w:rsidR="004C36B7" w:rsidRDefault="004C36B7" w:rsidP="007D183B">
      <w:pPr>
        <w:pStyle w:val="Brdtextmedindrag"/>
        <w:ind w:firstLine="0"/>
        <w:rPr>
          <w:color w:val="FF0000"/>
          <w:sz w:val="20"/>
          <w:szCs w:val="20"/>
          <w:lang w:val="sv-SE" w:eastAsia="en-GB" w:bidi="en-GB"/>
        </w:rPr>
      </w:pPr>
    </w:p>
    <w:p w14:paraId="35371BFF" w14:textId="4DBBEE4C" w:rsidR="00EE1C84" w:rsidRPr="00373763" w:rsidRDefault="00EE1C84" w:rsidP="00EE1C84">
      <w:pPr>
        <w:pStyle w:val="Brdtextmedindrag"/>
        <w:spacing w:line="240" w:lineRule="auto"/>
        <w:ind w:firstLine="0"/>
        <w:rPr>
          <w:b/>
          <w:bCs/>
          <w:color w:val="000000" w:themeColor="text1"/>
          <w:sz w:val="28"/>
          <w:szCs w:val="28"/>
          <w:lang w:val="sv-SE" w:eastAsia="en-GB" w:bidi="en-GB"/>
        </w:rPr>
      </w:pPr>
      <w:r w:rsidRPr="00373763">
        <w:rPr>
          <w:b/>
          <w:bCs/>
          <w:color w:val="000000" w:themeColor="text1"/>
          <w:sz w:val="28"/>
          <w:szCs w:val="28"/>
          <w:lang w:val="sv-SE" w:eastAsia="en-GB" w:bidi="en-GB"/>
        </w:rPr>
        <w:t>Q4 presentation idag kl. 11.00</w:t>
      </w:r>
      <w:r w:rsidR="00373763">
        <w:rPr>
          <w:b/>
          <w:bCs/>
          <w:color w:val="000000" w:themeColor="text1"/>
          <w:sz w:val="28"/>
          <w:szCs w:val="28"/>
          <w:lang w:val="sv-SE" w:eastAsia="en-GB" w:bidi="en-GB"/>
        </w:rPr>
        <w:br/>
      </w:r>
    </w:p>
    <w:p w14:paraId="1E39C6C0" w14:textId="16476DAB" w:rsidR="00EE1C84" w:rsidRDefault="00EE1C84" w:rsidP="00EE1C84">
      <w:pPr>
        <w:pStyle w:val="Brdtextmedindrag"/>
        <w:spacing w:line="240" w:lineRule="auto"/>
        <w:ind w:firstLine="0"/>
        <w:rPr>
          <w:color w:val="000000" w:themeColor="text1"/>
          <w:sz w:val="24"/>
          <w:lang w:val="sv-SE" w:eastAsia="en-GB" w:bidi="en-GB"/>
        </w:rPr>
      </w:pPr>
      <w:r w:rsidRPr="00EE1C84">
        <w:rPr>
          <w:color w:val="000000" w:themeColor="text1"/>
          <w:sz w:val="24"/>
          <w:lang w:val="sv-SE" w:eastAsia="en-GB" w:bidi="en-GB"/>
        </w:rPr>
        <w:t xml:space="preserve">Rapporten presenteras av Krister Blomgren, VD idag kl. 11.00 genom en webbsänd telefonkonferens via denna länk: </w:t>
      </w:r>
      <w:hyperlink r:id="rId10" w:history="1">
        <w:r w:rsidRPr="00274EFB">
          <w:rPr>
            <w:rStyle w:val="Hyperlnk"/>
            <w:sz w:val="24"/>
            <w:lang w:val="sv-SE" w:eastAsia="en-GB" w:bidi="en-GB"/>
          </w:rPr>
          <w:t>https://ir.financialhearings.com/engcon-q4-report-2023</w:t>
        </w:r>
      </w:hyperlink>
    </w:p>
    <w:p w14:paraId="46930673" w14:textId="77777777" w:rsidR="00EE1C84" w:rsidRPr="00EE1C84" w:rsidRDefault="00EE1C84" w:rsidP="00EE1C84">
      <w:pPr>
        <w:pStyle w:val="Brdtextmedindrag"/>
        <w:spacing w:line="240" w:lineRule="auto"/>
        <w:ind w:firstLine="0"/>
        <w:rPr>
          <w:color w:val="000000" w:themeColor="text1"/>
          <w:sz w:val="24"/>
          <w:lang w:val="sv-SE" w:eastAsia="en-GB" w:bidi="en-GB"/>
        </w:rPr>
      </w:pPr>
    </w:p>
    <w:p w14:paraId="298A87AC" w14:textId="77777777" w:rsidR="00EE1C84" w:rsidRDefault="00EE1C84" w:rsidP="00EE1C84">
      <w:pPr>
        <w:pStyle w:val="Brdtextmedindrag"/>
        <w:spacing w:line="240" w:lineRule="auto"/>
        <w:ind w:firstLine="0"/>
        <w:rPr>
          <w:color w:val="000000" w:themeColor="text1"/>
          <w:sz w:val="24"/>
          <w:lang w:val="sv-SE" w:eastAsia="en-GB" w:bidi="en-GB"/>
        </w:rPr>
      </w:pPr>
      <w:r w:rsidRPr="00EE1C84">
        <w:rPr>
          <w:color w:val="000000" w:themeColor="text1"/>
          <w:sz w:val="24"/>
          <w:lang w:val="sv-SE" w:eastAsia="en-GB" w:bidi="en-GB"/>
        </w:rPr>
        <w:t>För att delta i telefonkonferensen, där möjlighet ges att ställa muntliga frågor, registrerar du dig via länken nedan. Efter registreringen får du telefonnummer och ett konferens-ID för att logga in.</w:t>
      </w:r>
    </w:p>
    <w:p w14:paraId="39DD5AFF" w14:textId="77777777" w:rsidR="00EE1C84" w:rsidRPr="00EE1C84" w:rsidRDefault="00EE1C84" w:rsidP="00EE1C84">
      <w:pPr>
        <w:pStyle w:val="Brdtextmedindrag"/>
        <w:spacing w:line="240" w:lineRule="auto"/>
        <w:ind w:firstLine="0"/>
        <w:rPr>
          <w:color w:val="000000" w:themeColor="text1"/>
          <w:sz w:val="24"/>
          <w:lang w:val="sv-SE" w:eastAsia="en-GB" w:bidi="en-GB"/>
        </w:rPr>
      </w:pPr>
    </w:p>
    <w:p w14:paraId="428395BF" w14:textId="5EE1D118" w:rsidR="00EE1C84" w:rsidRPr="00EE1C84" w:rsidRDefault="00EE1C84" w:rsidP="00EE1C84">
      <w:pPr>
        <w:pStyle w:val="Brdtextmedindrag"/>
        <w:spacing w:line="240" w:lineRule="auto"/>
        <w:ind w:firstLine="0"/>
        <w:rPr>
          <w:color w:val="000000" w:themeColor="text1"/>
          <w:sz w:val="24"/>
          <w:lang w:val="sv-SE" w:eastAsia="en-GB" w:bidi="en-GB"/>
        </w:rPr>
      </w:pPr>
      <w:r w:rsidRPr="00EE1C84">
        <w:rPr>
          <w:color w:val="000000" w:themeColor="text1"/>
          <w:sz w:val="24"/>
          <w:lang w:val="sv-SE" w:eastAsia="en-GB" w:bidi="en-GB"/>
        </w:rPr>
        <w:t>https://conference.financialhearings.com/teleconference/?id=5007393</w:t>
      </w:r>
      <w:r w:rsidR="00E1701E">
        <w:rPr>
          <w:color w:val="000000" w:themeColor="text1"/>
          <w:sz w:val="24"/>
          <w:lang w:val="sv-SE" w:eastAsia="en-GB" w:bidi="en-GB"/>
        </w:rPr>
        <w:t xml:space="preserve"> </w:t>
      </w:r>
    </w:p>
    <w:p w14:paraId="19EBF83C" w14:textId="77777777" w:rsidR="00EE1C84" w:rsidRDefault="00EE1C84" w:rsidP="00EE1C84">
      <w:pPr>
        <w:pStyle w:val="Brdtextmedindrag"/>
        <w:spacing w:line="240" w:lineRule="auto"/>
        <w:ind w:firstLine="0"/>
        <w:rPr>
          <w:color w:val="000000" w:themeColor="text1"/>
          <w:sz w:val="24"/>
          <w:lang w:val="sv-SE" w:eastAsia="en-GB" w:bidi="en-GB"/>
        </w:rPr>
      </w:pPr>
    </w:p>
    <w:p w14:paraId="3026F6A0" w14:textId="205938FD" w:rsidR="006B5F31" w:rsidRPr="00EE1C84" w:rsidRDefault="00EE1C84" w:rsidP="00EE1C84">
      <w:pPr>
        <w:pStyle w:val="Brdtextmedindrag"/>
        <w:spacing w:line="240" w:lineRule="auto"/>
        <w:ind w:firstLine="0"/>
        <w:rPr>
          <w:color w:val="000000" w:themeColor="text1"/>
          <w:sz w:val="24"/>
          <w:lang w:val="sv-SE" w:eastAsia="en-GB" w:bidi="en-GB"/>
        </w:rPr>
      </w:pPr>
      <w:r w:rsidRPr="00EE1C84">
        <w:rPr>
          <w:color w:val="000000" w:themeColor="text1"/>
          <w:sz w:val="24"/>
          <w:lang w:val="sv-SE" w:eastAsia="en-GB" w:bidi="en-GB"/>
        </w:rPr>
        <w:t>Presentationsmaterialet och en inspelad version av konferensen kommer att finnas tillgängliga på www.engcongroup.com.</w:t>
      </w:r>
    </w:p>
    <w:p w14:paraId="0A16EE0C" w14:textId="77777777" w:rsidR="006B5F31" w:rsidRDefault="006B5F31" w:rsidP="007D183B">
      <w:pPr>
        <w:pStyle w:val="Brdtextmedindrag"/>
        <w:ind w:firstLine="0"/>
        <w:rPr>
          <w:color w:val="FF0000"/>
          <w:sz w:val="20"/>
          <w:szCs w:val="20"/>
          <w:lang w:val="sv-SE" w:eastAsia="en-GB" w:bidi="en-GB"/>
        </w:rPr>
      </w:pPr>
    </w:p>
    <w:p w14:paraId="6905AD49" w14:textId="77777777" w:rsidR="001D0BA0" w:rsidRDefault="001D0BA0" w:rsidP="007D183B">
      <w:pPr>
        <w:pStyle w:val="Brdtextmedindrag"/>
        <w:ind w:firstLine="0"/>
        <w:rPr>
          <w:color w:val="FF0000"/>
          <w:sz w:val="20"/>
          <w:szCs w:val="20"/>
          <w:lang w:val="sv-SE" w:eastAsia="en-GB" w:bidi="en-GB"/>
        </w:rPr>
      </w:pPr>
    </w:p>
    <w:p w14:paraId="4275D5ED" w14:textId="534B27D3" w:rsidR="00A74566" w:rsidRPr="00A74566" w:rsidRDefault="00A74566" w:rsidP="00A74566">
      <w:pPr>
        <w:spacing w:line="240" w:lineRule="auto"/>
        <w:rPr>
          <w:rFonts w:ascii="Arial" w:eastAsia="Cambria" w:hAnsi="Arial" w:cs="Arial"/>
          <w:color w:val="000000" w:themeColor="text1"/>
          <w:sz w:val="24"/>
          <w:szCs w:val="24"/>
          <w:lang w:eastAsia="en-GB" w:bidi="en-GB"/>
        </w:rPr>
      </w:pPr>
      <w:r w:rsidRPr="00A74566">
        <w:rPr>
          <w:rFonts w:ascii="Arial" w:eastAsia="Cambria" w:hAnsi="Arial" w:cs="Arial"/>
          <w:b/>
          <w:bCs/>
          <w:color w:val="000000" w:themeColor="text1"/>
          <w:sz w:val="24"/>
          <w:szCs w:val="24"/>
          <w:lang w:eastAsia="en-GB" w:bidi="en-GB"/>
        </w:rPr>
        <w:t>För mer information, vänligen kontakta:</w:t>
      </w:r>
      <w:r>
        <w:rPr>
          <w:rFonts w:ascii="Arial" w:eastAsia="Cambria" w:hAnsi="Arial" w:cs="Arial"/>
          <w:color w:val="000000" w:themeColor="text1"/>
          <w:sz w:val="24"/>
          <w:szCs w:val="24"/>
          <w:lang w:eastAsia="en-GB" w:bidi="en-GB"/>
        </w:rPr>
        <w:br/>
      </w:r>
      <w:r>
        <w:rPr>
          <w:rFonts w:ascii="Arial" w:eastAsia="Cambria" w:hAnsi="Arial" w:cs="Arial"/>
          <w:color w:val="000000" w:themeColor="text1"/>
          <w:sz w:val="24"/>
          <w:szCs w:val="24"/>
          <w:lang w:eastAsia="en-GB" w:bidi="en-GB"/>
        </w:rPr>
        <w:br/>
      </w:r>
      <w:r w:rsidRPr="00A74566">
        <w:rPr>
          <w:rFonts w:ascii="Arial" w:eastAsia="Cambria" w:hAnsi="Arial" w:cs="Arial"/>
          <w:color w:val="000000" w:themeColor="text1"/>
          <w:sz w:val="24"/>
          <w:szCs w:val="24"/>
          <w:lang w:eastAsia="en-GB" w:bidi="en-GB"/>
        </w:rPr>
        <w:t xml:space="preserve">Martin Engström, Product Manager </w:t>
      </w:r>
      <w:r>
        <w:rPr>
          <w:rFonts w:ascii="Arial" w:eastAsia="Cambria" w:hAnsi="Arial" w:cs="Arial"/>
          <w:color w:val="000000" w:themeColor="text1"/>
          <w:sz w:val="24"/>
          <w:szCs w:val="24"/>
          <w:lang w:eastAsia="en-GB" w:bidi="en-GB"/>
        </w:rPr>
        <w:br/>
      </w:r>
      <w:hyperlink r:id="rId11" w:history="1">
        <w:r w:rsidRPr="00274EFB">
          <w:rPr>
            <w:rStyle w:val="Hyperlnk"/>
            <w:rFonts w:eastAsia="Cambria" w:cs="Arial"/>
            <w:sz w:val="24"/>
            <w:szCs w:val="24"/>
            <w:lang w:eastAsia="en-GB" w:bidi="en-GB"/>
          </w:rPr>
          <w:t>martin.engstrom@engcon.se</w:t>
        </w:r>
      </w:hyperlink>
      <w:r>
        <w:rPr>
          <w:rFonts w:ascii="Arial" w:eastAsia="Cambria" w:hAnsi="Arial" w:cs="Arial"/>
          <w:color w:val="000000" w:themeColor="text1"/>
          <w:sz w:val="24"/>
          <w:szCs w:val="24"/>
          <w:lang w:eastAsia="en-GB" w:bidi="en-GB"/>
        </w:rPr>
        <w:br/>
      </w:r>
      <w:r w:rsidRPr="00A74566">
        <w:rPr>
          <w:rFonts w:ascii="Arial" w:eastAsia="Cambria" w:hAnsi="Arial" w:cs="Arial"/>
          <w:color w:val="000000" w:themeColor="text1"/>
          <w:sz w:val="24"/>
          <w:szCs w:val="24"/>
          <w:lang w:eastAsia="en-GB" w:bidi="en-GB"/>
        </w:rPr>
        <w:t xml:space="preserve">+46 [0]70 571 76 61 </w:t>
      </w:r>
      <w:r>
        <w:rPr>
          <w:rFonts w:ascii="Arial" w:eastAsia="Cambria" w:hAnsi="Arial" w:cs="Arial"/>
          <w:color w:val="000000" w:themeColor="text1"/>
          <w:sz w:val="24"/>
          <w:szCs w:val="24"/>
          <w:lang w:eastAsia="en-GB" w:bidi="en-GB"/>
        </w:rPr>
        <w:br/>
      </w:r>
      <w:r>
        <w:rPr>
          <w:rFonts w:ascii="Arial" w:eastAsia="Cambria" w:hAnsi="Arial" w:cs="Arial"/>
          <w:color w:val="000000" w:themeColor="text1"/>
          <w:sz w:val="24"/>
          <w:szCs w:val="24"/>
          <w:lang w:eastAsia="en-GB" w:bidi="en-GB"/>
        </w:rPr>
        <w:br/>
      </w:r>
      <w:r w:rsidRPr="00A74566">
        <w:rPr>
          <w:rFonts w:ascii="Arial" w:eastAsia="Times New Roman" w:hAnsi="Arial" w:cs="Arial"/>
          <w:b/>
          <w:bCs/>
          <w:color w:val="000000" w:themeColor="text1"/>
          <w:sz w:val="24"/>
          <w:szCs w:val="24"/>
          <w:lang w:eastAsia="sv-SE"/>
        </w:rPr>
        <w:t>engcon</w:t>
      </w:r>
      <w:r w:rsidRPr="00A74566">
        <w:rPr>
          <w:rFonts w:ascii="Arial" w:eastAsia="Times New Roman" w:hAnsi="Arial" w:cs="Arial"/>
          <w:color w:val="000000" w:themeColor="text1"/>
          <w:sz w:val="24"/>
          <w:szCs w:val="24"/>
          <w:lang w:eastAsia="sv-SE"/>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2023. engcons B-aktie är noterad på Nasdaq Stockholm. </w:t>
      </w:r>
    </w:p>
    <w:p w14:paraId="3D9CC216" w14:textId="77777777" w:rsidR="00A74566" w:rsidRPr="00A74566" w:rsidRDefault="00A74566" w:rsidP="00A74566">
      <w:pPr>
        <w:spacing w:line="240" w:lineRule="auto"/>
        <w:rPr>
          <w:rFonts w:ascii="Arial" w:eastAsia="Times New Roman" w:hAnsi="Arial" w:cs="Arial"/>
          <w:color w:val="000000" w:themeColor="text1"/>
          <w:sz w:val="24"/>
          <w:szCs w:val="24"/>
          <w:lang w:eastAsia="sv-SE"/>
        </w:rPr>
      </w:pPr>
      <w:r w:rsidRPr="00A74566">
        <w:rPr>
          <w:rFonts w:ascii="Arial" w:eastAsia="Times New Roman" w:hAnsi="Arial" w:cs="Arial"/>
          <w:color w:val="000000" w:themeColor="text1"/>
          <w:sz w:val="24"/>
          <w:szCs w:val="24"/>
          <w:lang w:eastAsia="sv-SE"/>
        </w:rPr>
        <w:t xml:space="preserve">För mer information, besök </w:t>
      </w:r>
      <w:hyperlink r:id="rId12" w:history="1">
        <w:r w:rsidRPr="00A74566">
          <w:rPr>
            <w:rStyle w:val="Hyperlnk"/>
            <w:rFonts w:eastAsia="Times New Roman" w:cs="Arial"/>
            <w:b/>
            <w:bCs/>
            <w:color w:val="000000" w:themeColor="text1"/>
            <w:sz w:val="24"/>
            <w:szCs w:val="24"/>
            <w:lang w:eastAsia="sv-SE"/>
          </w:rPr>
          <w:t>www.engcongroup.com</w:t>
        </w:r>
      </w:hyperlink>
    </w:p>
    <w:p w14:paraId="1B3C2114" w14:textId="73282048" w:rsidR="00DC0A40" w:rsidRPr="001D0BA0" w:rsidRDefault="00DC0A40" w:rsidP="00A74566">
      <w:pPr>
        <w:rPr>
          <w:rFonts w:ascii="Arial Nova Light" w:eastAsia="Cambria" w:hAnsi="Arial Nova Light" w:cs="Arial"/>
          <w:sz w:val="16"/>
          <w:szCs w:val="16"/>
          <w:lang w:val="sv-SE" w:eastAsia="en-GB" w:bidi="en-GB"/>
        </w:rPr>
      </w:pPr>
    </w:p>
    <w:sectPr w:rsidR="00DC0A40" w:rsidRPr="001D0BA0" w:rsidSect="00564A00">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C940" w14:textId="77777777" w:rsidR="00564A00" w:rsidRDefault="00564A00">
      <w:pPr>
        <w:spacing w:line="240" w:lineRule="auto"/>
      </w:pPr>
      <w:r>
        <w:separator/>
      </w:r>
    </w:p>
  </w:endnote>
  <w:endnote w:type="continuationSeparator" w:id="0">
    <w:p w14:paraId="215291F0" w14:textId="77777777" w:rsidR="00564A00" w:rsidRDefault="00564A00">
      <w:pPr>
        <w:spacing w:line="240" w:lineRule="auto"/>
      </w:pPr>
      <w:r>
        <w:continuationSeparator/>
      </w:r>
    </w:p>
  </w:endnote>
  <w:endnote w:type="continuationNotice" w:id="1">
    <w:p w14:paraId="0418F91D" w14:textId="77777777" w:rsidR="00564A00" w:rsidRDefault="0056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4DFD" w14:textId="77777777" w:rsidR="00564A00" w:rsidRDefault="00564A00">
      <w:pPr>
        <w:spacing w:line="240" w:lineRule="auto"/>
      </w:pPr>
      <w:r>
        <w:separator/>
      </w:r>
    </w:p>
  </w:footnote>
  <w:footnote w:type="continuationSeparator" w:id="0">
    <w:p w14:paraId="5A6478D1" w14:textId="77777777" w:rsidR="00564A00" w:rsidRDefault="00564A00">
      <w:pPr>
        <w:spacing w:line="240" w:lineRule="auto"/>
      </w:pPr>
      <w:r>
        <w:continuationSeparator/>
      </w:r>
    </w:p>
  </w:footnote>
  <w:footnote w:type="continuationNotice" w:id="1">
    <w:p w14:paraId="3A36B828" w14:textId="77777777" w:rsidR="00564A00" w:rsidRDefault="00564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ED73A2"/>
    <w:multiLevelType w:val="hybridMultilevel"/>
    <w:tmpl w:val="C1C072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2783B50"/>
    <w:multiLevelType w:val="hybridMultilevel"/>
    <w:tmpl w:val="5E58F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456216913">
    <w:abstractNumId w:val="13"/>
  </w:num>
  <w:num w:numId="35" w16cid:durableId="280693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1E28"/>
    <w:rsid w:val="001C690B"/>
    <w:rsid w:val="001D0BA0"/>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6DA3"/>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763"/>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A5B"/>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4A00"/>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170F"/>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74566"/>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615CF"/>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1701E"/>
    <w:rsid w:val="00E309FF"/>
    <w:rsid w:val="00E31597"/>
    <w:rsid w:val="00E64A8E"/>
    <w:rsid w:val="00E65DCD"/>
    <w:rsid w:val="00EB1923"/>
    <w:rsid w:val="00EB3FCE"/>
    <w:rsid w:val="00EC5207"/>
    <w:rsid w:val="00EC733A"/>
    <w:rsid w:val="00ED0155"/>
    <w:rsid w:val="00ED076F"/>
    <w:rsid w:val="00EE1C84"/>
    <w:rsid w:val="00EE1DEA"/>
    <w:rsid w:val="00EE62CF"/>
    <w:rsid w:val="00EF42DB"/>
    <w:rsid w:val="00EF60CA"/>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r.financialhearings.com/engcon-q4-report-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4612-1C30-4E9D-B07C-491D422DD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733</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4611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46</cp:revision>
  <cp:lastPrinted>2023-10-26T09:17:00Z</cp:lastPrinted>
  <dcterms:created xsi:type="dcterms:W3CDTF">2023-10-21T13:26:00Z</dcterms:created>
  <dcterms:modified xsi:type="dcterms:W3CDTF">2024-02-22T13:43:00Z</dcterms:modified>
</cp:coreProperties>
</file>