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E5" w:rsidRPr="00D53825" w:rsidRDefault="001B71F8">
      <w:pPr>
        <w:spacing w:line="275" w:lineRule="exact"/>
        <w:ind w:right="144"/>
        <w:jc w:val="both"/>
        <w:textAlignment w:val="baseline"/>
        <w:rPr>
          <w:rFonts w:ascii="Arial" w:eastAsia="Arial" w:hAnsi="Arial"/>
          <w:b/>
          <w:color w:val="050505"/>
          <w:spacing w:val="1"/>
          <w:lang w:val="fi-F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left:0;text-align:left;margin-left:26.9pt;margin-top:29pt;width:568.55pt;height:114.9pt;z-index:-251656192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11"/>
                    <w:gridCol w:w="9360"/>
                  </w:tblGrid>
                  <w:tr w:rsidR="00254034">
                    <w:trPr>
                      <w:trHeight w:hRule="exact" w:val="702"/>
                    </w:trPr>
                    <w:tc>
                      <w:tcPr>
                        <w:tcW w:w="2011" w:type="dxa"/>
                        <w:vMerge w:val="restart"/>
                        <w:tcBorders>
                          <w:bottom w:val="single" w:sz="0" w:space="0" w:color="000000"/>
                        </w:tcBorders>
                      </w:tcPr>
                      <w:p w:rsidR="008E23E5" w:rsidRDefault="001B71F8">
                        <w:pPr>
                          <w:spacing w:before="1" w:after="12"/>
                          <w:ind w:right="490"/>
                          <w:textAlignment w:val="baseline"/>
                        </w:pPr>
                        <w:r>
                          <w:rPr>
                            <w:noProof/>
                            <w:lang w:val="fi-FI" w:eastAsia="fi-FI"/>
                          </w:rPr>
                          <w:drawing>
                            <wp:inline distT="0" distB="0" distL="0" distR="0">
                              <wp:extent cx="965835" cy="582295"/>
                              <wp:effectExtent l="0" t="0" r="0" b="0"/>
                              <wp:docPr id="1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test1"/>
                                      <pic:cNvPicPr preferRelativeResize="0"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65835" cy="5822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360" w:type="dxa"/>
                        <w:tcBorders>
                          <w:bottom w:val="single" w:sz="2" w:space="0" w:color="050505"/>
                        </w:tcBorders>
                        <w:vAlign w:val="bottom"/>
                      </w:tcPr>
                      <w:p w:rsidR="008E23E5" w:rsidRDefault="001B71F8">
                        <w:pPr>
                          <w:spacing w:before="481" w:after="38" w:line="182" w:lineRule="exact"/>
                          <w:ind w:right="7253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050505"/>
                            <w:sz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50505"/>
                            <w:sz w:val="16"/>
                            <w:szCs w:val="16"/>
                            <w:bdr w:val="nil"/>
                            <w:lang w:val="fi-FI"/>
                          </w:rPr>
                          <w:t>Konsernin tiedotus</w:t>
                        </w:r>
                      </w:p>
                    </w:tc>
                  </w:tr>
                  <w:tr w:rsidR="00254034">
                    <w:trPr>
                      <w:trHeight w:hRule="exact" w:val="228"/>
                    </w:trPr>
                    <w:tc>
                      <w:tcPr>
                        <w:tcW w:w="2011" w:type="dxa"/>
                        <w:vMerge/>
                        <w:tcBorders>
                          <w:top w:val="single" w:sz="0" w:space="0" w:color="000000"/>
                        </w:tcBorders>
                      </w:tcPr>
                      <w:p w:rsidR="008E23E5" w:rsidRDefault="001B71F8"/>
                    </w:tc>
                    <w:tc>
                      <w:tcPr>
                        <w:tcW w:w="9360" w:type="dxa"/>
                        <w:tcBorders>
                          <w:top w:val="single" w:sz="2" w:space="0" w:color="050505"/>
                        </w:tcBorders>
                      </w:tcPr>
                      <w:p w:rsidR="008E23E5" w:rsidRDefault="001B71F8"/>
                    </w:tc>
                  </w:tr>
                </w:tbl>
                <w:p w:rsidR="008E23E5" w:rsidRDefault="001B71F8">
                  <w:pPr>
                    <w:spacing w:after="1348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rPr>
          <w:rFonts w:ascii="Arial" w:eastAsia="Arial" w:hAnsi="Arial" w:cs="Arial"/>
          <w:b/>
          <w:bCs/>
          <w:color w:val="050505"/>
          <w:spacing w:val="1"/>
          <w:bdr w:val="nil"/>
          <w:lang w:val="fi-FI"/>
        </w:rPr>
        <w:t>IVECO ja Lannutti Group solmivat sopimuksen 610 uuden Stralis XP ja NP -kuorma-auton toimituksesta</w:t>
      </w:r>
    </w:p>
    <w:p w:rsidR="008E23E5" w:rsidRPr="00D53825" w:rsidRDefault="001B71F8">
      <w:pPr>
        <w:spacing w:before="283" w:line="303" w:lineRule="exact"/>
        <w:ind w:right="144"/>
        <w:jc w:val="both"/>
        <w:textAlignment w:val="baseline"/>
        <w:rPr>
          <w:rFonts w:ascii="Arial" w:eastAsia="Arial" w:hAnsi="Arial"/>
          <w:i/>
          <w:color w:val="050505"/>
          <w:sz w:val="19"/>
          <w:lang w:val="fi-FI"/>
        </w:rPr>
      </w:pPr>
      <w:r>
        <w:rPr>
          <w:rFonts w:ascii="Arial" w:eastAsia="Arial" w:hAnsi="Arial" w:cs="Arial"/>
          <w:i/>
          <w:iCs/>
          <w:color w:val="050505"/>
          <w:sz w:val="19"/>
          <w:szCs w:val="19"/>
          <w:bdr w:val="nil"/>
          <w:lang w:val="fi-FI"/>
        </w:rPr>
        <w:t>Eurooppalainen logistiikkapalvelukonserni vahvistaa solmineensa IVECOn kanssa yhteistyösopimuksen, joka perustuu kestävälle kehitykselle. Tämä sopimus on yksi tähän asti merkittä</w:t>
      </w:r>
      <w:r>
        <w:rPr>
          <w:rFonts w:ascii="Arial" w:eastAsia="Arial" w:hAnsi="Arial" w:cs="Arial"/>
          <w:i/>
          <w:iCs/>
          <w:color w:val="050505"/>
          <w:sz w:val="19"/>
          <w:szCs w:val="19"/>
          <w:bdr w:val="nil"/>
          <w:lang w:val="fi-FI"/>
        </w:rPr>
        <w:t>vimpiä IVECOn uuden Straliksen toimitussopimuksia Euroopassa, ja toimitettavat kuorma-autot edustavat huippuluokan tekniikkaa niin polttoainetaloudellisuuden kuin ympäristöystävällisyydenkin suhteen.</w:t>
      </w:r>
    </w:p>
    <w:p w:rsidR="008E23E5" w:rsidRPr="00D53825" w:rsidRDefault="001B71F8">
      <w:pPr>
        <w:spacing w:before="385" w:line="213" w:lineRule="exact"/>
        <w:textAlignment w:val="baseline"/>
        <w:rPr>
          <w:rFonts w:ascii="Arial" w:eastAsia="Arial" w:hAnsi="Arial"/>
          <w:color w:val="050505"/>
          <w:sz w:val="19"/>
          <w:lang w:val="fi-FI"/>
        </w:rPr>
      </w:pPr>
      <w:r>
        <w:rPr>
          <w:rFonts w:ascii="Arial" w:eastAsia="Arial" w:hAnsi="Arial" w:cs="Arial"/>
          <w:color w:val="050505"/>
          <w:sz w:val="19"/>
          <w:szCs w:val="19"/>
          <w:bdr w:val="nil"/>
          <w:lang w:val="fi-FI"/>
        </w:rPr>
        <w:t>Lontoo, 13.2.2017</w:t>
      </w:r>
    </w:p>
    <w:p w:rsidR="008E23E5" w:rsidRPr="00D53825" w:rsidRDefault="001B71F8">
      <w:pPr>
        <w:spacing w:before="234" w:line="327" w:lineRule="exact"/>
        <w:jc w:val="both"/>
        <w:textAlignment w:val="baseline"/>
        <w:rPr>
          <w:rFonts w:ascii="Arial" w:eastAsia="Arial" w:hAnsi="Arial"/>
          <w:color w:val="050505"/>
          <w:sz w:val="19"/>
          <w:lang w:val="fi-FI"/>
        </w:rPr>
      </w:pPr>
      <w:r>
        <w:pict>
          <v:shape id="_x0000_s1026" type="#_x0000_t202" style="position:absolute;left:0;text-align:left;margin-left:0;margin-top:296.9pt;width:80.4pt;height:261.05pt;z-index:-251655168;mso-wrap-distance-left:0;mso-wrap-distance-right:0;mso-position-horizontal-relative:page;mso-position-vertical-relative:page" filled="f" stroked="f">
            <v:textbox inset="0,0,0,0">
              <w:txbxContent>
                <w:p w:rsidR="008E23E5" w:rsidRDefault="001B71F8">
                  <w:pPr>
                    <w:spacing w:before="144" w:after="316"/>
                    <w:ind w:left="994"/>
                    <w:textAlignment w:val="baseline"/>
                  </w:pPr>
                  <w:r>
                    <w:rPr>
                      <w:noProof/>
                      <w:lang w:val="fi-FI" w:eastAsia="fi-FI"/>
                    </w:rPr>
                    <w:drawing>
                      <wp:inline distT="0" distB="0" distL="0" distR="0">
                        <wp:extent cx="389890" cy="1021080"/>
                        <wp:effectExtent l="0" t="0" r="0" b="0"/>
                        <wp:docPr id="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test1"/>
                                <pic:cNvPicPr preferRelativeResize="0"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9890" cy="1021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E23E5" w:rsidRDefault="001B71F8">
                  <w:pPr>
                    <w:ind w:left="994"/>
                    <w:textAlignment w:val="baseline"/>
                  </w:pPr>
                  <w:r>
                    <w:rPr>
                      <w:noProof/>
                      <w:lang w:val="fi-FI" w:eastAsia="fi-FI"/>
                    </w:rPr>
                    <w:drawing>
                      <wp:inline distT="0" distB="0" distL="0" distR="0">
                        <wp:extent cx="389890" cy="1990725"/>
                        <wp:effectExtent l="0" t="0" r="0" b="0"/>
                        <wp:docPr id="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test1"/>
                                <pic:cNvPicPr preferRelativeResize="0"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9890" cy="1990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27" style="position:absolute;left:0;text-align:left;z-index:251658240;mso-position-horizontal-relative:page;mso-position-vertical-relative:page" from="0,297.1pt" to="28.6pt,297.1pt" strokecolor="#050505" strokeweight=".25pt">
            <w10:wrap anchorx="page" anchory="page"/>
          </v:line>
        </w:pict>
      </w:r>
      <w:r>
        <w:rPr>
          <w:rFonts w:ascii="Arial" w:eastAsia="Arial" w:hAnsi="Arial" w:cs="Arial"/>
          <w:color w:val="050505"/>
          <w:sz w:val="19"/>
          <w:szCs w:val="19"/>
          <w:bdr w:val="nil"/>
          <w:lang w:val="fi-FI"/>
        </w:rPr>
        <w:t>IVECO, CNH Industrialin (NYSE: CNHI /MI: CNHI) tuotemerkki, on allekirjoittanut sopimuksen eurooppalaisen logistiikkapalvelukonserni</w:t>
      </w:r>
      <w:r>
        <w:rPr>
          <w:rFonts w:ascii="Arial" w:eastAsia="Arial" w:hAnsi="Arial" w:cs="Arial"/>
          <w:color w:val="050505"/>
          <w:sz w:val="19"/>
          <w:szCs w:val="19"/>
          <w:bdr w:val="nil"/>
          <w:lang w:val="fi-FI"/>
        </w:rPr>
        <w:t>n Lannuttin kanssa koskien 610 uuden Stralis-kuorma-auton toimitusta.</w:t>
      </w:r>
    </w:p>
    <w:p w:rsidR="008E23E5" w:rsidRPr="00D53825" w:rsidRDefault="001B71F8">
      <w:pPr>
        <w:spacing w:before="281" w:line="328" w:lineRule="exact"/>
        <w:ind w:right="144"/>
        <w:jc w:val="both"/>
        <w:textAlignment w:val="baseline"/>
        <w:rPr>
          <w:rFonts w:ascii="Arial" w:eastAsia="Arial" w:hAnsi="Arial"/>
          <w:color w:val="050505"/>
          <w:sz w:val="19"/>
          <w:lang w:val="fi-FI"/>
        </w:rPr>
      </w:pPr>
      <w:r>
        <w:rPr>
          <w:rFonts w:ascii="Arial" w:eastAsia="Arial" w:hAnsi="Arial" w:cs="Arial"/>
          <w:color w:val="050505"/>
          <w:sz w:val="19"/>
          <w:szCs w:val="19"/>
          <w:bdr w:val="nil"/>
          <w:lang w:val="fi-FI"/>
        </w:rPr>
        <w:t>Toimitus koostuu neljäntyyppisistä raskaista kuorma-autoista, jotka yhdessä kattavat kaikki Lannutti-konserni</w:t>
      </w:r>
      <w:r>
        <w:rPr>
          <w:rFonts w:ascii="Arial" w:eastAsia="Arial" w:hAnsi="Arial" w:cs="Arial"/>
          <w:color w:val="050505"/>
          <w:sz w:val="19"/>
          <w:szCs w:val="19"/>
          <w:bdr w:val="nil"/>
          <w:lang w:val="fi-FI"/>
        </w:rPr>
        <w:t>n palvelemien alojen vaihtelevat kuljetustarpeet. Valitut mallit kuuluvat kahteen eri mallistoon: Stralis XP (Euroopan markkinoiden polttoainetaloudellisin kuorma-auto) ja Stralis NP (Natural Power: ensimmäinen kaasua polttoaineenaan käyttävä pitkän matkan</w:t>
      </w:r>
      <w:r>
        <w:rPr>
          <w:rFonts w:ascii="Arial" w:eastAsia="Arial" w:hAnsi="Arial" w:cs="Arial"/>
          <w:color w:val="050505"/>
          <w:sz w:val="19"/>
          <w:szCs w:val="19"/>
          <w:bdr w:val="nil"/>
          <w:lang w:val="fi-FI"/>
        </w:rPr>
        <w:t xml:space="preserve"> kuorma-auto).</w:t>
      </w:r>
    </w:p>
    <w:p w:rsidR="008E23E5" w:rsidRPr="00D53825" w:rsidRDefault="001B71F8">
      <w:pPr>
        <w:spacing w:before="279" w:line="328" w:lineRule="exact"/>
        <w:ind w:right="144"/>
        <w:jc w:val="both"/>
        <w:textAlignment w:val="baseline"/>
        <w:rPr>
          <w:rFonts w:ascii="Arial" w:eastAsia="Arial" w:hAnsi="Arial"/>
          <w:color w:val="050505"/>
          <w:sz w:val="19"/>
          <w:lang w:val="fi-FI"/>
        </w:rPr>
      </w:pPr>
      <w:r>
        <w:rPr>
          <w:rFonts w:ascii="Arial" w:eastAsia="Arial" w:hAnsi="Arial" w:cs="Arial"/>
          <w:color w:val="050505"/>
          <w:sz w:val="19"/>
          <w:szCs w:val="19"/>
          <w:bdr w:val="nil"/>
          <w:lang w:val="fi-FI"/>
        </w:rPr>
        <w:t>Tilauksen uusiin Stralis XP -malleihin asennetaan kaikkiin IVECO Cursor 11 -moottorit, jotka on suunnitellut CNH Industrialin voimansiirtovalmistaja FPT Industrial,</w:t>
      </w:r>
      <w:r>
        <w:rPr>
          <w:rFonts w:ascii="Arial" w:eastAsia="Arial" w:hAnsi="Arial" w:cs="Arial"/>
          <w:color w:val="050505"/>
          <w:sz w:val="19"/>
          <w:szCs w:val="19"/>
          <w:bdr w:val="nil"/>
          <w:lang w:val="fi-FI"/>
        </w:rPr>
        <w:t xml:space="preserve"> ja joiden teho on 460–480 hevosvoimaa. Lannutti</w:t>
      </w:r>
      <w:r w:rsidR="00D53825">
        <w:rPr>
          <w:rFonts w:ascii="Arial" w:eastAsia="Arial" w:hAnsi="Arial" w:cs="Arial"/>
          <w:color w:val="050505"/>
          <w:sz w:val="19"/>
          <w:szCs w:val="19"/>
          <w:bdr w:val="nil"/>
          <w:lang w:val="fi-FI"/>
        </w:rPr>
        <w:t xml:space="preserve"> </w:t>
      </w:r>
      <w:r>
        <w:rPr>
          <w:rFonts w:ascii="Arial" w:eastAsia="Arial" w:hAnsi="Arial" w:cs="Arial"/>
          <w:color w:val="050505"/>
          <w:sz w:val="19"/>
          <w:szCs w:val="19"/>
          <w:bdr w:val="nil"/>
          <w:lang w:val="fi-FI"/>
        </w:rPr>
        <w:t xml:space="preserve">-konserni valitsi tilaukseensa juuri nämä mallit siksi, että niissä yhdistyvät polttoainetaloudellisuus ja suuri hyötykuorma. Tilaukseen myöskin sisältyvät uudet Stralis NP -mallit varustetaan IVECO Cursor 9 </w:t>
      </w:r>
      <w:r>
        <w:rPr>
          <w:rFonts w:ascii="Arial" w:eastAsia="Arial" w:hAnsi="Arial" w:cs="Arial"/>
          <w:color w:val="050505"/>
          <w:sz w:val="19"/>
          <w:szCs w:val="19"/>
          <w:bdr w:val="nil"/>
          <w:lang w:val="fi-FI"/>
        </w:rPr>
        <w:t>-moottoreilla, jotka on myös suunnitellut FPT Industrial, kaksiosaisella kaasusäiliöllä (LNG, Liquefied Natural Gas), joka mahdollistaa jopa 1500 kilometrin toimintasäteen.</w:t>
      </w:r>
    </w:p>
    <w:p w:rsidR="008E23E5" w:rsidRPr="00D53825" w:rsidRDefault="001B71F8" w:rsidP="00FC6B8F">
      <w:pPr>
        <w:spacing w:before="278" w:after="2897" w:line="328" w:lineRule="exact"/>
        <w:ind w:right="144"/>
        <w:textAlignment w:val="baseline"/>
        <w:rPr>
          <w:rFonts w:ascii="Arial" w:eastAsia="Arial" w:hAnsi="Arial" w:cs="Arial"/>
          <w:color w:val="050505"/>
          <w:sz w:val="19"/>
          <w:szCs w:val="19"/>
          <w:bdr w:val="nil"/>
          <w:lang w:val="fi-FI"/>
        </w:rPr>
        <w:sectPr w:rsidR="008E23E5" w:rsidRPr="00D53825">
          <w:pgSz w:w="11909" w:h="16838"/>
          <w:pgMar w:top="2878" w:right="695" w:bottom="382" w:left="2554" w:header="720" w:footer="720" w:gutter="0"/>
          <w:cols w:space="708"/>
        </w:sectPr>
      </w:pPr>
      <w:r>
        <w:rPr>
          <w:rFonts w:ascii="Arial" w:eastAsia="Arial" w:hAnsi="Arial" w:cs="Arial"/>
          <w:color w:val="050505"/>
          <w:sz w:val="19"/>
          <w:szCs w:val="19"/>
          <w:bdr w:val="nil"/>
          <w:lang w:val="fi-FI"/>
        </w:rPr>
        <w:t xml:space="preserve">"Olen </w:t>
      </w:r>
      <w:r>
        <w:rPr>
          <w:rFonts w:ascii="Arial" w:eastAsia="Arial" w:hAnsi="Arial" w:cs="Arial"/>
          <w:color w:val="050505"/>
          <w:sz w:val="19"/>
          <w:szCs w:val="19"/>
          <w:bdr w:val="nil"/>
          <w:lang w:val="fi-FI"/>
        </w:rPr>
        <w:t>erityisen ilahtunut siitä, että yhteistyömme Lannuttin kanssa johtaa uusiin kehitysaskeliin tuotteissamme. Tämä on eurooppalaisessa mittakaavassa yksi suurimmista toimitussopimuksista: 610 uutta Stralista XP- ja NP-versioina, jotka molemmat edustavat huipp</w:t>
      </w:r>
      <w:r>
        <w:rPr>
          <w:rFonts w:ascii="Arial" w:eastAsia="Arial" w:hAnsi="Arial" w:cs="Arial"/>
          <w:color w:val="050505"/>
          <w:sz w:val="19"/>
          <w:szCs w:val="19"/>
          <w:bdr w:val="nil"/>
          <w:lang w:val="fi-FI"/>
        </w:rPr>
        <w:t xml:space="preserve">uluokan kestäviä kuljetusratkaisuja: toinen on polttoainetaloudellisin mallimme ja toinen on ensimmäinen kaasua polttoaineenaan käyttävä pitkän matkan tehtäville </w:t>
      </w:r>
      <w:r>
        <w:rPr>
          <w:rFonts w:ascii="Arial" w:eastAsia="Arial" w:hAnsi="Arial" w:cs="Arial"/>
          <w:color w:val="050505"/>
          <w:sz w:val="19"/>
          <w:szCs w:val="19"/>
          <w:bdr w:val="nil"/>
          <w:lang w:val="fi-FI"/>
        </w:rPr>
        <w:t xml:space="preserve">soveltuva kuorma-auto", </w:t>
      </w:r>
      <w:r>
        <w:rPr>
          <w:rFonts w:ascii="Arial" w:eastAsia="Arial" w:hAnsi="Arial" w:cs="Arial"/>
          <w:color w:val="050505"/>
          <w:sz w:val="19"/>
          <w:szCs w:val="19"/>
          <w:bdr w:val="nil"/>
          <w:lang w:val="fi-FI"/>
        </w:rPr>
        <w:t>kommentoi Pierre</w:t>
      </w:r>
      <w:r w:rsidR="00D53825">
        <w:rPr>
          <w:rFonts w:ascii="Arial" w:eastAsia="Arial" w:hAnsi="Arial" w:cs="Arial"/>
          <w:color w:val="050505"/>
          <w:sz w:val="19"/>
          <w:szCs w:val="19"/>
          <w:bdr w:val="nil"/>
          <w:lang w:val="fi-FI"/>
        </w:rPr>
        <w:t xml:space="preserve"> Lahutte, IVECO Brand President.</w:t>
      </w:r>
      <w:bookmarkStart w:id="0" w:name="_GoBack"/>
      <w:bookmarkEnd w:id="0"/>
    </w:p>
    <w:p w:rsidR="008E23E5" w:rsidRPr="00D53825" w:rsidRDefault="001B71F8">
      <w:pPr>
        <w:spacing w:before="15" w:line="158" w:lineRule="exact"/>
        <w:textAlignment w:val="baseline"/>
        <w:rPr>
          <w:rFonts w:ascii="Arial" w:eastAsia="Arial" w:hAnsi="Arial"/>
          <w:b/>
          <w:color w:val="050505"/>
          <w:sz w:val="14"/>
          <w:lang w:val="fi-FI"/>
        </w:rPr>
      </w:pPr>
    </w:p>
    <w:p w:rsidR="008E23E5" w:rsidRPr="00D53825" w:rsidRDefault="001B71F8">
      <w:pPr>
        <w:rPr>
          <w:lang w:val="fi-FI"/>
        </w:rPr>
        <w:sectPr w:rsidR="008E23E5" w:rsidRPr="00D53825">
          <w:type w:val="continuous"/>
          <w:pgSz w:w="11909" w:h="16838"/>
          <w:pgMar w:top="2878" w:right="7915" w:bottom="382" w:left="2554" w:header="720" w:footer="720" w:gutter="0"/>
          <w:cols w:space="708"/>
        </w:sectPr>
      </w:pPr>
    </w:p>
    <w:p w:rsidR="008E23E5" w:rsidRDefault="001B71F8">
      <w:pPr>
        <w:spacing w:before="1" w:after="1267"/>
        <w:ind w:right="3"/>
        <w:textAlignment w:val="baseline"/>
      </w:pPr>
      <w:r>
        <w:lastRenderedPageBreak/>
        <w:pict>
          <v:line id="_x0000_s1028" style="position:absolute;z-index:251659264;mso-position-horizontal-relative:page;mso-position-vertical-relative:page" from="127.45pt,63.85pt" to="595.5pt,63.85pt" strokeweight=".25pt">
            <w10:wrap anchorx="page" anchory="page"/>
          </v:line>
        </w:pict>
      </w:r>
      <w:r>
        <w:rPr>
          <w:noProof/>
          <w:lang w:val="fi-FI" w:eastAsia="fi-FI"/>
        </w:rPr>
        <w:drawing>
          <wp:inline distT="0" distB="0" distL="0" distR="0">
            <wp:extent cx="963295" cy="560705"/>
            <wp:effectExtent l="0" t="0" r="0" b="0"/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3E5" w:rsidRDefault="001B71F8">
      <w:pPr>
        <w:spacing w:before="1" w:after="1267"/>
        <w:sectPr w:rsidR="008E23E5">
          <w:pgSz w:w="11909" w:h="16838"/>
          <w:pgMar w:top="580" w:right="9847" w:bottom="6302" w:left="542" w:header="720" w:footer="720" w:gutter="0"/>
          <w:cols w:space="708"/>
        </w:sectPr>
      </w:pPr>
    </w:p>
    <w:p w:rsidR="008E23E5" w:rsidRPr="00D53825" w:rsidRDefault="001B71F8">
      <w:pPr>
        <w:spacing w:line="326" w:lineRule="exact"/>
        <w:ind w:left="72" w:right="72"/>
        <w:jc w:val="both"/>
        <w:textAlignment w:val="baseline"/>
        <w:rPr>
          <w:rFonts w:ascii="Arial" w:eastAsia="Arial" w:hAnsi="Arial"/>
          <w:color w:val="000000"/>
          <w:sz w:val="19"/>
          <w:lang w:val="fi-FI"/>
        </w:rPr>
      </w:pPr>
      <w:r>
        <w:rPr>
          <w:rFonts w:ascii="Arial" w:eastAsia="Arial" w:hAnsi="Arial" w:cs="Arial"/>
          <w:color w:val="000000"/>
          <w:sz w:val="19"/>
          <w:szCs w:val="19"/>
          <w:bdr w:val="nil"/>
          <w:lang w:val="fi-FI"/>
        </w:rPr>
        <w:lastRenderedPageBreak/>
        <w:t>Lannutti</w:t>
      </w:r>
      <w:r w:rsidR="00D53825">
        <w:rPr>
          <w:rFonts w:ascii="Arial" w:eastAsia="Arial" w:hAnsi="Arial" w:cs="Arial"/>
          <w:color w:val="000000"/>
          <w:sz w:val="19"/>
          <w:szCs w:val="19"/>
          <w:bdr w:val="nil"/>
          <w:lang w:val="fi-FI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  <w:bdr w:val="nil"/>
          <w:lang w:val="fi-FI"/>
        </w:rPr>
        <w:t>-konserni perustettiin yli 50 vuotta sitten ja nykyään se toimii seitsemässä Euroopan maassa: Belgiassa, Tšekissä, Ranskassa, Italiassa, Luxemburgis</w:t>
      </w:r>
      <w:r>
        <w:rPr>
          <w:rFonts w:ascii="Arial" w:eastAsia="Arial" w:hAnsi="Arial" w:cs="Arial"/>
          <w:color w:val="000000"/>
          <w:sz w:val="19"/>
          <w:szCs w:val="19"/>
          <w:bdr w:val="nil"/>
          <w:lang w:val="fi-FI"/>
        </w:rPr>
        <w:t>sa, Romaniassa ja Espanjassa. Tällä sopimuksella Lannutti vahvistaa asemaansa suurena eurooppalaisena logistiikkapalvelujen tuottajana, joka panostaa innovatiivisimpiin vihreisiin teknologioihin. Konsernin yhteistyökumppanuus IVECOn kanssa on läheistä ja k</w:t>
      </w:r>
      <w:r>
        <w:rPr>
          <w:rFonts w:ascii="Arial" w:eastAsia="Arial" w:hAnsi="Arial" w:cs="Arial"/>
          <w:color w:val="000000"/>
          <w:sz w:val="19"/>
          <w:szCs w:val="19"/>
          <w:bdr w:val="nil"/>
          <w:lang w:val="fi-FI"/>
        </w:rPr>
        <w:t>annattavaa, ja IVECO nähdään "ihanteellisena kumppanina kestävässä kuljetustoiminnassa".</w:t>
      </w:r>
    </w:p>
    <w:p w:rsidR="008E23E5" w:rsidRPr="00D53825" w:rsidRDefault="001B71F8">
      <w:pPr>
        <w:spacing w:before="908" w:line="276" w:lineRule="exact"/>
        <w:ind w:left="72" w:right="72"/>
        <w:jc w:val="both"/>
        <w:textAlignment w:val="baseline"/>
        <w:rPr>
          <w:rFonts w:ascii="Arial" w:eastAsia="Arial" w:hAnsi="Arial"/>
          <w:b/>
          <w:i/>
          <w:color w:val="000000"/>
          <w:sz w:val="16"/>
          <w:lang w:val="fi-FI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16"/>
          <w:szCs w:val="16"/>
          <w:bdr w:val="nil"/>
          <w:lang w:val="fi-FI"/>
        </w:rPr>
        <w:t xml:space="preserve">CNH Industrial N.V. </w:t>
      </w:r>
      <w:r>
        <w:rPr>
          <w:rFonts w:ascii="Arial" w:eastAsia="Arial" w:hAnsi="Arial" w:cs="Arial"/>
          <w:i/>
          <w:iCs/>
          <w:color w:val="000000"/>
          <w:sz w:val="16"/>
          <w:szCs w:val="16"/>
          <w:bdr w:val="nil"/>
          <w:lang w:val="fi-FI"/>
        </w:rPr>
        <w:t>(NYSE: CNHI /M</w:t>
      </w:r>
      <w:r>
        <w:rPr>
          <w:rFonts w:ascii="Arial" w:eastAsia="Arial" w:hAnsi="Arial" w:cs="Arial"/>
          <w:b/>
          <w:bCs/>
          <w:i/>
          <w:iCs/>
          <w:color w:val="000000"/>
          <w:sz w:val="16"/>
          <w:szCs w:val="16"/>
          <w:bdr w:val="nil"/>
          <w:lang w:val="fi-FI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  <w:bdr w:val="nil"/>
          <w:lang w:val="fi-FI"/>
        </w:rPr>
        <w:t>:CNHI) on maailman johtavia tuotantohyödykkeiden alan toimijoita. Sillä on pitkä</w:t>
      </w:r>
      <w:r>
        <w:rPr>
          <w:rFonts w:ascii="Arial" w:eastAsia="Arial" w:hAnsi="Arial" w:cs="Arial"/>
          <w:i/>
          <w:iCs/>
          <w:color w:val="000000"/>
          <w:sz w:val="16"/>
          <w:szCs w:val="16"/>
          <w:bdr w:val="nil"/>
          <w:lang w:val="fi-FI"/>
        </w:rPr>
        <w:t>aikaista kokemusta teollisuuden alalta, laaja valikoima tuotteita ja maailmanlaajuinen edustus. Jokainen yhtiön yksittäisistä brändeistä on suuri kansainvälinen toimija omalla teollisuuden alallaan: Case IH, New Holland Agriculture ja Steyr (traktorit ja m</w:t>
      </w:r>
      <w:r>
        <w:rPr>
          <w:rFonts w:ascii="Arial" w:eastAsia="Arial" w:hAnsi="Arial" w:cs="Arial"/>
          <w:i/>
          <w:iCs/>
          <w:color w:val="000000"/>
          <w:sz w:val="16"/>
          <w:szCs w:val="16"/>
          <w:bdr w:val="nil"/>
          <w:lang w:val="fi-FI"/>
        </w:rPr>
        <w:t>aatalouskoneet); Case ja New Holland Construction (maansiirtokoneet); Iveco (hyötyajoneuvot); Iveco Bus ja Heuliez Bus (linja-autot); Iveco Astra (kaivos- ja rakennustyömaa-ajoneuvot); Magirus (paloautot); Iveco Defence Vehicles (maanpuolustus- ja pelastus</w:t>
      </w:r>
      <w:r>
        <w:rPr>
          <w:rFonts w:ascii="Arial" w:eastAsia="Arial" w:hAnsi="Arial" w:cs="Arial"/>
          <w:i/>
          <w:iCs/>
          <w:color w:val="000000"/>
          <w:sz w:val="16"/>
          <w:szCs w:val="16"/>
          <w:bdr w:val="nil"/>
          <w:lang w:val="fi-FI"/>
        </w:rPr>
        <w:t>ajoneuvot); ja FPT Industrial (moottorit ja voimansiirto). Lisätietoa löytyy konsernin internet-sivuilta:</w:t>
      </w:r>
      <w:r>
        <w:rPr>
          <w:rFonts w:ascii="Arial" w:eastAsia="Arial" w:hAnsi="Arial" w:cs="Arial"/>
          <w:i/>
          <w:iCs/>
          <w:color w:val="0000FF"/>
          <w:sz w:val="16"/>
          <w:szCs w:val="16"/>
          <w:u w:val="single"/>
          <w:bdr w:val="nil"/>
          <w:lang w:val="fi-FI"/>
        </w:rPr>
        <w:t xml:space="preserve"> </w:t>
      </w:r>
      <w:hyperlink r:id="rId13" w:history="1">
        <w:r>
          <w:rPr>
            <w:rFonts w:ascii="Arial" w:eastAsia="Arial" w:hAnsi="Arial" w:cs="Arial"/>
            <w:i/>
            <w:iCs/>
            <w:color w:val="0000FF"/>
            <w:sz w:val="16"/>
            <w:szCs w:val="16"/>
            <w:u w:val="single"/>
            <w:bdr w:val="nil"/>
            <w:lang w:val="fi-FI"/>
          </w:rPr>
          <w:t>www.cnhindustrial.com</w:t>
        </w:r>
      </w:hyperlink>
      <w:r>
        <w:rPr>
          <w:rFonts w:ascii="Arial" w:eastAsia="Arial" w:hAnsi="Arial" w:cs="Arial"/>
          <w:i/>
          <w:iCs/>
          <w:color w:val="0000FF"/>
          <w:sz w:val="16"/>
          <w:szCs w:val="16"/>
          <w:bdr w:val="nil"/>
          <w:lang w:val="fi-FI"/>
        </w:rPr>
        <w:t xml:space="preserve"> </w:t>
      </w:r>
    </w:p>
    <w:p w:rsidR="008E23E5" w:rsidRPr="00D53825" w:rsidRDefault="001B71F8">
      <w:pPr>
        <w:spacing w:before="374" w:line="214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19"/>
          <w:lang w:val="fi-FI"/>
        </w:rPr>
      </w:pPr>
      <w:r>
        <w:rPr>
          <w:rFonts w:ascii="Arial" w:eastAsia="Arial" w:hAnsi="Arial" w:cs="Arial"/>
          <w:b/>
          <w:bCs/>
          <w:color w:val="000000"/>
          <w:spacing w:val="-1"/>
          <w:sz w:val="19"/>
          <w:szCs w:val="19"/>
          <w:bdr w:val="nil"/>
          <w:lang w:val="fi-FI"/>
        </w:rPr>
        <w:t>Median yhteyshenkilöt:</w:t>
      </w:r>
    </w:p>
    <w:p w:rsidR="008E23E5" w:rsidRPr="00D53825" w:rsidRDefault="001B71F8">
      <w:pPr>
        <w:tabs>
          <w:tab w:val="left" w:pos="4392"/>
        </w:tabs>
        <w:spacing w:before="444" w:line="213" w:lineRule="exact"/>
        <w:ind w:left="72"/>
        <w:textAlignment w:val="baseline"/>
        <w:rPr>
          <w:rFonts w:ascii="Arial" w:eastAsia="Arial" w:hAnsi="Arial"/>
          <w:color w:val="000000"/>
          <w:sz w:val="19"/>
          <w:lang w:val="fi-FI"/>
        </w:rPr>
      </w:pPr>
      <w:r>
        <w:rPr>
          <w:rFonts w:ascii="Arial" w:eastAsia="Arial" w:hAnsi="Arial" w:cs="Arial"/>
          <w:color w:val="000000"/>
          <w:sz w:val="19"/>
          <w:szCs w:val="19"/>
          <w:bdr w:val="nil"/>
          <w:lang w:val="fi-FI"/>
        </w:rPr>
        <w:t>Alessia Domanico</w:t>
      </w:r>
      <w:r>
        <w:rPr>
          <w:rFonts w:ascii="Arial" w:eastAsia="Arial" w:hAnsi="Arial" w:cs="Arial"/>
          <w:color w:val="000000"/>
          <w:sz w:val="19"/>
          <w:szCs w:val="19"/>
          <w:bdr w:val="nil"/>
          <w:lang w:val="fi-FI"/>
        </w:rPr>
        <w:tab/>
        <w:t>Laura Overall</w:t>
      </w:r>
    </w:p>
    <w:p w:rsidR="008E23E5" w:rsidRPr="00D53825" w:rsidRDefault="001B71F8">
      <w:pPr>
        <w:tabs>
          <w:tab w:val="left" w:pos="4392"/>
        </w:tabs>
        <w:spacing w:before="113" w:line="213" w:lineRule="exact"/>
        <w:ind w:left="72"/>
        <w:textAlignment w:val="baseline"/>
        <w:rPr>
          <w:rFonts w:ascii="Arial" w:eastAsia="Arial" w:hAnsi="Arial"/>
          <w:color w:val="000000"/>
          <w:sz w:val="19"/>
          <w:lang w:val="fi-FI"/>
        </w:rPr>
      </w:pPr>
      <w:r>
        <w:rPr>
          <w:rFonts w:ascii="Arial" w:eastAsia="Arial" w:hAnsi="Arial" w:cs="Arial"/>
          <w:color w:val="000000"/>
          <w:sz w:val="19"/>
          <w:szCs w:val="19"/>
          <w:bdr w:val="nil"/>
          <w:lang w:val="fi-FI"/>
        </w:rPr>
        <w:t>Kansainvälinen konsernitiedotus</w:t>
      </w:r>
      <w:r>
        <w:rPr>
          <w:rFonts w:ascii="Arial" w:eastAsia="Arial" w:hAnsi="Arial" w:cs="Arial"/>
          <w:color w:val="000000"/>
          <w:sz w:val="19"/>
          <w:szCs w:val="19"/>
          <w:bdr w:val="nil"/>
          <w:lang w:val="fi-FI"/>
        </w:rPr>
        <w:tab/>
        <w:t>Konsernin tiedotusjohtaja</w:t>
      </w:r>
    </w:p>
    <w:p w:rsidR="008E23E5" w:rsidRDefault="001B71F8">
      <w:pPr>
        <w:tabs>
          <w:tab w:val="left" w:pos="4392"/>
        </w:tabs>
        <w:spacing w:before="118" w:line="213" w:lineRule="exact"/>
        <w:ind w:left="72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 w:cs="Arial"/>
          <w:color w:val="000000"/>
          <w:sz w:val="19"/>
          <w:szCs w:val="19"/>
          <w:bdr w:val="nil"/>
          <w:lang w:val="fi-FI"/>
        </w:rPr>
        <w:t>CNH Industrial</w:t>
      </w:r>
      <w:r>
        <w:rPr>
          <w:rFonts w:ascii="Arial" w:eastAsia="Arial" w:hAnsi="Arial" w:cs="Arial"/>
          <w:color w:val="000000"/>
          <w:sz w:val="19"/>
          <w:szCs w:val="19"/>
          <w:bdr w:val="nil"/>
          <w:lang w:val="fi-FI"/>
        </w:rPr>
        <w:tab/>
        <w:t>CNH Industrial</w:t>
      </w:r>
    </w:p>
    <w:p w:rsidR="008E23E5" w:rsidRDefault="001B71F8">
      <w:pPr>
        <w:tabs>
          <w:tab w:val="left" w:pos="4392"/>
        </w:tabs>
        <w:spacing w:before="114" w:line="213" w:lineRule="exact"/>
        <w:ind w:left="72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 w:cs="Arial"/>
          <w:color w:val="000000"/>
          <w:sz w:val="19"/>
          <w:szCs w:val="19"/>
          <w:bdr w:val="nil"/>
          <w:lang w:val="fi-FI"/>
        </w:rPr>
        <w:t>Puh: +44 (0)2077 660 326</w:t>
      </w:r>
      <w:r>
        <w:rPr>
          <w:rFonts w:ascii="Arial" w:eastAsia="Arial" w:hAnsi="Arial" w:cs="Arial"/>
          <w:color w:val="000000"/>
          <w:sz w:val="19"/>
          <w:szCs w:val="19"/>
          <w:bdr w:val="nil"/>
          <w:lang w:val="fi-FI"/>
        </w:rPr>
        <w:tab/>
        <w:t>Puh: +44 (0)2077 660 338</w:t>
      </w:r>
    </w:p>
    <w:p w:rsidR="008E23E5" w:rsidRDefault="001B71F8">
      <w:pPr>
        <w:spacing w:before="440" w:line="213" w:lineRule="exact"/>
        <w:ind w:left="72"/>
        <w:textAlignment w:val="baseline"/>
        <w:rPr>
          <w:rFonts w:ascii="Arial" w:eastAsia="Arial" w:hAnsi="Arial"/>
          <w:color w:val="000000"/>
          <w:sz w:val="19"/>
        </w:rPr>
      </w:pPr>
      <w:hyperlink r:id="rId14" w:history="1">
        <w:r>
          <w:rPr>
            <w:rFonts w:ascii="Arial" w:eastAsia="Arial" w:hAnsi="Arial" w:cs="Arial"/>
            <w:color w:val="0000FF"/>
            <w:sz w:val="19"/>
            <w:szCs w:val="19"/>
            <w:u w:val="single"/>
            <w:bdr w:val="nil"/>
            <w:lang w:val="fi-FI"/>
          </w:rPr>
          <w:t>E-mail:</w:t>
        </w:r>
      </w:hyperlink>
      <w:r>
        <w:rPr>
          <w:rFonts w:ascii="Arial" w:eastAsia="Arial" w:hAnsi="Arial" w:cs="Arial"/>
          <w:color w:val="0000FF"/>
          <w:sz w:val="19"/>
          <w:szCs w:val="19"/>
          <w:u w:val="single"/>
          <w:bdr w:val="nil"/>
          <w:lang w:val="fi-FI"/>
        </w:rPr>
        <w:t xml:space="preserve"> mediarelations@cnhind.com</w:t>
      </w:r>
      <w:r>
        <w:rPr>
          <w:rFonts w:ascii="Arial" w:eastAsia="Arial" w:hAnsi="Arial" w:cs="Arial"/>
          <w:color w:val="0000FF"/>
          <w:sz w:val="19"/>
          <w:szCs w:val="19"/>
          <w:bdr w:val="nil"/>
          <w:lang w:val="fi-FI"/>
        </w:rPr>
        <w:t xml:space="preserve"> </w:t>
      </w:r>
    </w:p>
    <w:sectPr w:rsidR="008E23E5">
      <w:type w:val="continuous"/>
      <w:pgSz w:w="11909" w:h="16838"/>
      <w:pgMar w:top="580" w:right="767" w:bottom="6302" w:left="2482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F8" w:rsidRDefault="001B71F8" w:rsidP="00F65B5A">
      <w:r>
        <w:separator/>
      </w:r>
    </w:p>
  </w:endnote>
  <w:endnote w:type="continuationSeparator" w:id="0">
    <w:p w:rsidR="001B71F8" w:rsidRDefault="001B71F8" w:rsidP="00F6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F8" w:rsidRDefault="001B71F8" w:rsidP="00F65B5A">
      <w:r>
        <w:separator/>
      </w:r>
    </w:p>
  </w:footnote>
  <w:footnote w:type="continuationSeparator" w:id="0">
    <w:p w:rsidR="001B71F8" w:rsidRDefault="001B71F8" w:rsidP="00F65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34"/>
    <w:rsid w:val="001B71F8"/>
    <w:rsid w:val="00254034"/>
    <w:rsid w:val="00797519"/>
    <w:rsid w:val="00D53825"/>
    <w:rsid w:val="00F65B5A"/>
    <w:rsid w:val="00F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2379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379D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F65B5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65B5A"/>
  </w:style>
  <w:style w:type="paragraph" w:styleId="Alatunniste">
    <w:name w:val="footer"/>
    <w:basedOn w:val="Normaali"/>
    <w:link w:val="AlatunnisteChar"/>
    <w:uiPriority w:val="99"/>
    <w:unhideWhenUsed/>
    <w:rsid w:val="00F65B5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65B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2379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379D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F65B5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65B5A"/>
  </w:style>
  <w:style w:type="paragraph" w:styleId="Alatunniste">
    <w:name w:val="footer"/>
    <w:basedOn w:val="Normaali"/>
    <w:link w:val="AlatunnisteChar"/>
    <w:uiPriority w:val="99"/>
    <w:unhideWhenUsed/>
    <w:rsid w:val="00F65B5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65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nhindustria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mediarelations@cnhind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fbfd49-c8e6-4618-a77f-5ef25245836c">
  <element uid="1239ecc3-00e0-482b-a8a4-82e46943bfcc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ABBFD-1D1E-4C33-ADF7-6C36EC7F59C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C3427C9-A4FB-42B0-A852-6E3DEF2D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Henna</dc:creator>
  <cp:lastModifiedBy>Administrator</cp:lastModifiedBy>
  <cp:revision>5</cp:revision>
  <dcterms:created xsi:type="dcterms:W3CDTF">2017-02-17T06:12:00Z</dcterms:created>
  <dcterms:modified xsi:type="dcterms:W3CDTF">2017-02-17T09:16:00Z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af403b19-42d1-442b-a23a-7a6fb17ff5cb</vt:lpwstr>
  </property>
  <property fmtid="{D5CDD505-2E9C-101B-9397-08002B2CF9AE}" pid="3" name="bjSaver">
    <vt:lpwstr>o6gSgpc131IzSzC3LOpOeSiPeQhgR6nh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policy="18fbfd49-c8e6-4618-a77f-5ef25245836c" xmlns="http://www.boldonjames.com/2008/01/sie/i</vt:lpwstr>
  </property>
  <property fmtid="{D5CDD505-2E9C-101B-9397-08002B2CF9AE}" pid="5" name="bjDocumentLabelXML-0">
    <vt:lpwstr>nternal/label"&gt;&lt;element uid="1239ecc3-00e0-482b-a8a4-82e46943bfcc" value="" /&gt;&lt;/sisl&gt;</vt:lpwstr>
  </property>
  <property fmtid="{D5CDD505-2E9C-101B-9397-08002B2CF9AE}" pid="6" name="bjDocumentSecurityLabel">
    <vt:lpwstr>CNH Industrial: PUBLIC [No prejudice to Company from disclosure.]</vt:lpwstr>
  </property>
  <property fmtid="{D5CDD505-2E9C-101B-9397-08002B2CF9AE}" pid="7" name="CNH-LabelledBy:">
    <vt:lpwstr>12217AA,17.2.2017 11:16:00,PUBLIC</vt:lpwstr>
  </property>
  <property fmtid="{D5CDD505-2E9C-101B-9397-08002B2CF9AE}" pid="8" name="CNH-Classification">
    <vt:lpwstr>[PUBLIC]</vt:lpwstr>
  </property>
</Properties>
</file>