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4CA5" w14:textId="6E8DE938" w:rsidR="000E32F7" w:rsidRPr="0035518A" w:rsidRDefault="0035518A" w:rsidP="009C73D8">
      <w:pPr>
        <w:pStyle w:val="SubtitleofDocument"/>
        <w:rPr>
          <w:lang w:val="it-IT"/>
        </w:rPr>
      </w:pPr>
      <w:r w:rsidRPr="0035518A">
        <w:rPr>
          <w:lang w:val="it-IT"/>
        </w:rPr>
        <w:t>Comunicato stampa</w:t>
      </w:r>
    </w:p>
    <w:p w14:paraId="328AB406" w14:textId="77777777" w:rsidR="00F270A4" w:rsidRDefault="008C4AF7" w:rsidP="008C4AF7">
      <w:pPr>
        <w:pStyle w:val="ChapterTitle"/>
        <w:jc w:val="center"/>
        <w:rPr>
          <w:sz w:val="40"/>
          <w:szCs w:val="40"/>
          <w:lang w:val="it-IT"/>
        </w:rPr>
      </w:pPr>
      <w:r w:rsidRPr="008C4AF7">
        <w:rPr>
          <w:sz w:val="40"/>
          <w:szCs w:val="40"/>
          <w:lang w:val="it-IT"/>
        </w:rPr>
        <w:t xml:space="preserve">Visa presenta "Visa Eco Benefits", </w:t>
      </w:r>
    </w:p>
    <w:p w14:paraId="21E45711" w14:textId="0E291DCE" w:rsidR="00897C56" w:rsidRDefault="008C4AF7" w:rsidP="008C4AF7">
      <w:pPr>
        <w:pStyle w:val="ChapterTitle"/>
        <w:jc w:val="center"/>
        <w:rPr>
          <w:sz w:val="40"/>
          <w:szCs w:val="40"/>
          <w:lang w:val="it-IT"/>
        </w:rPr>
      </w:pPr>
      <w:r w:rsidRPr="008C4AF7">
        <w:rPr>
          <w:sz w:val="40"/>
          <w:szCs w:val="40"/>
          <w:lang w:val="it-IT"/>
        </w:rPr>
        <w:t xml:space="preserve">la risposta alla crescente domanda di soluzioni sostenibili </w:t>
      </w:r>
    </w:p>
    <w:p w14:paraId="3FEF493E" w14:textId="7D26941A" w:rsidR="004B0B8A" w:rsidRPr="003172CC" w:rsidRDefault="008C4AF7" w:rsidP="008C4AF7">
      <w:pPr>
        <w:pStyle w:val="ChapterTitle"/>
        <w:jc w:val="center"/>
        <w:rPr>
          <w:sz w:val="40"/>
          <w:szCs w:val="40"/>
          <w:lang w:val="it-IT"/>
        </w:rPr>
      </w:pPr>
      <w:r w:rsidRPr="008C4AF7">
        <w:rPr>
          <w:sz w:val="40"/>
          <w:szCs w:val="40"/>
          <w:lang w:val="it-IT"/>
        </w:rPr>
        <w:t>da parte</w:t>
      </w:r>
      <w:r w:rsidR="00897C56">
        <w:rPr>
          <w:sz w:val="40"/>
          <w:szCs w:val="40"/>
          <w:lang w:val="it-IT"/>
        </w:rPr>
        <w:t xml:space="preserve"> </w:t>
      </w:r>
      <w:r w:rsidR="00D26EB9">
        <w:rPr>
          <w:sz w:val="40"/>
          <w:szCs w:val="40"/>
          <w:lang w:val="it-IT"/>
        </w:rPr>
        <w:t xml:space="preserve">di </w:t>
      </w:r>
      <w:r w:rsidRPr="008C4AF7">
        <w:rPr>
          <w:sz w:val="40"/>
          <w:szCs w:val="40"/>
          <w:lang w:val="it-IT"/>
        </w:rPr>
        <w:t>clienti e consumatori</w:t>
      </w:r>
    </w:p>
    <w:p w14:paraId="0D39268E" w14:textId="77777777" w:rsidR="000E32F7" w:rsidRPr="003172CC" w:rsidRDefault="000E32F7" w:rsidP="000E32F7">
      <w:pPr>
        <w:rPr>
          <w:lang w:val="it-IT"/>
        </w:rPr>
      </w:pPr>
      <w:r w:rsidRPr="003172CC">
        <w:rPr>
          <w:noProof/>
        </w:rPr>
        <mc:AlternateContent>
          <mc:Choice Requires="wps">
            <w:drawing>
              <wp:anchor distT="0" distB="0" distL="114300" distR="114300" simplePos="0" relativeHeight="251660288"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7B4AE"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" strokecolor="#1434cb [3204]" strokeweight=".5pt">
                <v:stroke joinstyle="miter"/>
                <w10:wrap type="topAndBottom"/>
              </v:line>
            </w:pict>
          </mc:Fallback>
        </mc:AlternateContent>
      </w:r>
    </w:p>
    <w:p w14:paraId="278240C3" w14:textId="77777777" w:rsidR="00924635" w:rsidRPr="003172CC" w:rsidRDefault="00924635" w:rsidP="00AB2A46">
      <w:pPr>
        <w:rPr>
          <w:lang w:val="it-IT"/>
        </w:rPr>
      </w:pPr>
    </w:p>
    <w:p w14:paraId="49C8CABF" w14:textId="77777777" w:rsidR="00E10225" w:rsidRDefault="008C4AF7" w:rsidP="00E10225">
      <w:pPr>
        <w:pBdr>
          <w:top w:val="nil"/>
          <w:left w:val="nil"/>
          <w:bottom w:val="nil"/>
          <w:right w:val="nil"/>
          <w:between w:val="nil"/>
          <w:bar w:val="nil"/>
        </w:pBdr>
        <w:spacing w:line="276" w:lineRule="auto"/>
        <w:contextualSpacing w:val="0"/>
        <w:jc w:val="center"/>
        <w:rPr>
          <w:rFonts w:asciiTheme="majorHAnsi" w:eastAsia="Segoe UI" w:hAnsiTheme="majorHAnsi" w:cs="Segoe UI"/>
          <w:b/>
          <w:bCs/>
          <w:i/>
          <w:color w:val="000000"/>
          <w:sz w:val="22"/>
          <w:szCs w:val="22"/>
          <w:bdr w:val="nil"/>
          <w:shd w:val="clear" w:color="auto" w:fill="FFFFFF"/>
          <w:lang w:val="it-IT" w:eastAsia="de-DE"/>
        </w:rPr>
      </w:pPr>
      <w:r w:rsidRPr="008C4AF7">
        <w:rPr>
          <w:rFonts w:asciiTheme="majorHAnsi" w:eastAsia="Segoe UI" w:hAnsiTheme="majorHAnsi" w:cs="Segoe UI"/>
          <w:b/>
          <w:bCs/>
          <w:i/>
          <w:color w:val="000000"/>
          <w:sz w:val="22"/>
          <w:szCs w:val="22"/>
          <w:bdr w:val="nil"/>
          <w:shd w:val="clear" w:color="auto" w:fill="FFFFFF"/>
          <w:lang w:val="it-IT" w:eastAsia="de-DE"/>
        </w:rPr>
        <w:t>La nuova soluzione entra a far parte del portafoglio di servizi dedicati alla sostenibilità</w:t>
      </w:r>
    </w:p>
    <w:p w14:paraId="07147497" w14:textId="169769F6" w:rsidR="008C4AF7" w:rsidRPr="008C4AF7" w:rsidRDefault="008C4AF7" w:rsidP="00E10225">
      <w:pPr>
        <w:pBdr>
          <w:top w:val="nil"/>
          <w:left w:val="nil"/>
          <w:bottom w:val="nil"/>
          <w:right w:val="nil"/>
          <w:between w:val="nil"/>
          <w:bar w:val="nil"/>
        </w:pBdr>
        <w:spacing w:line="276" w:lineRule="auto"/>
        <w:contextualSpacing w:val="0"/>
        <w:jc w:val="center"/>
        <w:rPr>
          <w:rFonts w:asciiTheme="majorHAnsi" w:eastAsia="Segoe UI" w:hAnsiTheme="majorHAnsi" w:cs="Segoe UI"/>
          <w:b/>
          <w:bCs/>
          <w:i/>
          <w:color w:val="000000"/>
          <w:sz w:val="22"/>
          <w:szCs w:val="22"/>
          <w:bdr w:val="nil"/>
          <w:shd w:val="clear" w:color="auto" w:fill="FFFFFF"/>
          <w:lang w:val="it-IT" w:eastAsia="de-DE"/>
        </w:rPr>
      </w:pPr>
      <w:r w:rsidRPr="008C4AF7">
        <w:rPr>
          <w:rFonts w:asciiTheme="majorHAnsi" w:eastAsia="Segoe UI" w:hAnsiTheme="majorHAnsi" w:cs="Segoe UI"/>
          <w:b/>
          <w:bCs/>
          <w:i/>
          <w:color w:val="000000"/>
          <w:sz w:val="22"/>
          <w:szCs w:val="22"/>
          <w:bdr w:val="nil"/>
          <w:shd w:val="clear" w:color="auto" w:fill="FFFFFF"/>
          <w:lang w:val="it-IT" w:eastAsia="de-DE"/>
        </w:rPr>
        <w:t xml:space="preserve"> e sviluppati da Visa per clienti e partner</w:t>
      </w:r>
    </w:p>
    <w:p w14:paraId="0084F8E8" w14:textId="77777777" w:rsidR="00684B32" w:rsidRPr="003172CC" w:rsidRDefault="00684B32" w:rsidP="00684B32">
      <w:pPr>
        <w:pBdr>
          <w:top w:val="nil"/>
          <w:left w:val="nil"/>
          <w:bottom w:val="nil"/>
          <w:right w:val="nil"/>
          <w:between w:val="nil"/>
          <w:bar w:val="nil"/>
        </w:pBdr>
        <w:spacing w:line="276" w:lineRule="auto"/>
        <w:contextualSpacing w:val="0"/>
        <w:rPr>
          <w:rFonts w:asciiTheme="majorHAnsi" w:eastAsia="Segoe UI" w:hAnsiTheme="majorHAnsi" w:cs="Segoe UI"/>
          <w:i/>
          <w:iCs/>
          <w:color w:val="000000"/>
          <w:sz w:val="20"/>
          <w:szCs w:val="20"/>
          <w:bdr w:val="nil"/>
          <w:shd w:val="clear" w:color="auto" w:fill="FFFFFF"/>
          <w:lang w:val="it-IT" w:eastAsia="de-DE"/>
        </w:rPr>
      </w:pPr>
    </w:p>
    <w:p w14:paraId="2D3416B6" w14:textId="61968ED2" w:rsidR="008C4AF7" w:rsidRPr="008C4AF7" w:rsidRDefault="0064726A" w:rsidP="008C4AF7">
      <w:pPr>
        <w:contextualSpacing w:val="0"/>
        <w:jc w:val="both"/>
        <w:rPr>
          <w:rFonts w:asciiTheme="majorHAnsi" w:eastAsia="Quattrocento Sans" w:hAnsiTheme="majorHAnsi" w:cs="Segoe UI"/>
          <w:color w:val="000000"/>
          <w:sz w:val="22"/>
          <w:szCs w:val="22"/>
          <w:lang w:val="it-IT"/>
        </w:rPr>
      </w:pPr>
      <w:proofErr w:type="spellStart"/>
      <w:r>
        <w:rPr>
          <w:rFonts w:asciiTheme="majorHAnsi" w:eastAsia="Quattrocento Sans" w:hAnsiTheme="majorHAnsi" w:cs="Segoe UI"/>
          <w:i/>
          <w:iCs/>
          <w:color w:val="000000"/>
          <w:sz w:val="22"/>
          <w:szCs w:val="22"/>
          <w:lang w:val="it-IT"/>
        </w:rPr>
        <w:t>MIlano</w:t>
      </w:r>
      <w:proofErr w:type="spellEnd"/>
      <w:r w:rsidR="008C4AF7" w:rsidRPr="008C4AF7">
        <w:rPr>
          <w:rFonts w:asciiTheme="majorHAnsi" w:eastAsia="Quattrocento Sans" w:hAnsiTheme="majorHAnsi" w:cs="Segoe UI"/>
          <w:i/>
          <w:iCs/>
          <w:color w:val="000000"/>
          <w:sz w:val="22"/>
          <w:szCs w:val="22"/>
          <w:lang w:val="it-IT"/>
        </w:rPr>
        <w:t xml:space="preserve">, 11 novembre 2021 </w:t>
      </w:r>
      <w:r w:rsidR="008C4AF7" w:rsidRPr="008C4AF7">
        <w:rPr>
          <w:rFonts w:asciiTheme="majorHAnsi" w:eastAsia="Quattrocento Sans" w:hAnsiTheme="majorHAnsi" w:cs="Segoe UI"/>
          <w:color w:val="000000"/>
          <w:sz w:val="22"/>
          <w:szCs w:val="22"/>
          <w:lang w:val="it-IT"/>
        </w:rPr>
        <w:t xml:space="preserve">- </w:t>
      </w:r>
      <w:r w:rsidR="008C4AF7" w:rsidRPr="00C96989">
        <w:rPr>
          <w:rFonts w:asciiTheme="majorHAnsi" w:eastAsia="Quattrocento Sans" w:hAnsiTheme="majorHAnsi" w:cs="Segoe UI"/>
          <w:b/>
          <w:bCs/>
          <w:color w:val="000000"/>
          <w:sz w:val="22"/>
          <w:szCs w:val="22"/>
          <w:lang w:val="it-IT"/>
        </w:rPr>
        <w:t>Visa</w:t>
      </w:r>
      <w:r w:rsidR="008C4AF7" w:rsidRPr="008C4AF7">
        <w:rPr>
          <w:rFonts w:asciiTheme="majorHAnsi" w:eastAsia="Quattrocento Sans" w:hAnsiTheme="majorHAnsi" w:cs="Segoe UI"/>
          <w:color w:val="000000"/>
          <w:sz w:val="22"/>
          <w:szCs w:val="22"/>
          <w:lang w:val="it-IT"/>
        </w:rPr>
        <w:t xml:space="preserve"> (NYSE: V), società leader nelle tecnologie di pagamento a livello globale, ha annunciato il </w:t>
      </w:r>
      <w:r w:rsidR="008C4AF7" w:rsidRPr="00C96989">
        <w:rPr>
          <w:rFonts w:asciiTheme="majorHAnsi" w:eastAsia="Quattrocento Sans" w:hAnsiTheme="majorHAnsi" w:cs="Segoe UI"/>
          <w:b/>
          <w:bCs/>
          <w:color w:val="000000"/>
          <w:sz w:val="22"/>
          <w:szCs w:val="22"/>
          <w:lang w:val="it-IT"/>
        </w:rPr>
        <w:t>lancio di Visa Eco Benefits, un nuovo pacchetto di vantaggi incentrati sulla sostenibilità</w:t>
      </w:r>
      <w:r w:rsidR="008C4AF7" w:rsidRPr="008C4AF7">
        <w:rPr>
          <w:rFonts w:asciiTheme="majorHAnsi" w:eastAsia="Quattrocento Sans" w:hAnsiTheme="majorHAnsi" w:cs="Segoe UI"/>
          <w:color w:val="000000"/>
          <w:sz w:val="22"/>
          <w:szCs w:val="22"/>
          <w:lang w:val="it-IT"/>
        </w:rPr>
        <w:t xml:space="preserve"> e progettato per gli istituti finanziari che emettono carte di pagamento (issuer), in modo da consentire e incoraggiare i propri clienti a impegnarsi in comportamenti di consumo più sostenibile. </w:t>
      </w:r>
      <w:r w:rsidR="008C4AF7" w:rsidRPr="00C96989">
        <w:rPr>
          <w:rFonts w:asciiTheme="majorHAnsi" w:eastAsia="Quattrocento Sans" w:hAnsiTheme="majorHAnsi" w:cs="Segoe UI"/>
          <w:b/>
          <w:bCs/>
          <w:color w:val="000000"/>
          <w:sz w:val="22"/>
          <w:szCs w:val="22"/>
          <w:lang w:val="it-IT"/>
        </w:rPr>
        <w:t>Visa Eco Benefits Bundle sarà disponibile dapprima in Europa</w:t>
      </w:r>
      <w:r w:rsidR="008C4AF7" w:rsidRPr="008C4AF7">
        <w:rPr>
          <w:rFonts w:asciiTheme="majorHAnsi" w:eastAsia="Quattrocento Sans" w:hAnsiTheme="majorHAnsi" w:cs="Segoe UI"/>
          <w:color w:val="000000"/>
          <w:sz w:val="22"/>
          <w:szCs w:val="22"/>
          <w:lang w:val="it-IT"/>
        </w:rPr>
        <w:t xml:space="preserve"> e poi, nel corso del prossimo anno, verrà distribuito a livello globale a partner e clienti Visa. Con questa nuova offerta, Visa continua a giocare un ruolo di primo piano nel guidare il commercio sostenibile e azioni concrete per il clima nel settore dei pagamenti, sostenendo gli obiettivi di clienti e partner che vogliono andare incontro alla crescente domanda di pratiche di consumo sostenibili da parte dei loro clienti. </w:t>
      </w:r>
    </w:p>
    <w:p w14:paraId="425805D4"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p>
    <w:p w14:paraId="45E47B52" w14:textId="225E46D1" w:rsidR="008C4AF7" w:rsidRPr="008C4AF7" w:rsidRDefault="008C4AF7" w:rsidP="008C4AF7">
      <w:p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color w:val="000000"/>
          <w:sz w:val="22"/>
          <w:szCs w:val="22"/>
          <w:lang w:val="it-IT"/>
        </w:rPr>
        <w:t>Il pacchetto Visa Eco Benefits permetterà agli issuer di credenziali Visa di aggiungere ai prodotti di credito e debito Visa esistenti, benefici incentrati sulla sostenibilità in modo da consentire ai titolari di carta di comprendere</w:t>
      </w:r>
      <w:r w:rsidR="003F5CA7">
        <w:rPr>
          <w:rFonts w:asciiTheme="majorHAnsi" w:eastAsia="Quattrocento Sans" w:hAnsiTheme="majorHAnsi" w:cs="Segoe UI"/>
          <w:color w:val="000000"/>
          <w:sz w:val="22"/>
          <w:szCs w:val="22"/>
          <w:lang w:val="it-IT"/>
        </w:rPr>
        <w:t>,</w:t>
      </w:r>
      <w:r w:rsidRPr="008C4AF7">
        <w:rPr>
          <w:rFonts w:asciiTheme="majorHAnsi" w:eastAsia="Quattrocento Sans" w:hAnsiTheme="majorHAnsi" w:cs="Segoe UI"/>
          <w:color w:val="000000"/>
          <w:sz w:val="22"/>
          <w:szCs w:val="22"/>
          <w:lang w:val="it-IT"/>
        </w:rPr>
        <w:t xml:space="preserve"> per esempio</w:t>
      </w:r>
      <w:r w:rsidR="003F5CA7">
        <w:rPr>
          <w:rFonts w:asciiTheme="majorHAnsi" w:eastAsia="Quattrocento Sans" w:hAnsiTheme="majorHAnsi" w:cs="Segoe UI"/>
          <w:color w:val="000000"/>
          <w:sz w:val="22"/>
          <w:szCs w:val="22"/>
          <w:lang w:val="it-IT"/>
        </w:rPr>
        <w:t>,</w:t>
      </w:r>
      <w:r w:rsidRPr="008C4AF7">
        <w:rPr>
          <w:rFonts w:asciiTheme="majorHAnsi" w:eastAsia="Quattrocento Sans" w:hAnsiTheme="majorHAnsi" w:cs="Segoe UI"/>
          <w:color w:val="000000"/>
          <w:sz w:val="22"/>
          <w:szCs w:val="22"/>
          <w:lang w:val="it-IT"/>
        </w:rPr>
        <w:t xml:space="preserve"> l'impatto della loro spesa sull'ambiente, nonché incoraggiare consumi e comportamenti sostenibili. Caratteristiche disponibili al momento del lancio o che verranno implementate nel corso del tempo:  </w:t>
      </w:r>
    </w:p>
    <w:p w14:paraId="695BC271" w14:textId="77777777" w:rsidR="008C4AF7" w:rsidRPr="008C4AF7" w:rsidRDefault="008C4AF7" w:rsidP="008C4AF7">
      <w:pPr>
        <w:contextualSpacing w:val="0"/>
        <w:jc w:val="center"/>
        <w:rPr>
          <w:rFonts w:asciiTheme="majorHAnsi" w:eastAsia="Quattrocento Sans" w:hAnsiTheme="majorHAnsi" w:cs="Segoe UI"/>
          <w:b/>
          <w:color w:val="000000"/>
          <w:sz w:val="22"/>
          <w:szCs w:val="22"/>
          <w:lang w:val="it-IT"/>
        </w:rPr>
      </w:pPr>
    </w:p>
    <w:p w14:paraId="003F5819" w14:textId="133EF788" w:rsidR="008C4AF7" w:rsidRPr="008C4AF7" w:rsidRDefault="008C4AF7" w:rsidP="008C4AF7">
      <w:pPr>
        <w:numPr>
          <w:ilvl w:val="0"/>
          <w:numId w:val="31"/>
        </w:num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b/>
          <w:bCs/>
          <w:color w:val="000000"/>
          <w:sz w:val="22"/>
          <w:szCs w:val="22"/>
          <w:lang w:val="it-IT"/>
        </w:rPr>
        <w:t>Calcolatore dell'impronta di carbonio</w:t>
      </w:r>
      <w:r w:rsidRPr="008C4AF7">
        <w:rPr>
          <w:rFonts w:asciiTheme="majorHAnsi" w:eastAsia="Quattrocento Sans" w:hAnsiTheme="majorHAnsi" w:cs="Segoe UI"/>
          <w:color w:val="000000"/>
          <w:sz w:val="22"/>
          <w:szCs w:val="22"/>
          <w:lang w:val="it-IT"/>
        </w:rPr>
        <w:t xml:space="preserve">: servizi di analisi offerti da </w:t>
      </w:r>
      <w:hyperlink r:id="rId11" w:history="1">
        <w:proofErr w:type="spellStart"/>
        <w:r w:rsidRPr="008C4AF7">
          <w:rPr>
            <w:rFonts w:asciiTheme="majorHAnsi" w:eastAsia="Calibri" w:hAnsiTheme="majorHAnsi" w:cs="Segoe UI"/>
            <w:color w:val="0563C1"/>
            <w:sz w:val="22"/>
            <w:szCs w:val="22"/>
            <w:u w:val="single"/>
            <w:lang w:val="it-IT"/>
          </w:rPr>
          <w:t>ecolytiq</w:t>
        </w:r>
        <w:proofErr w:type="spellEnd"/>
      </w:hyperlink>
      <w:r w:rsidRPr="008C4AF7">
        <w:rPr>
          <w:rFonts w:asciiTheme="majorHAnsi" w:eastAsia="Quattrocento Sans" w:hAnsiTheme="majorHAnsi" w:cs="Segoe UI"/>
          <w:color w:val="000000"/>
          <w:sz w:val="22"/>
          <w:szCs w:val="22"/>
          <w:lang w:val="it-IT"/>
        </w:rPr>
        <w:t xml:space="preserve"> ai titolari di carta di credito sull'impronta di carbonio delle loro abitudini di spesa. Comprende l’assegnazione di un punteggio relativo al proprio impatto sulla temperatura, al fine di aiutare i titolari di carta di credito a capire come le loro scelte di consumo contribuiscano all'obiettivo dell’1,5°C dell'Accordo di Parigi sui Cambiamenti Climatici</w:t>
      </w:r>
    </w:p>
    <w:p w14:paraId="192371E7" w14:textId="77777777" w:rsidR="008C4AF7" w:rsidRPr="008C4AF7" w:rsidRDefault="008C4AF7" w:rsidP="008C4AF7">
      <w:pPr>
        <w:numPr>
          <w:ilvl w:val="0"/>
          <w:numId w:val="31"/>
        </w:num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b/>
          <w:bCs/>
          <w:color w:val="000000"/>
          <w:sz w:val="22"/>
          <w:szCs w:val="22"/>
          <w:lang w:val="it-IT"/>
        </w:rPr>
        <w:t>Compensazioni di carbonio</w:t>
      </w:r>
      <w:r w:rsidRPr="008C4AF7">
        <w:rPr>
          <w:rFonts w:asciiTheme="majorHAnsi" w:eastAsia="Quattrocento Sans" w:hAnsiTheme="majorHAnsi" w:cs="Segoe UI"/>
          <w:color w:val="000000"/>
          <w:sz w:val="22"/>
          <w:szCs w:val="22"/>
          <w:lang w:val="it-IT"/>
        </w:rPr>
        <w:t xml:space="preserve">: possibilità per i clienti di compensare l'impatto delle loro emissioni di gas serra </w:t>
      </w:r>
    </w:p>
    <w:p w14:paraId="7FD574F2" w14:textId="77777777" w:rsidR="008C4AF7" w:rsidRPr="008C4AF7" w:rsidRDefault="008C4AF7" w:rsidP="008C4AF7">
      <w:pPr>
        <w:numPr>
          <w:ilvl w:val="0"/>
          <w:numId w:val="31"/>
        </w:num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b/>
          <w:bCs/>
          <w:color w:val="000000"/>
          <w:sz w:val="22"/>
          <w:szCs w:val="22"/>
          <w:lang w:val="it-IT"/>
        </w:rPr>
        <w:t>Educazione personalizzata dei clienti</w:t>
      </w:r>
      <w:r w:rsidRPr="008C4AF7">
        <w:rPr>
          <w:rFonts w:asciiTheme="majorHAnsi" w:eastAsia="Quattrocento Sans" w:hAnsiTheme="majorHAnsi" w:cs="Segoe UI"/>
          <w:color w:val="000000"/>
          <w:sz w:val="22"/>
          <w:szCs w:val="22"/>
          <w:lang w:val="it-IT"/>
        </w:rPr>
        <w:t xml:space="preserve"> su come incoraggiare un consumo più sostenibile  </w:t>
      </w:r>
    </w:p>
    <w:p w14:paraId="3AF461CE" w14:textId="77777777" w:rsidR="008C4AF7" w:rsidRPr="008C4AF7" w:rsidRDefault="008C4AF7" w:rsidP="008C4AF7">
      <w:pPr>
        <w:numPr>
          <w:ilvl w:val="0"/>
          <w:numId w:val="31"/>
        </w:num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b/>
          <w:bCs/>
          <w:color w:val="000000"/>
          <w:sz w:val="22"/>
          <w:szCs w:val="22"/>
          <w:lang w:val="it-IT"/>
        </w:rPr>
        <w:t>Materiali per carte sostenibili</w:t>
      </w:r>
      <w:r w:rsidRPr="008C4AF7">
        <w:rPr>
          <w:rFonts w:asciiTheme="majorHAnsi" w:eastAsia="Quattrocento Sans" w:hAnsiTheme="majorHAnsi" w:cs="Segoe UI"/>
          <w:color w:val="000000"/>
          <w:sz w:val="22"/>
          <w:szCs w:val="22"/>
          <w:lang w:val="it-IT"/>
        </w:rPr>
        <w:t xml:space="preserve">, compresa una collaborazione con CPI Card Group e le ricevute digitali </w:t>
      </w:r>
    </w:p>
    <w:p w14:paraId="4C58EB7C" w14:textId="77777777" w:rsidR="008C4AF7" w:rsidRPr="008C4AF7" w:rsidRDefault="008C4AF7" w:rsidP="008C4AF7">
      <w:pPr>
        <w:numPr>
          <w:ilvl w:val="0"/>
          <w:numId w:val="31"/>
        </w:num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b/>
          <w:bCs/>
          <w:color w:val="000000"/>
          <w:sz w:val="22"/>
          <w:szCs w:val="22"/>
          <w:lang w:val="it-IT"/>
        </w:rPr>
        <w:lastRenderedPageBreak/>
        <w:t>Donazioni a organizzazioni ambientali</w:t>
      </w:r>
      <w:r w:rsidRPr="008C4AF7">
        <w:rPr>
          <w:rFonts w:asciiTheme="majorHAnsi" w:eastAsia="Quattrocento Sans" w:hAnsiTheme="majorHAnsi" w:cs="Segoe UI"/>
          <w:color w:val="000000"/>
          <w:sz w:val="22"/>
          <w:szCs w:val="22"/>
          <w:lang w:val="it-IT"/>
        </w:rPr>
        <w:t xml:space="preserve"> quando si utilizzano le carte Visa: tra queste One Tree </w:t>
      </w:r>
      <w:proofErr w:type="spellStart"/>
      <w:r w:rsidRPr="008C4AF7">
        <w:rPr>
          <w:rFonts w:asciiTheme="majorHAnsi" w:eastAsia="Quattrocento Sans" w:hAnsiTheme="majorHAnsi" w:cs="Segoe UI"/>
          <w:color w:val="000000"/>
          <w:sz w:val="22"/>
          <w:szCs w:val="22"/>
          <w:lang w:val="it-IT"/>
        </w:rPr>
        <w:t>Planted</w:t>
      </w:r>
      <w:proofErr w:type="spellEnd"/>
      <w:r w:rsidRPr="008C4AF7">
        <w:rPr>
          <w:rFonts w:asciiTheme="majorHAnsi" w:eastAsia="Quattrocento Sans" w:hAnsiTheme="majorHAnsi" w:cs="Segoe UI"/>
          <w:color w:val="000000"/>
          <w:sz w:val="22"/>
          <w:szCs w:val="22"/>
          <w:lang w:val="it-IT"/>
        </w:rPr>
        <w:t xml:space="preserve">, un'organizzazione no-profit che aiuta gli sforzi globali di riforestazione </w:t>
      </w:r>
    </w:p>
    <w:p w14:paraId="0A4ED11D" w14:textId="77777777" w:rsidR="008C4AF7" w:rsidRPr="008C4AF7" w:rsidRDefault="008C4AF7" w:rsidP="008C4AF7">
      <w:pPr>
        <w:numPr>
          <w:ilvl w:val="0"/>
          <w:numId w:val="31"/>
        </w:num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b/>
          <w:bCs/>
          <w:color w:val="000000"/>
          <w:sz w:val="22"/>
          <w:szCs w:val="22"/>
          <w:lang w:val="it-IT"/>
        </w:rPr>
        <w:t xml:space="preserve">Maggiori riconoscimenti </w:t>
      </w:r>
      <w:r w:rsidRPr="008C4AF7">
        <w:rPr>
          <w:rFonts w:asciiTheme="majorHAnsi" w:eastAsia="Quattrocento Sans" w:hAnsiTheme="majorHAnsi" w:cs="Segoe UI"/>
          <w:color w:val="000000"/>
          <w:sz w:val="22"/>
          <w:szCs w:val="22"/>
          <w:lang w:val="it-IT"/>
        </w:rPr>
        <w:t xml:space="preserve">per i comportamenti sostenibili </w:t>
      </w:r>
    </w:p>
    <w:p w14:paraId="0CB8E994"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p>
    <w:p w14:paraId="2CE59468" w14:textId="77777777" w:rsidR="008C4AF7" w:rsidRPr="008C4AF7" w:rsidRDefault="008C4AF7" w:rsidP="008C4AF7">
      <w:pPr>
        <w:contextualSpacing w:val="0"/>
        <w:jc w:val="both"/>
        <w:rPr>
          <w:rFonts w:asciiTheme="majorHAnsi" w:eastAsia="Quattrocento Sans" w:hAnsiTheme="majorHAnsi" w:cs="Segoe UI"/>
          <w:i/>
          <w:iCs/>
          <w:color w:val="000000"/>
          <w:sz w:val="22"/>
          <w:szCs w:val="22"/>
          <w:lang w:val="it-IT"/>
        </w:rPr>
      </w:pPr>
      <w:r w:rsidRPr="008C4AF7">
        <w:rPr>
          <w:rFonts w:asciiTheme="majorHAnsi" w:eastAsia="Quattrocento Sans" w:hAnsiTheme="majorHAnsi" w:cs="Segoe UI"/>
          <w:i/>
          <w:iCs/>
          <w:color w:val="000000"/>
          <w:sz w:val="22"/>
          <w:szCs w:val="22"/>
          <w:lang w:val="it-IT"/>
        </w:rPr>
        <w:t>"In Visa siamo consapevoli dell'urgenza del cambiamento climatico e siamo impegnati in una nuova era di crescita economica sostenibile e inclusiva"</w:t>
      </w:r>
      <w:r w:rsidRPr="008C4AF7">
        <w:rPr>
          <w:rFonts w:asciiTheme="majorHAnsi" w:eastAsia="Quattrocento Sans" w:hAnsiTheme="majorHAnsi" w:cs="Segoe UI"/>
          <w:color w:val="000000"/>
          <w:sz w:val="22"/>
          <w:szCs w:val="22"/>
          <w:lang w:val="it-IT"/>
        </w:rPr>
        <w:t xml:space="preserve">, ha commentato </w:t>
      </w:r>
      <w:r w:rsidRPr="008C4AF7">
        <w:rPr>
          <w:rFonts w:asciiTheme="majorHAnsi" w:eastAsia="Quattrocento Sans" w:hAnsiTheme="majorHAnsi" w:cs="Segoe UI"/>
          <w:b/>
          <w:bCs/>
          <w:color w:val="000000"/>
          <w:sz w:val="22"/>
          <w:szCs w:val="22"/>
          <w:lang w:val="it-IT"/>
        </w:rPr>
        <w:t>Charlotte Hogg</w:t>
      </w:r>
      <w:r w:rsidRPr="008C4AF7">
        <w:rPr>
          <w:rFonts w:asciiTheme="majorHAnsi" w:eastAsia="Quattrocento Sans" w:hAnsiTheme="majorHAnsi" w:cs="Segoe UI"/>
          <w:color w:val="000000"/>
          <w:sz w:val="22"/>
          <w:szCs w:val="22"/>
          <w:lang w:val="it-IT"/>
        </w:rPr>
        <w:t xml:space="preserve">, EVP e </w:t>
      </w:r>
      <w:proofErr w:type="spellStart"/>
      <w:r w:rsidRPr="008C4AF7">
        <w:rPr>
          <w:rFonts w:asciiTheme="majorHAnsi" w:eastAsia="Quattrocento Sans" w:hAnsiTheme="majorHAnsi" w:cs="Segoe UI"/>
          <w:color w:val="000000"/>
          <w:sz w:val="22"/>
          <w:szCs w:val="22"/>
          <w:lang w:val="it-IT"/>
        </w:rPr>
        <w:t>Chief</w:t>
      </w:r>
      <w:proofErr w:type="spellEnd"/>
      <w:r w:rsidRPr="008C4AF7">
        <w:rPr>
          <w:rFonts w:asciiTheme="majorHAnsi" w:eastAsia="Quattrocento Sans" w:hAnsiTheme="majorHAnsi" w:cs="Segoe UI"/>
          <w:color w:val="000000"/>
          <w:sz w:val="22"/>
          <w:szCs w:val="22"/>
          <w:lang w:val="it-IT"/>
        </w:rPr>
        <w:t xml:space="preserve"> Executive </w:t>
      </w:r>
      <w:proofErr w:type="spellStart"/>
      <w:r w:rsidRPr="008C4AF7">
        <w:rPr>
          <w:rFonts w:asciiTheme="majorHAnsi" w:eastAsia="Quattrocento Sans" w:hAnsiTheme="majorHAnsi" w:cs="Segoe UI"/>
          <w:color w:val="000000"/>
          <w:sz w:val="22"/>
          <w:szCs w:val="22"/>
          <w:lang w:val="it-IT"/>
        </w:rPr>
        <w:t>Officer</w:t>
      </w:r>
      <w:proofErr w:type="spellEnd"/>
      <w:r w:rsidRPr="008C4AF7">
        <w:rPr>
          <w:rFonts w:asciiTheme="majorHAnsi" w:eastAsia="Quattrocento Sans" w:hAnsiTheme="majorHAnsi" w:cs="Segoe UI"/>
          <w:color w:val="000000"/>
          <w:sz w:val="22"/>
          <w:szCs w:val="22"/>
          <w:lang w:val="it-IT"/>
        </w:rPr>
        <w:t xml:space="preserve"> di Visa Europe. </w:t>
      </w:r>
      <w:r w:rsidRPr="008C4AF7">
        <w:rPr>
          <w:rFonts w:asciiTheme="majorHAnsi" w:eastAsia="Quattrocento Sans" w:hAnsiTheme="majorHAnsi" w:cs="Segoe UI"/>
          <w:i/>
          <w:iCs/>
          <w:color w:val="000000"/>
          <w:sz w:val="22"/>
          <w:szCs w:val="22"/>
          <w:lang w:val="it-IT"/>
        </w:rPr>
        <w:t>"Come motore del commercio globale, abbiamo l'opportunità di lavorare con clienti e partner in tutto il mondo per integrare la sostenibilità nell'ecosistema dei pagamenti e sostenere le scelte dei consumatori e delle imprese durante la transizione."</w:t>
      </w:r>
    </w:p>
    <w:p w14:paraId="7E7B11C0"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p>
    <w:p w14:paraId="5264E6E3"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color w:val="000000"/>
          <w:sz w:val="22"/>
          <w:szCs w:val="22"/>
          <w:lang w:val="it-IT"/>
        </w:rPr>
        <w:t xml:space="preserve">Secondo un </w:t>
      </w:r>
      <w:hyperlink r:id="rId12" w:history="1">
        <w:r w:rsidRPr="008C4AF7">
          <w:rPr>
            <w:rFonts w:asciiTheme="majorHAnsi" w:eastAsia="Quattrocento Sans" w:hAnsiTheme="majorHAnsi" w:cs="Segoe UI"/>
            <w:color w:val="0563C1"/>
            <w:sz w:val="22"/>
            <w:szCs w:val="22"/>
            <w:u w:val="single"/>
            <w:lang w:val="it-IT"/>
          </w:rPr>
          <w:t xml:space="preserve">recente studio di </w:t>
        </w:r>
        <w:proofErr w:type="spellStart"/>
        <w:r w:rsidRPr="008C4AF7">
          <w:rPr>
            <w:rFonts w:asciiTheme="majorHAnsi" w:eastAsia="Quattrocento Sans" w:hAnsiTheme="majorHAnsi" w:cs="Segoe UI"/>
            <w:color w:val="0563C1"/>
            <w:sz w:val="22"/>
            <w:szCs w:val="22"/>
            <w:u w:val="single"/>
            <w:lang w:val="it-IT"/>
          </w:rPr>
          <w:t>GlobeScan</w:t>
        </w:r>
        <w:proofErr w:type="spellEnd"/>
      </w:hyperlink>
      <w:r w:rsidRPr="008C4AF7">
        <w:rPr>
          <w:rFonts w:asciiTheme="majorHAnsi" w:eastAsia="Quattrocento Sans" w:hAnsiTheme="majorHAnsi" w:cs="Segoe UI"/>
          <w:color w:val="000000"/>
          <w:sz w:val="22"/>
          <w:szCs w:val="22"/>
          <w:lang w:val="it-IT"/>
        </w:rPr>
        <w:t xml:space="preserve"> su 31.000 persone in 31 mercati, i consumatori di tutto il mondo continuano ad avere grandi ambizioni per una vita sostenibile. Secondo una ricerca sui titolari di carta Visa, queste aspirazioni per una vita sostenibile si estendono al settore bancario e ai pagamenti. Per esempio, la maggior parte dei titolari di carta statunitensi intervistati ha confermato che la sostenibilità è importante per loro, con il 62% che dichiara molto probabile o abbastanza probabile la richiesta di una carta di pagamento sostenibile e </w:t>
      </w:r>
      <w:proofErr w:type="gramStart"/>
      <w:r w:rsidRPr="008C4AF7">
        <w:rPr>
          <w:rFonts w:asciiTheme="majorHAnsi" w:eastAsia="Quattrocento Sans" w:hAnsiTheme="majorHAnsi" w:cs="Segoe UI"/>
          <w:color w:val="000000"/>
          <w:sz w:val="22"/>
          <w:szCs w:val="22"/>
          <w:lang w:val="it-IT"/>
        </w:rPr>
        <w:t>trend ancora più alti</w:t>
      </w:r>
      <w:proofErr w:type="gramEnd"/>
      <w:r w:rsidRPr="008C4AF7">
        <w:rPr>
          <w:rFonts w:asciiTheme="majorHAnsi" w:eastAsia="Quattrocento Sans" w:hAnsiTheme="majorHAnsi" w:cs="Segoe UI"/>
          <w:color w:val="000000"/>
          <w:sz w:val="22"/>
          <w:szCs w:val="22"/>
          <w:lang w:val="it-IT"/>
        </w:rPr>
        <w:t xml:space="preserve"> da parte dei millennial. In Europa, i titolari di carta hanno classificato le funzionalità legate alla sostenibilità come le più importanti nella scelta della loro prossima carta di pagamento, dopo i benefici tradizionali quali la protezione dalle frodi e l'accettazione. </w:t>
      </w:r>
    </w:p>
    <w:p w14:paraId="03FA814A"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p>
    <w:p w14:paraId="3C3E99CC"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color w:val="000000"/>
          <w:sz w:val="22"/>
          <w:szCs w:val="22"/>
          <w:lang w:val="it-IT"/>
        </w:rPr>
        <w:t xml:space="preserve">Il pacchetto Visa Eco Benefits è l’ultimo tassello dell'impegno globale di Visa quale società che impatta positivamente sul clima, utilizzando i propri prodotti, servizi, dati, rete e brand per guidare un commercio sostenibile e sostenere la transizione verso un'economia a basse emissioni di carbonio. All'inizio di quest'anno, </w:t>
      </w:r>
      <w:hyperlink r:id="rId13" w:history="1">
        <w:r w:rsidRPr="008C4AF7">
          <w:rPr>
            <w:rFonts w:asciiTheme="majorHAnsi" w:eastAsia="Calibri" w:hAnsiTheme="majorHAnsi" w:cs="Segoe UI"/>
            <w:color w:val="0563C1"/>
            <w:sz w:val="22"/>
            <w:szCs w:val="22"/>
            <w:u w:val="single"/>
            <w:lang w:val="it-IT"/>
          </w:rPr>
          <w:t>Visa ha annunciato l’impegno a raggiungere emissioni nette zero entro il 2040</w:t>
        </w:r>
      </w:hyperlink>
      <w:r w:rsidRPr="008C4AF7">
        <w:rPr>
          <w:rFonts w:asciiTheme="majorHAnsi" w:eastAsia="Quattrocento Sans" w:hAnsiTheme="majorHAnsi" w:cs="Segoe UI"/>
          <w:color w:val="000000"/>
          <w:sz w:val="22"/>
          <w:szCs w:val="22"/>
          <w:lang w:val="it-IT"/>
        </w:rPr>
        <w:t xml:space="preserve">, dieci anni prima dell'obiettivo definito dall'Accordo di Parigi sul Clima. </w:t>
      </w:r>
    </w:p>
    <w:p w14:paraId="489EFD80"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p>
    <w:p w14:paraId="167001E7"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i/>
          <w:iCs/>
          <w:color w:val="000000"/>
          <w:sz w:val="22"/>
          <w:szCs w:val="22"/>
          <w:lang w:val="it-IT"/>
        </w:rPr>
        <w:t>"La sostenibilità è la sfida del nostro tempo, ma anche una delle più grandi opportunità per l'industria finanziaria",</w:t>
      </w:r>
      <w:r w:rsidRPr="008C4AF7">
        <w:rPr>
          <w:rFonts w:asciiTheme="majorHAnsi" w:eastAsia="Quattrocento Sans" w:hAnsiTheme="majorHAnsi" w:cs="Segoe UI"/>
          <w:color w:val="000000"/>
          <w:sz w:val="22"/>
          <w:szCs w:val="22"/>
          <w:lang w:val="it-IT"/>
        </w:rPr>
        <w:t xml:space="preserve"> ha detto </w:t>
      </w:r>
      <w:r w:rsidRPr="008C4AF7">
        <w:rPr>
          <w:rFonts w:asciiTheme="majorHAnsi" w:eastAsia="Quattrocento Sans" w:hAnsiTheme="majorHAnsi" w:cs="Segoe UI"/>
          <w:b/>
          <w:bCs/>
          <w:color w:val="000000"/>
          <w:sz w:val="22"/>
          <w:szCs w:val="22"/>
          <w:lang w:val="it-IT"/>
        </w:rPr>
        <w:t xml:space="preserve">Ulrich </w:t>
      </w:r>
      <w:proofErr w:type="spellStart"/>
      <w:r w:rsidRPr="008C4AF7">
        <w:rPr>
          <w:rFonts w:asciiTheme="majorHAnsi" w:eastAsia="Quattrocento Sans" w:hAnsiTheme="majorHAnsi" w:cs="Segoe UI"/>
          <w:b/>
          <w:bCs/>
          <w:color w:val="000000"/>
          <w:sz w:val="22"/>
          <w:szCs w:val="22"/>
          <w:lang w:val="it-IT"/>
        </w:rPr>
        <w:t>Pietsch</w:t>
      </w:r>
      <w:proofErr w:type="spellEnd"/>
      <w:r w:rsidRPr="008C4AF7">
        <w:rPr>
          <w:rFonts w:asciiTheme="majorHAnsi" w:eastAsia="Quattrocento Sans" w:hAnsiTheme="majorHAnsi" w:cs="Segoe UI"/>
          <w:color w:val="000000"/>
          <w:sz w:val="22"/>
          <w:szCs w:val="22"/>
          <w:lang w:val="it-IT"/>
        </w:rPr>
        <w:t xml:space="preserve">, co-fondatore e amministratore delegato di </w:t>
      </w:r>
      <w:proofErr w:type="spellStart"/>
      <w:r w:rsidRPr="008C4AF7">
        <w:rPr>
          <w:rFonts w:asciiTheme="majorHAnsi" w:eastAsia="Quattrocento Sans" w:hAnsiTheme="majorHAnsi" w:cs="Segoe UI"/>
          <w:color w:val="000000"/>
          <w:sz w:val="22"/>
          <w:szCs w:val="22"/>
          <w:lang w:val="it-IT"/>
        </w:rPr>
        <w:t>ecolytiq</w:t>
      </w:r>
      <w:proofErr w:type="spellEnd"/>
      <w:r w:rsidRPr="008C4AF7">
        <w:rPr>
          <w:rFonts w:asciiTheme="majorHAnsi" w:eastAsia="Quattrocento Sans" w:hAnsiTheme="majorHAnsi" w:cs="Segoe UI"/>
          <w:color w:val="000000"/>
          <w:sz w:val="22"/>
          <w:szCs w:val="22"/>
          <w:lang w:val="it-IT"/>
        </w:rPr>
        <w:t xml:space="preserve">. </w:t>
      </w:r>
      <w:r w:rsidRPr="008C4AF7">
        <w:rPr>
          <w:rFonts w:asciiTheme="majorHAnsi" w:eastAsia="Quattrocento Sans" w:hAnsiTheme="majorHAnsi" w:cs="Segoe UI"/>
          <w:i/>
          <w:iCs/>
          <w:color w:val="000000"/>
          <w:sz w:val="22"/>
          <w:szCs w:val="22"/>
          <w:lang w:val="it-IT"/>
        </w:rPr>
        <w:t>"Equipaggiato con gli strumenti giusti come il pacchetto Visa Eco Benefits, il settore finanziario diventa la forza trainante per il cambiamento, educando milioni di consumatori sul proprio impatto e mettendoli in grado di intraprendere azioni efficaci per costruire il futuro sostenibile che tutti noi meritiamo."</w:t>
      </w:r>
    </w:p>
    <w:p w14:paraId="6205ABB2"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p>
    <w:p w14:paraId="0E98AF06"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color w:val="000000"/>
          <w:sz w:val="22"/>
          <w:szCs w:val="22"/>
          <w:lang w:val="it-IT"/>
        </w:rPr>
        <w:t xml:space="preserve">Il pacchetto Eco Benefits di Visa è l'ultima pietra miliare nella leadership sulla sostenibilità di Visa. I riconoscimenti della società comprendono l'inclusione nei seguenti indici: Dow Jones </w:t>
      </w:r>
      <w:proofErr w:type="spellStart"/>
      <w:r w:rsidRPr="008C4AF7">
        <w:rPr>
          <w:rFonts w:asciiTheme="majorHAnsi" w:eastAsia="Quattrocento Sans" w:hAnsiTheme="majorHAnsi" w:cs="Segoe UI"/>
          <w:color w:val="000000"/>
          <w:sz w:val="22"/>
          <w:szCs w:val="22"/>
          <w:lang w:val="it-IT"/>
        </w:rPr>
        <w:t>Sustainability</w:t>
      </w:r>
      <w:proofErr w:type="spellEnd"/>
      <w:r w:rsidRPr="008C4AF7">
        <w:rPr>
          <w:rFonts w:asciiTheme="majorHAnsi" w:eastAsia="Quattrocento Sans" w:hAnsiTheme="majorHAnsi" w:cs="Segoe UI"/>
          <w:color w:val="000000"/>
          <w:sz w:val="22"/>
          <w:szCs w:val="22"/>
          <w:lang w:val="it-IT"/>
        </w:rPr>
        <w:t xml:space="preserve"> North American Index, </w:t>
      </w:r>
      <w:proofErr w:type="spellStart"/>
      <w:r w:rsidRPr="008C4AF7">
        <w:rPr>
          <w:rFonts w:asciiTheme="majorHAnsi" w:eastAsia="Quattrocento Sans" w:hAnsiTheme="majorHAnsi" w:cs="Segoe UI"/>
          <w:color w:val="000000"/>
          <w:sz w:val="22"/>
          <w:szCs w:val="22"/>
          <w:lang w:val="it-IT"/>
        </w:rPr>
        <w:t>America's</w:t>
      </w:r>
      <w:proofErr w:type="spellEnd"/>
      <w:r w:rsidRPr="008C4AF7">
        <w:rPr>
          <w:rFonts w:asciiTheme="majorHAnsi" w:eastAsia="Quattrocento Sans" w:hAnsiTheme="majorHAnsi" w:cs="Segoe UI"/>
          <w:color w:val="000000"/>
          <w:sz w:val="22"/>
          <w:szCs w:val="22"/>
          <w:lang w:val="it-IT"/>
        </w:rPr>
        <w:t xml:space="preserve"> </w:t>
      </w:r>
      <w:proofErr w:type="spellStart"/>
      <w:r w:rsidRPr="008C4AF7">
        <w:rPr>
          <w:rFonts w:asciiTheme="majorHAnsi" w:eastAsia="Quattrocento Sans" w:hAnsiTheme="majorHAnsi" w:cs="Segoe UI"/>
          <w:color w:val="000000"/>
          <w:sz w:val="22"/>
          <w:szCs w:val="22"/>
          <w:lang w:val="it-IT"/>
        </w:rPr>
        <w:t>Most</w:t>
      </w:r>
      <w:proofErr w:type="spellEnd"/>
      <w:r w:rsidRPr="008C4AF7">
        <w:rPr>
          <w:rFonts w:asciiTheme="majorHAnsi" w:eastAsia="Quattrocento Sans" w:hAnsiTheme="majorHAnsi" w:cs="Segoe UI"/>
          <w:color w:val="000000"/>
          <w:sz w:val="22"/>
          <w:szCs w:val="22"/>
          <w:lang w:val="it-IT"/>
        </w:rPr>
        <w:t xml:space="preserve"> Responsible Companies e </w:t>
      </w:r>
      <w:proofErr w:type="gramStart"/>
      <w:r w:rsidRPr="008C4AF7">
        <w:rPr>
          <w:rFonts w:asciiTheme="majorHAnsi" w:eastAsia="Quattrocento Sans" w:hAnsiTheme="majorHAnsi" w:cs="Segoe UI"/>
          <w:color w:val="000000"/>
          <w:sz w:val="22"/>
          <w:szCs w:val="22"/>
          <w:lang w:val="it-IT"/>
        </w:rPr>
        <w:t>100</w:t>
      </w:r>
      <w:proofErr w:type="gramEnd"/>
      <w:r w:rsidRPr="008C4AF7">
        <w:rPr>
          <w:rFonts w:asciiTheme="majorHAnsi" w:eastAsia="Quattrocento Sans" w:hAnsiTheme="majorHAnsi" w:cs="Segoe UI"/>
          <w:color w:val="000000"/>
          <w:sz w:val="22"/>
          <w:szCs w:val="22"/>
          <w:lang w:val="it-IT"/>
        </w:rPr>
        <w:t xml:space="preserve"> </w:t>
      </w:r>
      <w:proofErr w:type="spellStart"/>
      <w:r w:rsidRPr="008C4AF7">
        <w:rPr>
          <w:rFonts w:asciiTheme="majorHAnsi" w:eastAsia="Quattrocento Sans" w:hAnsiTheme="majorHAnsi" w:cs="Segoe UI"/>
          <w:color w:val="000000"/>
          <w:sz w:val="22"/>
          <w:szCs w:val="22"/>
          <w:lang w:val="it-IT"/>
        </w:rPr>
        <w:t>Most</w:t>
      </w:r>
      <w:proofErr w:type="spellEnd"/>
      <w:r w:rsidRPr="008C4AF7">
        <w:rPr>
          <w:rFonts w:asciiTheme="majorHAnsi" w:eastAsia="Quattrocento Sans" w:hAnsiTheme="majorHAnsi" w:cs="Segoe UI"/>
          <w:color w:val="000000"/>
          <w:sz w:val="22"/>
          <w:szCs w:val="22"/>
          <w:lang w:val="it-IT"/>
        </w:rPr>
        <w:t xml:space="preserve"> Just Companies. </w:t>
      </w:r>
    </w:p>
    <w:p w14:paraId="127F271D"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p>
    <w:p w14:paraId="330C4446" w14:textId="77777777" w:rsidR="008C4AF7" w:rsidRPr="008C4AF7" w:rsidRDefault="008C4AF7" w:rsidP="008C4AF7">
      <w:pPr>
        <w:contextualSpacing w:val="0"/>
        <w:jc w:val="both"/>
        <w:rPr>
          <w:rFonts w:asciiTheme="majorHAnsi" w:eastAsia="Quattrocento Sans" w:hAnsiTheme="majorHAnsi" w:cs="Segoe UI"/>
          <w:color w:val="000000"/>
          <w:sz w:val="22"/>
          <w:szCs w:val="22"/>
          <w:lang w:val="it-IT"/>
        </w:rPr>
      </w:pPr>
      <w:r w:rsidRPr="008C4AF7">
        <w:rPr>
          <w:rFonts w:asciiTheme="majorHAnsi" w:eastAsia="Quattrocento Sans" w:hAnsiTheme="majorHAnsi" w:cs="Segoe UI"/>
          <w:color w:val="000000"/>
          <w:sz w:val="22"/>
          <w:szCs w:val="22"/>
          <w:lang w:val="it-IT"/>
        </w:rPr>
        <w:t xml:space="preserve">Per ulteriori informazioni sull'impegno di Visa nella sostenibilità, si prega di visitare: </w:t>
      </w:r>
      <w:r w:rsidR="00C76241">
        <w:fldChar w:fldCharType="begin"/>
      </w:r>
      <w:r w:rsidR="00C76241" w:rsidRPr="00C76241">
        <w:rPr>
          <w:lang w:val="it-IT"/>
        </w:rPr>
        <w:instrText xml:space="preserve"> HYPERLINK "https://usa.visa.com/about-visa/esg.html" </w:instrText>
      </w:r>
      <w:r w:rsidR="00C76241">
        <w:fldChar w:fldCharType="separate"/>
      </w:r>
      <w:r w:rsidRPr="008C4AF7">
        <w:rPr>
          <w:rFonts w:asciiTheme="majorHAnsi" w:eastAsia="Calibri" w:hAnsiTheme="majorHAnsi" w:cs="Segoe UI"/>
          <w:color w:val="0563C1"/>
          <w:sz w:val="22"/>
          <w:szCs w:val="22"/>
          <w:u w:val="single"/>
          <w:lang w:val="it-IT"/>
        </w:rPr>
        <w:t>visa.com/ESG</w:t>
      </w:r>
      <w:r w:rsidR="00C76241">
        <w:rPr>
          <w:rFonts w:asciiTheme="majorHAnsi" w:eastAsia="Calibri" w:hAnsiTheme="majorHAnsi" w:cs="Segoe UI"/>
          <w:color w:val="0563C1"/>
          <w:sz w:val="22"/>
          <w:szCs w:val="22"/>
          <w:u w:val="single"/>
          <w:lang w:val="it-IT"/>
        </w:rPr>
        <w:fldChar w:fldCharType="end"/>
      </w:r>
      <w:r w:rsidRPr="008C4AF7">
        <w:rPr>
          <w:rFonts w:asciiTheme="majorHAnsi" w:eastAsia="Quattrocento Sans" w:hAnsiTheme="majorHAnsi" w:cs="Segoe UI"/>
          <w:color w:val="000000"/>
          <w:sz w:val="22"/>
          <w:szCs w:val="22"/>
          <w:lang w:val="it-IT"/>
        </w:rPr>
        <w:t xml:space="preserve">.  </w:t>
      </w:r>
    </w:p>
    <w:p w14:paraId="722D96E5" w14:textId="77777777" w:rsidR="007E436D" w:rsidRPr="003172CC" w:rsidRDefault="007E436D" w:rsidP="00684B32">
      <w:pPr>
        <w:contextualSpacing w:val="0"/>
        <w:jc w:val="both"/>
        <w:rPr>
          <w:rFonts w:asciiTheme="majorHAnsi" w:eastAsia="Quattrocento Sans" w:hAnsiTheme="majorHAnsi" w:cs="Segoe UI"/>
          <w:b/>
          <w:sz w:val="20"/>
          <w:szCs w:val="20"/>
          <w:lang w:val="it-IT"/>
        </w:rPr>
      </w:pPr>
    </w:p>
    <w:p w14:paraId="15CEAAE0" w14:textId="53C9105E" w:rsidR="0085250A" w:rsidRPr="0085250A" w:rsidRDefault="0085250A" w:rsidP="0085250A">
      <w:pPr>
        <w:jc w:val="center"/>
        <w:rPr>
          <w:rFonts w:ascii="Segoe UI" w:eastAsia="Quattrocento Sans" w:hAnsi="Segoe UI" w:cs="Segoe UI"/>
          <w:color w:val="000000"/>
          <w:sz w:val="22"/>
          <w:szCs w:val="22"/>
          <w:lang w:val="it-IT"/>
        </w:rPr>
      </w:pPr>
      <w:r>
        <w:rPr>
          <w:rFonts w:ascii="Segoe UI" w:eastAsia="Quattrocento Sans" w:hAnsi="Segoe UI" w:cs="Segoe UI"/>
          <w:color w:val="000000"/>
          <w:sz w:val="22"/>
          <w:szCs w:val="22"/>
          <w:lang w:val="it-IT"/>
        </w:rPr>
        <w:t>**********</w:t>
      </w:r>
    </w:p>
    <w:p w14:paraId="14816281" w14:textId="7A767EBC" w:rsidR="00684B32" w:rsidRPr="003172CC" w:rsidRDefault="00684B32" w:rsidP="00684B32">
      <w:pPr>
        <w:contextualSpacing w:val="0"/>
        <w:jc w:val="both"/>
        <w:rPr>
          <w:rFonts w:asciiTheme="majorHAnsi" w:eastAsia="Segoe UI" w:hAnsiTheme="majorHAnsi" w:cs="Segoe UI"/>
          <w:color w:val="000000"/>
          <w:sz w:val="22"/>
          <w:szCs w:val="22"/>
          <w:lang w:val="it-IT"/>
        </w:rPr>
      </w:pPr>
      <w:r w:rsidRPr="003172CC">
        <w:rPr>
          <w:rFonts w:asciiTheme="majorHAnsi" w:eastAsia="Quattrocento Sans" w:hAnsiTheme="majorHAnsi" w:cs="Segoe UI"/>
          <w:b/>
          <w:sz w:val="20"/>
          <w:szCs w:val="20"/>
          <w:lang w:val="it-IT"/>
        </w:rPr>
        <w:t>Visa</w:t>
      </w:r>
    </w:p>
    <w:p w14:paraId="42AC9F2C" w14:textId="77777777" w:rsidR="00684B32" w:rsidRPr="003172CC" w:rsidRDefault="00684B32" w:rsidP="00684B32">
      <w:pPr>
        <w:ind w:right="-46"/>
        <w:contextualSpacing w:val="0"/>
        <w:jc w:val="both"/>
        <w:rPr>
          <w:rFonts w:asciiTheme="majorHAnsi" w:eastAsia="Calibri" w:hAnsiTheme="majorHAnsi" w:cs="Segoe UI"/>
          <w:sz w:val="20"/>
          <w:szCs w:val="20"/>
          <w:lang w:val="it-IT"/>
        </w:rPr>
      </w:pPr>
      <w:r w:rsidRPr="003172CC">
        <w:rPr>
          <w:rFonts w:asciiTheme="majorHAnsi" w:eastAsia="Quattrocento Sans" w:hAnsiTheme="majorHAnsi" w:cs="Segoe UI"/>
          <w:sz w:val="20"/>
          <w:szCs w:val="20"/>
          <w:lang w:val="it-IT"/>
        </w:rPr>
        <w:t xml:space="preserve">Visa Inc. (NYSE: V) è leader mondiale nei pagamenti digitali. La nostra missione è quella di connettere il mondo attraverso una rete di pagamento innovativa, affidabile e sicura, che consenta a privati, aziende ed economie di </w:t>
      </w:r>
      <w:r w:rsidRPr="003172CC">
        <w:rPr>
          <w:rFonts w:asciiTheme="majorHAnsi" w:eastAsia="Quattrocento Sans" w:hAnsiTheme="majorHAnsi" w:cs="Segoe UI"/>
          <w:sz w:val="20"/>
          <w:szCs w:val="20"/>
          <w:lang w:val="it-IT"/>
        </w:rPr>
        <w:lastRenderedPageBreak/>
        <w:t xml:space="preserve">prosperare. Il nostro avanzato sistema di elaborazione globale, </w:t>
      </w:r>
      <w:proofErr w:type="spellStart"/>
      <w:r w:rsidRPr="003172CC">
        <w:rPr>
          <w:rFonts w:asciiTheme="majorHAnsi" w:eastAsia="Quattrocento Sans" w:hAnsiTheme="majorHAnsi" w:cs="Segoe UI"/>
          <w:sz w:val="20"/>
          <w:szCs w:val="20"/>
          <w:lang w:val="it-IT"/>
        </w:rPr>
        <w:t>VisaNet</w:t>
      </w:r>
      <w:proofErr w:type="spellEnd"/>
      <w:r w:rsidRPr="003172CC">
        <w:rPr>
          <w:rFonts w:asciiTheme="majorHAnsi" w:eastAsia="Quattrocento Sans" w:hAnsiTheme="majorHAnsi" w:cs="Segoe UI"/>
          <w:sz w:val="20"/>
          <w:szCs w:val="20"/>
          <w:lang w:val="it-IT"/>
        </w:rPr>
        <w:t xml:space="preserve">, fornisce pagamenti sicuri e affidabili in tutto il mondo ed è in grado di gestire oltre 65.000 messaggi di transazione al secondo. L'attenzione incessante dell'azienda verso l'innovazione è un catalizzatore per la rapida crescita del commercio connesso su qualsiasi tipo di </w:t>
      </w:r>
      <w:proofErr w:type="gramStart"/>
      <w:r w:rsidRPr="003172CC">
        <w:rPr>
          <w:rFonts w:asciiTheme="majorHAnsi" w:eastAsia="Quattrocento Sans" w:hAnsiTheme="majorHAnsi" w:cs="Segoe UI"/>
          <w:sz w:val="20"/>
          <w:szCs w:val="20"/>
          <w:lang w:val="it-IT"/>
        </w:rPr>
        <w:t>device</w:t>
      </w:r>
      <w:proofErr w:type="gramEnd"/>
      <w:r w:rsidRPr="003172CC">
        <w:rPr>
          <w:rFonts w:asciiTheme="majorHAnsi" w:eastAsia="Quattrocento Sans" w:hAnsiTheme="majorHAnsi" w:cs="Segoe UI"/>
          <w:sz w:val="20"/>
          <w:szCs w:val="20"/>
          <w:lang w:val="it-IT"/>
        </w:rPr>
        <w:t xml:space="preserve"> per tutti, ovunque. Mentre il mondo si muove dall'analogico al digitale, Visa sta dedicando il </w:t>
      </w:r>
      <w:proofErr w:type="gramStart"/>
      <w:r w:rsidRPr="003172CC">
        <w:rPr>
          <w:rFonts w:asciiTheme="majorHAnsi" w:eastAsia="Quattrocento Sans" w:hAnsiTheme="majorHAnsi" w:cs="Segoe UI"/>
          <w:sz w:val="20"/>
          <w:szCs w:val="20"/>
          <w:lang w:val="it-IT"/>
        </w:rPr>
        <w:t>brand</w:t>
      </w:r>
      <w:proofErr w:type="gramEnd"/>
      <w:r w:rsidRPr="003172CC">
        <w:rPr>
          <w:rFonts w:asciiTheme="majorHAnsi" w:eastAsia="Quattrocento Sans" w:hAnsiTheme="majorHAnsi" w:cs="Segoe UI"/>
          <w:sz w:val="20"/>
          <w:szCs w:val="20"/>
          <w:lang w:val="it-IT"/>
        </w:rPr>
        <w:t xml:space="preserve">, i prodotti, le persone, la rete e le dimensioni per rimodellare il futuro del commercio. Per maggiori informazioni, visita </w:t>
      </w:r>
      <w:hyperlink r:id="rId14" w:history="1">
        <w:r w:rsidRPr="003172CC">
          <w:rPr>
            <w:rFonts w:asciiTheme="majorHAnsi" w:eastAsia="Quattrocento Sans" w:hAnsiTheme="majorHAnsi" w:cs="Segoe UI"/>
            <w:color w:val="0000FF"/>
            <w:sz w:val="20"/>
            <w:szCs w:val="20"/>
            <w:u w:val="single"/>
            <w:lang w:val="it-IT"/>
          </w:rPr>
          <w:t>https://www.visaitalia.com/</w:t>
        </w:r>
      </w:hyperlink>
      <w:r w:rsidRPr="003172CC">
        <w:rPr>
          <w:rFonts w:asciiTheme="majorHAnsi" w:eastAsia="Quattrocento Sans" w:hAnsiTheme="majorHAnsi" w:cs="Segoe UI"/>
          <w:sz w:val="20"/>
          <w:szCs w:val="20"/>
          <w:lang w:val="it-IT"/>
        </w:rPr>
        <w:t xml:space="preserve"> e seguici su Twitter </w:t>
      </w:r>
      <w:bookmarkStart w:id="0" w:name="_Hlk29909528"/>
      <w:r w:rsidRPr="003172CC">
        <w:rPr>
          <w:rFonts w:asciiTheme="majorHAnsi" w:eastAsia="Quattrocento Sans" w:hAnsiTheme="majorHAnsi" w:cs="Segoe UI"/>
          <w:sz w:val="20"/>
          <w:szCs w:val="20"/>
          <w:lang w:val="it-IT"/>
        </w:rPr>
        <w:fldChar w:fldCharType="begin"/>
      </w:r>
      <w:r w:rsidRPr="003172CC">
        <w:rPr>
          <w:rFonts w:asciiTheme="majorHAnsi" w:eastAsia="Quattrocento Sans" w:hAnsiTheme="majorHAnsi" w:cs="Segoe UI"/>
          <w:sz w:val="20"/>
          <w:szCs w:val="20"/>
          <w:lang w:val="it-IT"/>
        </w:rPr>
        <w:instrText xml:space="preserve"> HYPERLINK "https://twitter.com/Visa_IT" </w:instrText>
      </w:r>
      <w:r w:rsidRPr="003172CC">
        <w:rPr>
          <w:rFonts w:asciiTheme="majorHAnsi" w:eastAsia="Quattrocento Sans" w:hAnsiTheme="majorHAnsi" w:cs="Segoe UI"/>
          <w:sz w:val="20"/>
          <w:szCs w:val="20"/>
          <w:lang w:val="it-IT"/>
        </w:rPr>
        <w:fldChar w:fldCharType="separate"/>
      </w:r>
      <w:r w:rsidRPr="003172CC">
        <w:rPr>
          <w:rFonts w:asciiTheme="majorHAnsi" w:eastAsia="Quattrocento Sans" w:hAnsiTheme="majorHAnsi" w:cs="Segoe UI"/>
          <w:color w:val="0000FF"/>
          <w:sz w:val="20"/>
          <w:szCs w:val="20"/>
          <w:u w:val="single"/>
          <w:lang w:val="it-IT"/>
        </w:rPr>
        <w:t>@Visa_IT</w:t>
      </w:r>
      <w:r w:rsidRPr="003172CC">
        <w:rPr>
          <w:rFonts w:asciiTheme="majorHAnsi" w:eastAsia="Quattrocento Sans" w:hAnsiTheme="majorHAnsi" w:cs="Segoe UI"/>
          <w:sz w:val="20"/>
          <w:szCs w:val="20"/>
          <w:lang w:val="it-IT"/>
        </w:rPr>
        <w:fldChar w:fldCharType="end"/>
      </w:r>
      <w:bookmarkEnd w:id="0"/>
      <w:r w:rsidRPr="003172CC">
        <w:rPr>
          <w:rFonts w:asciiTheme="majorHAnsi" w:eastAsia="Quattrocento Sans" w:hAnsiTheme="majorHAnsi" w:cs="Segoe UI"/>
          <w:sz w:val="20"/>
          <w:szCs w:val="20"/>
          <w:lang w:val="it-IT"/>
        </w:rPr>
        <w:t xml:space="preserve">. </w:t>
      </w:r>
    </w:p>
    <w:p w14:paraId="736342BD" w14:textId="6CE84AA3" w:rsidR="00684B32" w:rsidRDefault="00684B32" w:rsidP="00684B32">
      <w:pPr>
        <w:ind w:right="-138"/>
        <w:contextualSpacing w:val="0"/>
        <w:rPr>
          <w:rFonts w:asciiTheme="majorHAnsi" w:eastAsia="Calibri" w:hAnsiTheme="majorHAnsi" w:cs="Segoe UI"/>
          <w:sz w:val="20"/>
          <w:szCs w:val="20"/>
          <w:lang w:val="it-IT"/>
        </w:rPr>
      </w:pPr>
    </w:p>
    <w:p w14:paraId="268443E1" w14:textId="77777777" w:rsidR="00C76241" w:rsidRPr="003172CC" w:rsidRDefault="00C76241" w:rsidP="00684B32">
      <w:pPr>
        <w:ind w:right="-138"/>
        <w:contextualSpacing w:val="0"/>
        <w:rPr>
          <w:rFonts w:asciiTheme="majorHAnsi" w:eastAsia="Calibri" w:hAnsiTheme="majorHAnsi" w:cs="Segoe UI"/>
          <w:sz w:val="20"/>
          <w:szCs w:val="20"/>
          <w:lang w:val="it-IT"/>
        </w:rPr>
      </w:pPr>
    </w:p>
    <w:p w14:paraId="0E791114" w14:textId="77777777" w:rsidR="00C76241" w:rsidRPr="00951C8F" w:rsidRDefault="00C76241" w:rsidP="00C76241">
      <w:pPr>
        <w:jc w:val="both"/>
        <w:rPr>
          <w:rFonts w:ascii="Segoe UI" w:eastAsia="Quattrocento Sans" w:hAnsi="Segoe UI" w:cs="Segoe UI"/>
          <w:i/>
          <w:iCs/>
          <w:color w:val="000000"/>
          <w:szCs w:val="18"/>
          <w:lang w:val="it-IT"/>
        </w:rPr>
      </w:pPr>
      <w:r w:rsidRPr="00951C8F">
        <w:rPr>
          <w:rFonts w:ascii="Segoe UI" w:eastAsia="Quattrocento Sans" w:hAnsi="Segoe UI" w:cs="Segoe UI"/>
          <w:i/>
          <w:iCs/>
          <w:color w:val="000000"/>
          <w:szCs w:val="18"/>
          <w:lang w:val="it-IT"/>
        </w:rPr>
        <w:t xml:space="preserve">Questo comunicato contiene dichiarazioni di previsione in base a quanto contemplato nel U.S. Private Securities </w:t>
      </w:r>
      <w:proofErr w:type="spellStart"/>
      <w:r w:rsidRPr="00951C8F">
        <w:rPr>
          <w:rFonts w:ascii="Segoe UI" w:eastAsia="Quattrocento Sans" w:hAnsi="Segoe UI" w:cs="Segoe UI"/>
          <w:i/>
          <w:iCs/>
          <w:color w:val="000000"/>
          <w:szCs w:val="18"/>
          <w:lang w:val="it-IT"/>
        </w:rPr>
        <w:t>Litigation</w:t>
      </w:r>
      <w:proofErr w:type="spellEnd"/>
      <w:r w:rsidRPr="00951C8F">
        <w:rPr>
          <w:rFonts w:ascii="Segoe UI" w:eastAsia="Quattrocento Sans" w:hAnsi="Segoe UI" w:cs="Segoe UI"/>
          <w:i/>
          <w:iCs/>
          <w:color w:val="000000"/>
          <w:szCs w:val="18"/>
          <w:lang w:val="it-IT"/>
        </w:rPr>
        <w:t xml:space="preserve"> </w:t>
      </w:r>
      <w:proofErr w:type="spellStart"/>
      <w:r w:rsidRPr="00951C8F">
        <w:rPr>
          <w:rFonts w:ascii="Segoe UI" w:eastAsia="Quattrocento Sans" w:hAnsi="Segoe UI" w:cs="Segoe UI"/>
          <w:i/>
          <w:iCs/>
          <w:color w:val="000000"/>
          <w:szCs w:val="18"/>
          <w:lang w:val="it-IT"/>
        </w:rPr>
        <w:t>Reform</w:t>
      </w:r>
      <w:proofErr w:type="spellEnd"/>
      <w:r w:rsidRPr="00951C8F">
        <w:rPr>
          <w:rFonts w:ascii="Segoe UI" w:eastAsia="Quattrocento Sans" w:hAnsi="Segoe UI" w:cs="Segoe UI"/>
          <w:i/>
          <w:iCs/>
          <w:color w:val="000000"/>
          <w:szCs w:val="18"/>
          <w:lang w:val="it-IT"/>
        </w:rPr>
        <w:t xml:space="preserve"> Act 1995. Le dichiarazioni di previsione sono generalmente identificate da parole come "volontà", "piani", "è previsto" e altre espressioni simili. Esempi di dichiarazioni previsionali includono, ma non sono limitati a dichiarazioni che facciamo riguardo ai tempi e alla probabilità di intraprendere azioni relative alla nostra strategia, piani per iniziative e obiettivi futuri sul clima e l'impatto potenziale delle nostre azioni. Per loro natura, le dichiarazioni previsionali: (i) parlano solo a partire dalla data in cui vengono fatte; (ii) non sono dichiarazioni di fatti storici o garanzie di prestazioni future; e (iii) sono soggette a rischi, incertezze, ipotesi o cambiamenti di circostanze che sono difficili da prevedere o quantificare. Pertanto, i risultati effettivi potrebbero differire materialmente e negativamente dalle dichiarazioni previsionali di Visa a causa di una varietà di fattori, compresi quelli contenuti nel nostro rapporto annuale sul modulo 10-K per l'anno fiscale conclusosi il 30 settembre 2020, e le nostre altre archiviazioni con la U.S. Securities and Exchange Commission. Non dovreste fare eccessivo affidamento su tali dichiarazioni. A eccezione di quanto richiesto dalla legge, non intendiamo aggiornare o rivedere alcuna dichiarazione previsionale a seguito di nuove informazioni, sviluppi futuri o altro. </w:t>
      </w:r>
    </w:p>
    <w:p w14:paraId="481675A3" w14:textId="77777777" w:rsidR="00684B32" w:rsidRPr="00C76241" w:rsidRDefault="00684B32" w:rsidP="00684B32">
      <w:pPr>
        <w:ind w:right="-138"/>
        <w:jc w:val="both"/>
        <w:rPr>
          <w:rFonts w:ascii="Segoe UI" w:eastAsia="Quattrocento Sans" w:hAnsi="Segoe UI" w:cs="Segoe UI"/>
          <w:sz w:val="20"/>
          <w:szCs w:val="20"/>
          <w:lang w:val="it-IT"/>
        </w:rPr>
      </w:pPr>
    </w:p>
    <w:p w14:paraId="20ABCB21" w14:textId="77777777" w:rsidR="00684B32" w:rsidRPr="00C76241" w:rsidRDefault="00684B32" w:rsidP="00684B32">
      <w:pPr>
        <w:tabs>
          <w:tab w:val="left" w:pos="3300"/>
        </w:tabs>
        <w:contextualSpacing w:val="0"/>
        <w:jc w:val="center"/>
        <w:rPr>
          <w:rFonts w:ascii="Segoe UI" w:eastAsia="Calibri" w:hAnsi="Segoe UI" w:cs="Segoe UI"/>
          <w:sz w:val="20"/>
          <w:szCs w:val="20"/>
          <w:lang w:val="it-IT"/>
        </w:rPr>
      </w:pPr>
    </w:p>
    <w:p w14:paraId="485C7ACF" w14:textId="77777777" w:rsidR="00AB2A46" w:rsidRPr="00C76241" w:rsidRDefault="00AB2A46" w:rsidP="00AB2A46">
      <w:pPr>
        <w:rPr>
          <w:sz w:val="22"/>
          <w:szCs w:val="22"/>
          <w:lang w:val="it-IT"/>
        </w:rPr>
      </w:pPr>
    </w:p>
    <w:sectPr w:rsidR="00AB2A46" w:rsidRPr="00C76241" w:rsidSect="00C3337F">
      <w:headerReference w:type="default" r:id="rId15"/>
      <w:footerReference w:type="default" r:id="rId16"/>
      <w:headerReference w:type="first" r:id="rId17"/>
      <w:footerReference w:type="first" r:id="rId18"/>
      <w:pgSz w:w="12240" w:h="15840"/>
      <w:pgMar w:top="2736" w:right="720" w:bottom="1152" w:left="216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EA87B" w14:textId="77777777" w:rsidR="002345F9" w:rsidRDefault="002345F9" w:rsidP="009F4DFF">
      <w:r>
        <w:separator/>
      </w:r>
    </w:p>
  </w:endnote>
  <w:endnote w:type="continuationSeparator" w:id="0">
    <w:p w14:paraId="0F5B9F39" w14:textId="77777777" w:rsidR="002345F9" w:rsidRDefault="002345F9"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altName w:val="Calibri"/>
    <w:charset w:val="00"/>
    <w:family w:val="auto"/>
    <w:pitch w:val="variable"/>
    <w:sig w:usb0="A00002FF" w:usb1="400002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1" w:fontKey="{9D361388-10BD-4DE3-AB72-5BBB7A1F605A}"/>
    <w:embedBold r:id="rId2" w:fontKey="{119D4A4A-1F4A-419D-96ED-976F5B99317C}"/>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Noto Sans S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altName w:val="Noto Sans Yi"/>
    <w:charset w:val="00"/>
    <w:family w:val="swiss"/>
    <w:pitch w:val="variable"/>
    <w:sig w:usb0="00000003" w:usb1="00050000" w:usb2="00080010" w:usb3="00000000" w:csb0="00000001" w:csb1="00000000"/>
    <w:embedRegular r:id="rId3" w:fontKey="{B1E952AB-217F-4FA3-8A01-FEDFAE3EEADF}"/>
  </w:font>
  <w:font w:name="Times New Roman (Headings CS)">
    <w:altName w:val="Times New Roman"/>
    <w:charset w:val="00"/>
    <w:family w:val="roman"/>
    <w:pitch w:val="default"/>
  </w:font>
  <w:font w:name="Noto Serif SC">
    <w:altName w:val="Noto Serif S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4" w:fontKey="{26FF9897-359E-4A54-B47A-B16619138C40}"/>
    <w:embedBold r:id="rId5" w:fontKey="{D3779658-CD8D-4C86-816B-4AE9706920D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C60DD6E-5C56-489A-A4D5-453BC029E25E}"/>
    <w:embedBold r:id="rId7" w:fontKey="{458AD6AA-4325-4FCF-A4BA-A9FA6716CA5A}"/>
    <w:embedItalic r:id="rId8" w:fontKey="{C681CA0B-28F4-4B27-A952-E266622D763F}"/>
    <w:embedBoldItalic r:id="rId9" w:fontKey="{CF572453-FD2F-48FD-A4D0-AC016104737A}"/>
  </w:font>
  <w:font w:name="Quattrocento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3000" w14:textId="77777777" w:rsidR="00CA2006" w:rsidRPr="00C20726" w:rsidRDefault="00CA2006" w:rsidP="00CA2006">
    <w:pPr>
      <w:jc w:val="both"/>
      <w:rPr>
        <w:rFonts w:asciiTheme="majorHAnsi" w:eastAsia="Calibri" w:hAnsiTheme="majorHAnsi" w:cs="Times New Roman"/>
        <w:b/>
        <w:bCs/>
        <w:color w:val="0F0E0E" w:themeColor="background2" w:themeShade="1A"/>
        <w:sz w:val="20"/>
        <w:szCs w:val="20"/>
        <w:lang w:val="it-IT"/>
      </w:rPr>
    </w:pPr>
    <w:r w:rsidRPr="00C20726">
      <w:rPr>
        <w:rFonts w:asciiTheme="majorHAnsi" w:eastAsia="Calibri" w:hAnsiTheme="majorHAnsi" w:cs="Times New Roman"/>
        <w:b/>
        <w:bCs/>
        <w:color w:val="0F0E0E" w:themeColor="background2" w:themeShade="1A"/>
        <w:sz w:val="20"/>
        <w:szCs w:val="20"/>
        <w:lang w:val="it-IT"/>
      </w:rPr>
      <w:t>Contatti ufficio stampa Visa</w:t>
    </w:r>
  </w:p>
  <w:p w14:paraId="6DE36449" w14:textId="77777777" w:rsidR="00CA2006" w:rsidRPr="00C20726" w:rsidRDefault="00CA2006" w:rsidP="00CA200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Luca Gentili, Head of Corporate Comm Visa Sud Europa </w:t>
    </w:r>
    <w:r w:rsidRPr="00C20726">
      <w:rPr>
        <w:rFonts w:asciiTheme="majorHAnsi" w:eastAsia="Calibri" w:hAnsiTheme="majorHAnsi" w:cs="Times New Roman"/>
        <w:color w:val="0F0E0E" w:themeColor="background2" w:themeShade="1A"/>
        <w:sz w:val="20"/>
        <w:szCs w:val="20"/>
        <w:lang w:val="it-IT"/>
      </w:rPr>
      <w:tab/>
      <w:t xml:space="preserve"> gentilil@visa.com </w:t>
    </w:r>
  </w:p>
  <w:p w14:paraId="478B4120" w14:textId="77777777" w:rsidR="00CA2006" w:rsidRPr="00C20726" w:rsidRDefault="00CA2006" w:rsidP="00CA200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Alessandro Zambetti, DAG Communication </w:t>
    </w:r>
    <w:r w:rsidRPr="00C20726">
      <w:rPr>
        <w:rFonts w:asciiTheme="majorHAnsi" w:eastAsia="Calibri" w:hAnsiTheme="majorHAnsi" w:cs="Times New Roman"/>
        <w:color w:val="0F0E0E" w:themeColor="background2" w:themeShade="1A"/>
        <w:sz w:val="20"/>
        <w:szCs w:val="20"/>
        <w:lang w:val="it-IT"/>
      </w:rPr>
      <w:tab/>
      <w:t xml:space="preserve">                                a.zambetti@dagcom.com</w:t>
    </w:r>
    <w:r w:rsidRPr="00C20726">
      <w:rPr>
        <w:rFonts w:asciiTheme="majorHAnsi" w:eastAsia="Calibri" w:hAnsiTheme="majorHAnsi" w:cs="Times New Roman"/>
        <w:color w:val="0F0E0E" w:themeColor="background2" w:themeShade="1A"/>
        <w:sz w:val="20"/>
        <w:szCs w:val="20"/>
        <w:lang w:val="it-IT"/>
      </w:rPr>
      <w:tab/>
      <w:t xml:space="preserve">     +39 338 9241387</w:t>
    </w:r>
  </w:p>
  <w:p w14:paraId="444E4529" w14:textId="77777777" w:rsidR="00CA2006" w:rsidRPr="00C20726" w:rsidRDefault="00CA2006" w:rsidP="00CA200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Matteo Rasset, DAG Communication</w:t>
    </w:r>
    <w:r w:rsidRPr="00C20726">
      <w:rPr>
        <w:rFonts w:asciiTheme="majorHAnsi" w:eastAsia="Calibri" w:hAnsiTheme="majorHAnsi" w:cs="Times New Roman"/>
        <w:color w:val="0F0E0E" w:themeColor="background2" w:themeShade="1A"/>
        <w:sz w:val="20"/>
        <w:szCs w:val="20"/>
        <w:lang w:val="it-IT"/>
      </w:rPr>
      <w:tab/>
      <w:t xml:space="preserve">                                mrasset@dagcom.com</w:t>
    </w:r>
    <w:r w:rsidRPr="00C20726">
      <w:rPr>
        <w:rFonts w:asciiTheme="majorHAnsi" w:eastAsia="Calibri" w:hAnsiTheme="majorHAnsi" w:cs="Times New Roman"/>
        <w:color w:val="0F0E0E" w:themeColor="background2" w:themeShade="1A"/>
        <w:sz w:val="20"/>
        <w:szCs w:val="20"/>
        <w:lang w:val="it-IT"/>
      </w:rPr>
      <w:tab/>
      <w:t xml:space="preserve">     +39 333 8032644</w:t>
    </w:r>
  </w:p>
  <w:p w14:paraId="09C01C40" w14:textId="77777777" w:rsidR="00CA2006" w:rsidRPr="00C20726" w:rsidRDefault="00CA2006" w:rsidP="00CA2006">
    <w:pPr>
      <w:widowControl w:val="0"/>
      <w:autoSpaceDE w:val="0"/>
      <w:autoSpaceDN w:val="0"/>
      <w:adjustRightInd w:val="0"/>
      <w:ind w:right="-138"/>
      <w:jc w:val="both"/>
      <w:outlineLvl w:val="0"/>
      <w:rPr>
        <w:rFonts w:asciiTheme="majorHAnsi" w:eastAsia="MS Gothic" w:hAnsiTheme="majorHAnsi" w:cs="Segoe UI"/>
        <w:b/>
        <w:bCs/>
        <w:color w:val="0F0E0E" w:themeColor="background2" w:themeShade="1A"/>
        <w:u w:color="000000"/>
        <w:bdr w:val="nil"/>
        <w:lang w:val="it-IT" w:eastAsia="en-GB"/>
      </w:rPr>
    </w:pPr>
    <w:r w:rsidRPr="00C20726">
      <w:rPr>
        <w:rFonts w:asciiTheme="majorHAnsi" w:eastAsia="Calibri" w:hAnsiTheme="majorHAnsi" w:cs="Times New Roman"/>
        <w:color w:val="0F0E0E" w:themeColor="background2" w:themeShade="1A"/>
        <w:sz w:val="20"/>
        <w:szCs w:val="20"/>
        <w:lang w:val="it-IT"/>
      </w:rPr>
      <w:t xml:space="preserve">Barbara D’Incecco, DAG Communication    </w:t>
    </w:r>
    <w:r w:rsidRPr="00C20726">
      <w:rPr>
        <w:rFonts w:asciiTheme="majorHAnsi" w:eastAsia="Calibri" w:hAnsiTheme="majorHAnsi" w:cs="Times New Roman"/>
        <w:color w:val="0F0E0E" w:themeColor="background2" w:themeShade="1A"/>
        <w:sz w:val="20"/>
        <w:szCs w:val="20"/>
        <w:lang w:val="it-IT"/>
      </w:rPr>
      <w:tab/>
      <w:t xml:space="preserve">                                bdincecco@dagcom.com       +39 02 89054168</w:t>
    </w:r>
  </w:p>
  <w:p w14:paraId="45614B0C" w14:textId="28D20866" w:rsidR="00BD2976" w:rsidRDefault="008C7AED" w:rsidP="009F4DFF">
    <w:pPr>
      <w:pStyle w:val="Pidipagina"/>
    </w:pP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179C3E02"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5772065E" w14:textId="77777777" w:rsidR="00CA2006" w:rsidRDefault="00CA2006" w:rsidP="00C20726">
    <w:pPr>
      <w:jc w:val="both"/>
      <w:rPr>
        <w:rFonts w:asciiTheme="majorHAnsi" w:eastAsia="Calibri" w:hAnsiTheme="majorHAnsi" w:cs="Times New Roman"/>
        <w:b/>
        <w:bCs/>
        <w:color w:val="0F0E0E" w:themeColor="background2" w:themeShade="1A"/>
        <w:sz w:val="20"/>
        <w:szCs w:val="20"/>
        <w:lang w:val="it-IT"/>
      </w:rPr>
    </w:pPr>
  </w:p>
  <w:p w14:paraId="4AF477FE" w14:textId="7F2C0969" w:rsidR="00C20726" w:rsidRPr="00C20726" w:rsidRDefault="00C20726" w:rsidP="00C20726">
    <w:pPr>
      <w:jc w:val="both"/>
      <w:rPr>
        <w:rFonts w:asciiTheme="majorHAnsi" w:eastAsia="Calibri" w:hAnsiTheme="majorHAnsi" w:cs="Times New Roman"/>
        <w:b/>
        <w:bCs/>
        <w:color w:val="0F0E0E" w:themeColor="background2" w:themeShade="1A"/>
        <w:sz w:val="20"/>
        <w:szCs w:val="20"/>
        <w:lang w:val="it-IT"/>
      </w:rPr>
    </w:pPr>
    <w:r w:rsidRPr="00C20726">
      <w:rPr>
        <w:rFonts w:asciiTheme="majorHAnsi" w:eastAsia="Calibri" w:hAnsiTheme="majorHAnsi" w:cs="Times New Roman"/>
        <w:b/>
        <w:bCs/>
        <w:color w:val="0F0E0E" w:themeColor="background2" w:themeShade="1A"/>
        <w:sz w:val="20"/>
        <w:szCs w:val="20"/>
        <w:lang w:val="it-IT"/>
      </w:rPr>
      <w:t>Contatti ufficio stampa Visa</w:t>
    </w:r>
  </w:p>
  <w:p w14:paraId="1FAC2125"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Luca Gentili, Head of Corporate Comm Visa Sud Europa </w:t>
    </w:r>
    <w:r w:rsidRPr="00C20726">
      <w:rPr>
        <w:rFonts w:asciiTheme="majorHAnsi" w:eastAsia="Calibri" w:hAnsiTheme="majorHAnsi" w:cs="Times New Roman"/>
        <w:color w:val="0F0E0E" w:themeColor="background2" w:themeShade="1A"/>
        <w:sz w:val="20"/>
        <w:szCs w:val="20"/>
        <w:lang w:val="it-IT"/>
      </w:rPr>
      <w:tab/>
      <w:t xml:space="preserve"> gentilil@visa.com </w:t>
    </w:r>
  </w:p>
  <w:p w14:paraId="29804210"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Alessandro Zambetti, DAG Communication </w:t>
    </w:r>
    <w:r w:rsidRPr="00C20726">
      <w:rPr>
        <w:rFonts w:asciiTheme="majorHAnsi" w:eastAsia="Calibri" w:hAnsiTheme="majorHAnsi" w:cs="Times New Roman"/>
        <w:color w:val="0F0E0E" w:themeColor="background2" w:themeShade="1A"/>
        <w:sz w:val="20"/>
        <w:szCs w:val="20"/>
        <w:lang w:val="it-IT"/>
      </w:rPr>
      <w:tab/>
      <w:t xml:space="preserve">                                a.zambetti@dagcom.com</w:t>
    </w:r>
    <w:r w:rsidRPr="00C20726">
      <w:rPr>
        <w:rFonts w:asciiTheme="majorHAnsi" w:eastAsia="Calibri" w:hAnsiTheme="majorHAnsi" w:cs="Times New Roman"/>
        <w:color w:val="0F0E0E" w:themeColor="background2" w:themeShade="1A"/>
        <w:sz w:val="20"/>
        <w:szCs w:val="20"/>
        <w:lang w:val="it-IT"/>
      </w:rPr>
      <w:tab/>
      <w:t xml:space="preserve">     +39 338 9241387</w:t>
    </w:r>
  </w:p>
  <w:p w14:paraId="38732D70"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Matteo Rasset, DAG Communication</w:t>
    </w:r>
    <w:r w:rsidRPr="00C20726">
      <w:rPr>
        <w:rFonts w:asciiTheme="majorHAnsi" w:eastAsia="Calibri" w:hAnsiTheme="majorHAnsi" w:cs="Times New Roman"/>
        <w:color w:val="0F0E0E" w:themeColor="background2" w:themeShade="1A"/>
        <w:sz w:val="20"/>
        <w:szCs w:val="20"/>
        <w:lang w:val="it-IT"/>
      </w:rPr>
      <w:tab/>
      <w:t xml:space="preserve">                                mrasset@dagcom.com</w:t>
    </w:r>
    <w:r w:rsidRPr="00C20726">
      <w:rPr>
        <w:rFonts w:asciiTheme="majorHAnsi" w:eastAsia="Calibri" w:hAnsiTheme="majorHAnsi" w:cs="Times New Roman"/>
        <w:color w:val="0F0E0E" w:themeColor="background2" w:themeShade="1A"/>
        <w:sz w:val="20"/>
        <w:szCs w:val="20"/>
        <w:lang w:val="it-IT"/>
      </w:rPr>
      <w:tab/>
      <w:t xml:space="preserve">     +39 333 8032644</w:t>
    </w:r>
  </w:p>
  <w:p w14:paraId="35A3026C" w14:textId="77777777" w:rsidR="00C20726" w:rsidRPr="00C20726" w:rsidRDefault="00C20726" w:rsidP="00C20726">
    <w:pPr>
      <w:widowControl w:val="0"/>
      <w:autoSpaceDE w:val="0"/>
      <w:autoSpaceDN w:val="0"/>
      <w:adjustRightInd w:val="0"/>
      <w:ind w:right="-138"/>
      <w:jc w:val="both"/>
      <w:outlineLvl w:val="0"/>
      <w:rPr>
        <w:rFonts w:asciiTheme="majorHAnsi" w:eastAsia="MS Gothic" w:hAnsiTheme="majorHAnsi" w:cs="Segoe UI"/>
        <w:b/>
        <w:bCs/>
        <w:color w:val="0F0E0E" w:themeColor="background2" w:themeShade="1A"/>
        <w:u w:color="000000"/>
        <w:bdr w:val="nil"/>
        <w:lang w:val="it-IT" w:eastAsia="en-GB"/>
      </w:rPr>
    </w:pPr>
    <w:r w:rsidRPr="00C20726">
      <w:rPr>
        <w:rFonts w:asciiTheme="majorHAnsi" w:eastAsia="Calibri" w:hAnsiTheme="majorHAnsi" w:cs="Times New Roman"/>
        <w:color w:val="0F0E0E" w:themeColor="background2" w:themeShade="1A"/>
        <w:sz w:val="20"/>
        <w:szCs w:val="20"/>
        <w:lang w:val="it-IT"/>
      </w:rPr>
      <w:t xml:space="preserve">Barbara D’Incecco, DAG Communication    </w:t>
    </w:r>
    <w:r w:rsidRPr="00C20726">
      <w:rPr>
        <w:rFonts w:asciiTheme="majorHAnsi" w:eastAsia="Calibri" w:hAnsiTheme="majorHAnsi" w:cs="Times New Roman"/>
        <w:color w:val="0F0E0E" w:themeColor="background2" w:themeShade="1A"/>
        <w:sz w:val="20"/>
        <w:szCs w:val="20"/>
        <w:lang w:val="it-IT"/>
      </w:rPr>
      <w:tab/>
      <w:t xml:space="preserve">                                bdincecco@dagcom.com       +39 02 89054168</w:t>
    </w:r>
  </w:p>
  <w:p w14:paraId="4709541A" w14:textId="4A06155E" w:rsidR="00BD2976" w:rsidRPr="00C20726" w:rsidRDefault="00BD2976" w:rsidP="0083715E">
    <w:pPr>
      <w:pStyle w:val="Pidipagina"/>
      <w:ind w:right="360"/>
      <w:rPr>
        <w:rFonts w:asciiTheme="majorHAnsi" w:hAnsiTheme="majorHAnsi"/>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89C5A" w14:textId="77777777" w:rsidR="002345F9" w:rsidRDefault="002345F9" w:rsidP="009F4DFF">
      <w:r>
        <w:separator/>
      </w:r>
    </w:p>
  </w:footnote>
  <w:footnote w:type="continuationSeparator" w:id="0">
    <w:p w14:paraId="6ED86B70" w14:textId="77777777" w:rsidR="002345F9" w:rsidRDefault="002345F9" w:rsidP="009F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8363B6F" w:rsidR="00D26D88" w:rsidRPr="00CB031B" w:rsidRDefault="00F91C0E" w:rsidP="009F4DFF">
    <w:r w:rsidRPr="00CB031B">
      <w:rPr>
        <w:noProof/>
      </w:rPr>
      <w:drawing>
        <wp:anchor distT="0" distB="0" distL="114300" distR="114300" simplePos="0" relativeHeight="251662336" behindDoc="1" locked="0" layoutInCell="1" allowOverlap="1" wp14:anchorId="340C18E3" wp14:editId="0D06915A">
          <wp:simplePos x="0" y="0"/>
          <wp:positionH relativeFrom="column">
            <wp:posOffset>4800600</wp:posOffset>
          </wp:positionH>
          <wp:positionV relativeFrom="paragraph">
            <wp:posOffset>-41910</wp:posOffset>
          </wp:positionV>
          <wp:extent cx="1044220" cy="338328"/>
          <wp:effectExtent l="0" t="0" r="3810" b="5080"/>
          <wp:wrapNone/>
          <wp:docPr id="2"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26B88BC1" w:rsidR="00895F10" w:rsidRDefault="00895F10">
    <w:pPr>
      <w:pStyle w:val="Intestazione"/>
    </w:pPr>
    <w:r w:rsidRPr="00CB031B">
      <w:rPr>
        <w:noProof/>
      </w:rPr>
      <w:drawing>
        <wp:anchor distT="0" distB="0" distL="114300" distR="114300" simplePos="0" relativeHeight="251660288" behindDoc="1" locked="0" layoutInCell="1" allowOverlap="1" wp14:anchorId="2433B1AF" wp14:editId="10D62BA1">
          <wp:simplePos x="0" y="0"/>
          <wp:positionH relativeFrom="column">
            <wp:posOffset>4883150</wp:posOffset>
          </wp:positionH>
          <wp:positionV relativeFrom="paragraph">
            <wp:posOffset>25400</wp:posOffset>
          </wp:positionV>
          <wp:extent cx="1044220" cy="338328"/>
          <wp:effectExtent l="0" t="0" r="3810" b="508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2"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5"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8"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0"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1"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2"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5" w15:restartNumberingAfterBreak="0">
    <w:nsid w:val="685146C8"/>
    <w:multiLevelType w:val="hybridMultilevel"/>
    <w:tmpl w:val="6A64E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2"/>
  </w:num>
  <w:num w:numId="12">
    <w:abstractNumId w:val="26"/>
  </w:num>
  <w:num w:numId="13">
    <w:abstractNumId w:val="10"/>
  </w:num>
  <w:num w:numId="14">
    <w:abstractNumId w:val="18"/>
  </w:num>
  <w:num w:numId="15">
    <w:abstractNumId w:val="21"/>
  </w:num>
  <w:num w:numId="16">
    <w:abstractNumId w:val="14"/>
  </w:num>
  <w:num w:numId="17">
    <w:abstractNumId w:val="12"/>
  </w:num>
  <w:num w:numId="18">
    <w:abstractNumId w:val="17"/>
  </w:num>
  <w:num w:numId="19">
    <w:abstractNumId w:val="24"/>
  </w:num>
  <w:num w:numId="20">
    <w:abstractNumId w:val="16"/>
  </w:num>
  <w:num w:numId="21">
    <w:abstractNumId w:val="16"/>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abstractNumId w:val="19"/>
  </w:num>
  <w:num w:numId="23">
    <w:abstractNumId w:val="19"/>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abstractNumId w:val="19"/>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abstractNumId w:val="15"/>
  </w:num>
  <w:num w:numId="26">
    <w:abstractNumId w:val="27"/>
  </w:num>
  <w:num w:numId="27">
    <w:abstractNumId w:val="23"/>
  </w:num>
  <w:num w:numId="28">
    <w:abstractNumId w:val="11"/>
  </w:num>
  <w:num w:numId="29">
    <w:abstractNumId w:val="20"/>
  </w:num>
  <w:num w:numId="30">
    <w:abstractNumId w:val="13"/>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21543"/>
    <w:rsid w:val="0009564A"/>
    <w:rsid w:val="000B72EA"/>
    <w:rsid w:val="000E32F7"/>
    <w:rsid w:val="000F4F36"/>
    <w:rsid w:val="001B0E5F"/>
    <w:rsid w:val="00224E6E"/>
    <w:rsid w:val="002345F9"/>
    <w:rsid w:val="00240E57"/>
    <w:rsid w:val="00247DFA"/>
    <w:rsid w:val="002728CA"/>
    <w:rsid w:val="0028691E"/>
    <w:rsid w:val="002E3C5A"/>
    <w:rsid w:val="002F0A7C"/>
    <w:rsid w:val="003026D0"/>
    <w:rsid w:val="0031120B"/>
    <w:rsid w:val="003140E2"/>
    <w:rsid w:val="003172CC"/>
    <w:rsid w:val="00354CD7"/>
    <w:rsid w:val="0035518A"/>
    <w:rsid w:val="0038187B"/>
    <w:rsid w:val="0039423B"/>
    <w:rsid w:val="003A54B1"/>
    <w:rsid w:val="003C292D"/>
    <w:rsid w:val="003C5725"/>
    <w:rsid w:val="003E7849"/>
    <w:rsid w:val="003F5CA7"/>
    <w:rsid w:val="0041224E"/>
    <w:rsid w:val="00415122"/>
    <w:rsid w:val="00427C67"/>
    <w:rsid w:val="00434FC6"/>
    <w:rsid w:val="004462C1"/>
    <w:rsid w:val="00447BE5"/>
    <w:rsid w:val="00450071"/>
    <w:rsid w:val="004574FC"/>
    <w:rsid w:val="00461DA0"/>
    <w:rsid w:val="004A54C3"/>
    <w:rsid w:val="004B0B8A"/>
    <w:rsid w:val="004C2A7D"/>
    <w:rsid w:val="004C3D74"/>
    <w:rsid w:val="004D289F"/>
    <w:rsid w:val="004E0DDF"/>
    <w:rsid w:val="004E4978"/>
    <w:rsid w:val="004E7016"/>
    <w:rsid w:val="00513E5E"/>
    <w:rsid w:val="005148AC"/>
    <w:rsid w:val="00567091"/>
    <w:rsid w:val="0057701E"/>
    <w:rsid w:val="005916B3"/>
    <w:rsid w:val="005B3103"/>
    <w:rsid w:val="005F51D6"/>
    <w:rsid w:val="00610EBD"/>
    <w:rsid w:val="00612343"/>
    <w:rsid w:val="006125F6"/>
    <w:rsid w:val="0064168F"/>
    <w:rsid w:val="00642076"/>
    <w:rsid w:val="0064726A"/>
    <w:rsid w:val="00657857"/>
    <w:rsid w:val="0067099E"/>
    <w:rsid w:val="00684B32"/>
    <w:rsid w:val="006C3AB4"/>
    <w:rsid w:val="00707BA6"/>
    <w:rsid w:val="0072290F"/>
    <w:rsid w:val="007334BC"/>
    <w:rsid w:val="00733861"/>
    <w:rsid w:val="00741CC2"/>
    <w:rsid w:val="00764EA4"/>
    <w:rsid w:val="007867E2"/>
    <w:rsid w:val="00791BD1"/>
    <w:rsid w:val="007C3BAE"/>
    <w:rsid w:val="007E436D"/>
    <w:rsid w:val="007F4016"/>
    <w:rsid w:val="007F6A8D"/>
    <w:rsid w:val="00823F14"/>
    <w:rsid w:val="0083715E"/>
    <w:rsid w:val="008438CC"/>
    <w:rsid w:val="0085250A"/>
    <w:rsid w:val="00864E83"/>
    <w:rsid w:val="00895F10"/>
    <w:rsid w:val="00897C56"/>
    <w:rsid w:val="008C22BC"/>
    <w:rsid w:val="008C4AF7"/>
    <w:rsid w:val="008C7AED"/>
    <w:rsid w:val="008D6DFB"/>
    <w:rsid w:val="009131E7"/>
    <w:rsid w:val="00917A1F"/>
    <w:rsid w:val="00924635"/>
    <w:rsid w:val="009604BD"/>
    <w:rsid w:val="00965C6B"/>
    <w:rsid w:val="009A4456"/>
    <w:rsid w:val="009C73D8"/>
    <w:rsid w:val="009D01E4"/>
    <w:rsid w:val="009F4DFF"/>
    <w:rsid w:val="00A433F5"/>
    <w:rsid w:val="00A81BF2"/>
    <w:rsid w:val="00AA11E7"/>
    <w:rsid w:val="00AB2A46"/>
    <w:rsid w:val="00AC19F6"/>
    <w:rsid w:val="00AD651E"/>
    <w:rsid w:val="00AE307E"/>
    <w:rsid w:val="00B077F3"/>
    <w:rsid w:val="00B10081"/>
    <w:rsid w:val="00B61484"/>
    <w:rsid w:val="00B83D83"/>
    <w:rsid w:val="00B9465E"/>
    <w:rsid w:val="00BD2976"/>
    <w:rsid w:val="00BE369E"/>
    <w:rsid w:val="00BE3CE2"/>
    <w:rsid w:val="00C05DE8"/>
    <w:rsid w:val="00C20726"/>
    <w:rsid w:val="00C266E9"/>
    <w:rsid w:val="00C3337F"/>
    <w:rsid w:val="00C509B5"/>
    <w:rsid w:val="00C525EC"/>
    <w:rsid w:val="00C619E4"/>
    <w:rsid w:val="00C76241"/>
    <w:rsid w:val="00C86772"/>
    <w:rsid w:val="00C96989"/>
    <w:rsid w:val="00CA2006"/>
    <w:rsid w:val="00CA501B"/>
    <w:rsid w:val="00CB031B"/>
    <w:rsid w:val="00CC5451"/>
    <w:rsid w:val="00CF436E"/>
    <w:rsid w:val="00CF54AE"/>
    <w:rsid w:val="00D26D88"/>
    <w:rsid w:val="00D26EB9"/>
    <w:rsid w:val="00D36534"/>
    <w:rsid w:val="00D50107"/>
    <w:rsid w:val="00DC68B6"/>
    <w:rsid w:val="00DE40F2"/>
    <w:rsid w:val="00DF7A9A"/>
    <w:rsid w:val="00E10225"/>
    <w:rsid w:val="00E26C40"/>
    <w:rsid w:val="00E52626"/>
    <w:rsid w:val="00E529FB"/>
    <w:rsid w:val="00E95DA9"/>
    <w:rsid w:val="00EC500D"/>
    <w:rsid w:val="00EC6E72"/>
    <w:rsid w:val="00F270A4"/>
    <w:rsid w:val="00F4733E"/>
    <w:rsid w:val="00F649E5"/>
    <w:rsid w:val="00F70192"/>
    <w:rsid w:val="00F807E1"/>
    <w:rsid w:val="00F8404C"/>
    <w:rsid w:val="00F91C0E"/>
    <w:rsid w:val="00FE1F72"/>
    <w:rsid w:val="00FE4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22"/>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pPr>
  </w:style>
  <w:style w:type="paragraph" w:styleId="Numeroelenco2">
    <w:name w:val="List Number 2"/>
    <w:basedOn w:val="Normale"/>
    <w:uiPriority w:val="99"/>
    <w:unhideWhenUsed/>
    <w:rsid w:val="008438CC"/>
    <w:pPr>
      <w:numPr>
        <w:numId w:val="4"/>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pPr>
      <w:contextualSpacing w:val="0"/>
    </w:pPr>
    <w:rPr>
      <w:rFonts w:ascii="Calibri" w:eastAsia="Calibri" w:hAnsi="Calibri" w:cs="Arial"/>
      <w:sz w:val="20"/>
      <w:szCs w:val="20"/>
      <w:lang w:val="en-GB"/>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rPr>
      <w:rFonts w:ascii="Calibri" w:eastAsia="Times New Roman" w:hAnsi="Calibri" w:cs="Times New Roman"/>
      <w:sz w:val="24"/>
      <w:szCs w:val="20"/>
      <w:lang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sa.visa.com/about-visa/newsroom/press-releases.releaseId.17851.html"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lobescan.com/trends/healthy-sustainable-livin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olytiq.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aital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4.xml><?xml version="1.0" encoding="utf-8"?>
<ds:datastoreItem xmlns:ds="http://schemas.openxmlformats.org/officeDocument/2006/customXml" ds:itemID="{C40DE1C5-107C-48CA-8A93-5048E6B97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1202</Words>
  <Characters>6857</Characters>
  <Application>Microsoft Office Word</Application>
  <DocSecurity>0</DocSecurity>
  <Lines>57</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D.A.G. Communication Srl</cp:lastModifiedBy>
  <cp:revision>21</cp:revision>
  <cp:lastPrinted>2021-09-24T00:25:00Z</cp:lastPrinted>
  <dcterms:created xsi:type="dcterms:W3CDTF">2021-11-05T09:00:00Z</dcterms:created>
  <dcterms:modified xsi:type="dcterms:W3CDTF">2021-11-10T18:08:00Z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