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84" w:rsidRDefault="001B7B84" w:rsidP="008F3B3A">
      <w:pPr>
        <w:rPr>
          <w:rFonts w:asciiTheme="majorHAnsi" w:hAnsiTheme="majorHAnsi"/>
          <w:sz w:val="22"/>
          <w:szCs w:val="22"/>
        </w:rPr>
      </w:pPr>
    </w:p>
    <w:p w:rsidR="00FE3AE8" w:rsidRPr="00A30057" w:rsidRDefault="00A86A92" w:rsidP="008F3B3A">
      <w:pPr>
        <w:rPr>
          <w:rFonts w:asciiTheme="majorHAnsi" w:hAnsiTheme="majorHAnsi"/>
          <w:sz w:val="22"/>
          <w:szCs w:val="22"/>
        </w:rPr>
      </w:pPr>
      <w:r>
        <w:rPr>
          <w:rFonts w:asciiTheme="majorHAnsi" w:hAnsiTheme="majorHAnsi"/>
          <w:sz w:val="22"/>
          <w:szCs w:val="22"/>
        </w:rPr>
        <w:t>JUL</w:t>
      </w:r>
      <w:r w:rsidR="00F24BE6">
        <w:rPr>
          <w:rFonts w:asciiTheme="majorHAnsi" w:hAnsiTheme="majorHAnsi"/>
          <w:sz w:val="22"/>
          <w:szCs w:val="22"/>
        </w:rPr>
        <w:t>I 2015</w:t>
      </w:r>
    </w:p>
    <w:p w:rsidR="00903D4C" w:rsidRDefault="00A86A92" w:rsidP="00F24BE6">
      <w:pPr>
        <w:pStyle w:val="Heading1"/>
        <w:rPr>
          <w:lang w:val="sv"/>
        </w:rPr>
      </w:pPr>
      <w:r>
        <w:rPr>
          <w:noProof/>
          <w:lang w:val="sv-SE" w:eastAsia="ja-JP"/>
        </w:rPr>
        <w:drawing>
          <wp:inline distT="0" distB="0" distL="0" distR="0" wp14:anchorId="2B1AF7A9" wp14:editId="15CC9B0B">
            <wp:extent cx="5270500" cy="32689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3268980"/>
                    </a:xfrm>
                    <a:prstGeom prst="rect">
                      <a:avLst/>
                    </a:prstGeom>
                  </pic:spPr>
                </pic:pic>
              </a:graphicData>
            </a:graphic>
          </wp:inline>
        </w:drawing>
      </w:r>
    </w:p>
    <w:p w:rsidR="00552D99" w:rsidRPr="00A30057" w:rsidRDefault="00552D99" w:rsidP="007F7E4C">
      <w:pPr>
        <w:rPr>
          <w:rFonts w:asciiTheme="majorHAnsi" w:hAnsiTheme="majorHAnsi"/>
          <w:b/>
          <w:sz w:val="22"/>
          <w:szCs w:val="22"/>
        </w:rPr>
      </w:pPr>
    </w:p>
    <w:p w:rsidR="00A86A92" w:rsidRPr="00A86A92" w:rsidRDefault="00A86A92" w:rsidP="00A86A92">
      <w:pPr>
        <w:rPr>
          <w:rFonts w:ascii="Grundfos TheSans" w:hAnsi="Grundfos TheSans"/>
          <w:b/>
          <w:sz w:val="44"/>
          <w:lang w:val="sv-SE"/>
        </w:rPr>
      </w:pPr>
      <w:r w:rsidRPr="00A86A92">
        <w:rPr>
          <w:rFonts w:ascii="Grundfos TheSans" w:hAnsi="Grundfos TheSans"/>
          <w:b/>
          <w:sz w:val="44"/>
          <w:lang w:val="sv-SE"/>
        </w:rPr>
        <w:t>Ny revolutionerande cirkulationspump från Grundfos</w:t>
      </w:r>
    </w:p>
    <w:p w:rsidR="00A86A92" w:rsidRPr="00A86A92" w:rsidRDefault="00A86A92" w:rsidP="00A86A92">
      <w:pPr>
        <w:rPr>
          <w:rFonts w:ascii="Grundfos TheSans" w:hAnsi="Grundfos TheSans"/>
          <w:b/>
          <w:sz w:val="22"/>
          <w:lang w:val="sv-SE"/>
        </w:rPr>
      </w:pPr>
    </w:p>
    <w:p w:rsidR="00A86A92" w:rsidRPr="00A86A92" w:rsidRDefault="00A86A92" w:rsidP="00A86A92">
      <w:pPr>
        <w:rPr>
          <w:rFonts w:ascii="Grundfos TheSans" w:hAnsi="Grundfos TheSans"/>
          <w:b/>
          <w:sz w:val="22"/>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t xml:space="preserve">Intelligent pump ger bättre systemprestanda </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 xml:space="preserve">Grundfos nya TPE2 och TPE3 tar cirkulationspumpar för kommersiella byggnader till helt nya höjder. Pumparna har marknadens bästa verkningsgrad och erbjuder en rad avancerade funktioner som påverkar </w:t>
      </w:r>
      <w:proofErr w:type="spellStart"/>
      <w:r w:rsidRPr="00A86A92">
        <w:rPr>
          <w:rFonts w:ascii="Grundfos TheSans" w:hAnsi="Grundfos TheSans"/>
          <w:sz w:val="21"/>
          <w:lang w:val="sv-SE"/>
        </w:rPr>
        <w:t>energieffektiviten</w:t>
      </w:r>
      <w:proofErr w:type="spellEnd"/>
      <w:r w:rsidRPr="00A86A92">
        <w:rPr>
          <w:rFonts w:ascii="Grundfos TheSans" w:hAnsi="Grundfos TheSans"/>
          <w:sz w:val="21"/>
          <w:lang w:val="sv-SE"/>
        </w:rPr>
        <w:t xml:space="preserve"> i hela systemet. </w:t>
      </w:r>
    </w:p>
    <w:p w:rsidR="00A86A92" w:rsidRPr="00A86A92" w:rsidRDefault="00A86A92" w:rsidP="00A86A92">
      <w:pPr>
        <w:rPr>
          <w:rFonts w:ascii="Grundfos TheSans" w:hAnsi="Grundfos TheSans"/>
          <w:color w:val="00B050"/>
          <w:sz w:val="21"/>
          <w:lang w:val="sv-SE"/>
        </w:rPr>
      </w:pPr>
    </w:p>
    <w:p w:rsidR="00A86A92" w:rsidRPr="00A86A92" w:rsidRDefault="00A86A92" w:rsidP="00A86A92">
      <w:pPr>
        <w:rPr>
          <w:rFonts w:ascii="Grundfos TheSans" w:hAnsi="Grundfos TheSans"/>
          <w:sz w:val="21"/>
          <w:lang w:val="sv-SE"/>
        </w:rPr>
      </w:pPr>
      <w:r w:rsidRPr="00A86A92">
        <w:rPr>
          <w:rFonts w:ascii="Grundfos TheSans" w:hAnsi="Grundfos TheSans"/>
          <w:b/>
          <w:color w:val="FF0000"/>
          <w:sz w:val="21"/>
          <w:lang w:val="sv-SE"/>
        </w:rPr>
        <w:t>TPE2</w:t>
      </w:r>
      <w:r w:rsidRPr="00A86A92">
        <w:rPr>
          <w:rFonts w:ascii="Grundfos TheSans" w:hAnsi="Grundfos TheSans"/>
          <w:color w:val="FF0000"/>
          <w:sz w:val="21"/>
          <w:lang w:val="sv-SE"/>
        </w:rPr>
        <w:t xml:space="preserve"> </w:t>
      </w:r>
      <w:r w:rsidRPr="00A86A92">
        <w:rPr>
          <w:rFonts w:ascii="Grundfos TheSans" w:hAnsi="Grundfos TheSans"/>
          <w:sz w:val="21"/>
          <w:lang w:val="sv-SE"/>
        </w:rPr>
        <w:t>erbjuder den mest flexibla lösningen med många nya möjligheter för reglering. TPE2 kan närmast ses som ersättaren för TPE serie 1000 som levereras utan differens-</w:t>
      </w:r>
      <w:proofErr w:type="spellStart"/>
      <w:r w:rsidRPr="00A86A92">
        <w:rPr>
          <w:rFonts w:ascii="Grundfos TheSans" w:hAnsi="Grundfos TheSans"/>
          <w:sz w:val="21"/>
          <w:lang w:val="sv-SE"/>
        </w:rPr>
        <w:t>trycksgivare</w:t>
      </w:r>
      <w:proofErr w:type="spellEnd"/>
      <w:r w:rsidRPr="00A86A92">
        <w:rPr>
          <w:rFonts w:ascii="Grundfos TheSans" w:hAnsi="Grundfos TheSans"/>
          <w:sz w:val="21"/>
          <w:lang w:val="sv-SE"/>
        </w:rPr>
        <w:t xml:space="preserve"> och utan display på motorn. På denna modell är det bara fantasin som sätter gränserna.  </w:t>
      </w:r>
    </w:p>
    <w:p w:rsidR="00A86A92" w:rsidRPr="00A86A92" w:rsidRDefault="00A86A92" w:rsidP="00A86A92">
      <w:pPr>
        <w:rPr>
          <w:rFonts w:ascii="Grundfos TheSans" w:hAnsi="Grundfos TheSans"/>
          <w:sz w:val="21"/>
          <w:lang w:val="sv-SE"/>
        </w:rPr>
      </w:pPr>
    </w:p>
    <w:p w:rsidR="00A86A92" w:rsidRPr="00A86A92" w:rsidRDefault="00A86A92" w:rsidP="00A86A92">
      <w:pPr>
        <w:rPr>
          <w:rFonts w:ascii="Grundfos TheSans" w:hAnsi="Grundfos TheSans"/>
          <w:sz w:val="21"/>
          <w:lang w:val="sv-SE"/>
        </w:rPr>
      </w:pPr>
      <w:r w:rsidRPr="00A86A92">
        <w:rPr>
          <w:rFonts w:ascii="Grundfos TheSans" w:hAnsi="Grundfos TheSans"/>
          <w:b/>
          <w:color w:val="FF0000"/>
          <w:sz w:val="21"/>
          <w:lang w:val="sv-SE"/>
        </w:rPr>
        <w:t>TPE3</w:t>
      </w:r>
      <w:r w:rsidRPr="00A86A92">
        <w:rPr>
          <w:rFonts w:ascii="Grundfos TheSans" w:hAnsi="Grundfos TheSans"/>
          <w:color w:val="FF0000"/>
          <w:sz w:val="21"/>
          <w:lang w:val="sv-SE"/>
        </w:rPr>
        <w:t xml:space="preserve"> </w:t>
      </w:r>
      <w:r w:rsidRPr="00A86A92">
        <w:rPr>
          <w:rFonts w:ascii="Grundfos TheSans" w:hAnsi="Grundfos TheSans"/>
          <w:sz w:val="21"/>
          <w:lang w:val="sv-SE"/>
        </w:rPr>
        <w:t>är den kompletta ”</w:t>
      </w:r>
      <w:proofErr w:type="spellStart"/>
      <w:r w:rsidRPr="00A86A92">
        <w:rPr>
          <w:rFonts w:ascii="Grundfos TheSans" w:hAnsi="Grundfos TheSans"/>
          <w:sz w:val="21"/>
          <w:lang w:val="sv-SE"/>
        </w:rPr>
        <w:t>plug</w:t>
      </w:r>
      <w:proofErr w:type="spellEnd"/>
      <w:r w:rsidRPr="00A86A92">
        <w:rPr>
          <w:rFonts w:ascii="Grundfos TheSans" w:hAnsi="Grundfos TheSans"/>
          <w:sz w:val="21"/>
          <w:lang w:val="sv-SE"/>
        </w:rPr>
        <w:t xml:space="preserve"> and pump”-lösningen. TPE3 är den pump som man generellt kan säga ersätter TPE serie 2000 med differenstrycksgivare och har en utförlig och användarvänlig display likt den på MAGNA3. Pumpen har i övrigt flera </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av de funktioner som finns på MAGNA3, men har även kompletterats med ytterligare funktioner som öppnar upp för flera möjligheter.</w:t>
      </w:r>
    </w:p>
    <w:p w:rsidR="00A86A92" w:rsidRPr="00A86A92" w:rsidRDefault="00A86A92" w:rsidP="00A86A92">
      <w:pPr>
        <w:rPr>
          <w:rFonts w:ascii="Grundfos TheSans" w:hAnsi="Grundfos TheSans"/>
          <w:b/>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t xml:space="preserve">Inbyggd </w:t>
      </w:r>
      <w:proofErr w:type="spellStart"/>
      <w:r w:rsidRPr="00A86A92">
        <w:rPr>
          <w:rFonts w:ascii="Grundfos TheSans" w:hAnsi="Grundfos TheSans"/>
          <w:b/>
          <w:bCs/>
          <w:sz w:val="21"/>
          <w:lang w:val="sv-SE"/>
        </w:rPr>
        <w:t>energimätare</w:t>
      </w:r>
      <w:proofErr w:type="spellEnd"/>
      <w:r w:rsidRPr="00A86A92">
        <w:rPr>
          <w:rFonts w:ascii="Grundfos TheSans" w:hAnsi="Grundfos TheSans"/>
          <w:b/>
          <w:bCs/>
          <w:sz w:val="21"/>
          <w:lang w:val="sv-SE"/>
        </w:rPr>
        <w:t xml:space="preserve"> och strypventil</w:t>
      </w:r>
    </w:p>
    <w:p w:rsidR="00A86A92" w:rsidRDefault="00A86A92" w:rsidP="00A86A92">
      <w:pPr>
        <w:widowControl w:val="0"/>
        <w:autoSpaceDE w:val="0"/>
        <w:autoSpaceDN w:val="0"/>
        <w:adjustRightInd w:val="0"/>
        <w:rPr>
          <w:rFonts w:ascii="Grundfos TheSans" w:hAnsi="Grundfos TheSans" w:cs="Times New Roman"/>
          <w:sz w:val="21"/>
          <w:lang w:val="sv-SE"/>
        </w:rPr>
      </w:pPr>
      <w:r w:rsidRPr="00A86A92">
        <w:rPr>
          <w:rFonts w:ascii="Grundfos TheSans" w:hAnsi="Grundfos TheSans" w:cs="Times New Roman"/>
          <w:sz w:val="21"/>
          <w:lang w:val="sv-SE"/>
        </w:rPr>
        <w:t>TPE3 är mer än en pump: En inbyggd mätare för värmeenergi, som övervakar värme-förbrukningen i systemet, hjälper till att undvika onödigt höga elräkningar orsakade av obalans i systemet. Dessutom eliminerar en funktion för flödesbegränsning behovet av strypventiler och minskar därmed tryckförlusten. Detta ger systemet bättre total prestanda och ger lägre initiala kostnader.</w:t>
      </w:r>
    </w:p>
    <w:p w:rsidR="00A86A92" w:rsidRDefault="00A86A92" w:rsidP="00A86A92">
      <w:pPr>
        <w:widowControl w:val="0"/>
        <w:autoSpaceDE w:val="0"/>
        <w:autoSpaceDN w:val="0"/>
        <w:adjustRightInd w:val="0"/>
        <w:rPr>
          <w:rFonts w:ascii="Grundfos TheSans" w:hAnsi="Grundfos TheSans" w:cs="Times New Roman"/>
          <w:sz w:val="21"/>
          <w:lang w:val="sv-SE"/>
        </w:rPr>
      </w:pPr>
    </w:p>
    <w:p w:rsidR="00A86A92" w:rsidRPr="00A86A92" w:rsidRDefault="00A86A92" w:rsidP="00A86A92">
      <w:pPr>
        <w:widowControl w:val="0"/>
        <w:autoSpaceDE w:val="0"/>
        <w:autoSpaceDN w:val="0"/>
        <w:adjustRightInd w:val="0"/>
        <w:rPr>
          <w:rFonts w:ascii="Grundfos TheSans" w:hAnsi="Grundfos TheSans" w:cs="Times New Roman"/>
          <w:sz w:val="21"/>
          <w:lang w:val="sv-SE"/>
        </w:rPr>
      </w:pPr>
    </w:p>
    <w:p w:rsidR="00A86A92" w:rsidRPr="00A86A92" w:rsidRDefault="00A86A92" w:rsidP="00A86A92">
      <w:pPr>
        <w:rPr>
          <w:rFonts w:ascii="Grundfos TheSans" w:hAnsi="Grundfos TheSans"/>
          <w:b/>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lastRenderedPageBreak/>
        <w:t>Integrerad differenstemperaturreglering</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 xml:space="preserve">Undvik för hög eller för låg differenstemperatur (ΔT). Med integrerad differens-temperaturreglering slipper du kostnaden för en differenstemperaturgivare. </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 xml:space="preserve">Pumpen regleras utifrån uppmätt differens mellan framledningstemperatur och returledningstemperatur. Detta görs med hjälp av den inbyggda givaren tillsammans med en extern givare som kopplas direkt till TPE3, vilket gör att pumpen kan reglera systemets flödesbehov efter differenstemperaturen. </w:t>
      </w:r>
    </w:p>
    <w:p w:rsidR="00A86A92" w:rsidRPr="00A86A92" w:rsidRDefault="00A86A92" w:rsidP="00A86A92">
      <w:pPr>
        <w:rPr>
          <w:rFonts w:ascii="Grundfos TheSans" w:hAnsi="Grundfos TheSans"/>
          <w:b/>
          <w:bCs/>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t>Optimera pumparnas användningsområden!</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TPE2 och TPE3 är mångsidiga cirkulationspumpar som kan användas i alla system för värme, kyla, fjärrvärme och fjärrkyla.</w:t>
      </w:r>
      <w:r w:rsidRPr="00A86A92">
        <w:rPr>
          <w:rFonts w:ascii="Grundfos TheSans" w:hAnsi="Grundfos TheSans"/>
          <w:color w:val="FF0000"/>
          <w:sz w:val="21"/>
          <w:lang w:val="sv-SE"/>
        </w:rPr>
        <w:t xml:space="preserve"> </w:t>
      </w:r>
      <w:r w:rsidRPr="00A86A92">
        <w:rPr>
          <w:rFonts w:ascii="Grundfos TheSans" w:hAnsi="Grundfos TheSans"/>
          <w:sz w:val="21"/>
          <w:lang w:val="sv-SE"/>
        </w:rPr>
        <w:t>I vissa applikationer gör pumparna avsevärd skillnad i fråga om komfort och systemverkningsgrad.</w:t>
      </w:r>
      <w:r w:rsidRPr="00A86A92">
        <w:rPr>
          <w:rFonts w:ascii="Grundfos TheSans" w:hAnsi="Grundfos TheSans"/>
          <w:color w:val="FF0000"/>
          <w:sz w:val="21"/>
          <w:lang w:val="sv-SE"/>
        </w:rPr>
        <w:t xml:space="preserve"> </w:t>
      </w:r>
    </w:p>
    <w:p w:rsidR="00A86A92" w:rsidRPr="00A86A92" w:rsidRDefault="00A86A92" w:rsidP="00A86A92">
      <w:pPr>
        <w:rPr>
          <w:rFonts w:ascii="Grundfos TheSans" w:hAnsi="Grundfos TheSans"/>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t>Flerpumpsfunktion</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 xml:space="preserve">Med trådlös teknik kan TPE2 och TPE3 anslutas till upp till fyra pumpar – som kan styras i alternerande läge, reservpumpsläge eller tillsammans i kaskadläge utan behov av ytterligare pumpstyrenheter. </w:t>
      </w:r>
    </w:p>
    <w:p w:rsidR="00A86A92" w:rsidRPr="00A86A92" w:rsidRDefault="00A86A92" w:rsidP="00A86A92">
      <w:pPr>
        <w:rPr>
          <w:rFonts w:ascii="Grundfos TheSans" w:hAnsi="Grundfos TheSans"/>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bCs/>
          <w:sz w:val="21"/>
          <w:lang w:val="sv-SE"/>
        </w:rPr>
        <w:t>Konstruerad för enkel övervakning, installation och driftsättning</w:t>
      </w:r>
    </w:p>
    <w:p w:rsidR="00A86A92" w:rsidRPr="00A86A92" w:rsidRDefault="00A86A92" w:rsidP="00A86A92">
      <w:pPr>
        <w:widowControl w:val="0"/>
        <w:autoSpaceDE w:val="0"/>
        <w:autoSpaceDN w:val="0"/>
        <w:adjustRightInd w:val="0"/>
        <w:rPr>
          <w:rFonts w:ascii="Grundfos TheSans" w:hAnsi="Grundfos TheSans" w:cs="Times New Roman"/>
          <w:sz w:val="21"/>
          <w:lang w:val="sv-SE"/>
        </w:rPr>
      </w:pPr>
      <w:r w:rsidRPr="00A86A92">
        <w:rPr>
          <w:rFonts w:ascii="Grundfos TheSans" w:hAnsi="Grundfos TheSans" w:cs="Times New Roman"/>
          <w:sz w:val="21"/>
          <w:lang w:val="sv-SE"/>
        </w:rPr>
        <w:t>Tack vare ett stort antal digitala och analoga in- och utgångar erbjuder TPE3 bättre systemövervakning och optimal pumpreglering. Med användarvänliga assist-menyer och den tydliga färgdisplayen hos TPE3 kan man enkelt ställa in pumpen och nyttja de avancerade funktionerna. Pumpen kan även anslutas till Grundfos GO för intuitiv pumpstyrning med full åtkomst till Grundfos online-verktyg.</w:t>
      </w:r>
    </w:p>
    <w:p w:rsidR="00A86A92" w:rsidRPr="00A86A92" w:rsidRDefault="00A86A92" w:rsidP="00A86A92">
      <w:pPr>
        <w:widowControl w:val="0"/>
        <w:autoSpaceDE w:val="0"/>
        <w:autoSpaceDN w:val="0"/>
        <w:adjustRightInd w:val="0"/>
        <w:rPr>
          <w:rFonts w:ascii="Grundfos TheSans" w:hAnsi="Grundfos TheSans" w:cs="Times New Roman"/>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sz w:val="21"/>
          <w:lang w:val="sv-SE"/>
        </w:rPr>
        <w:t>Utfasning av Grundfos äldre TPE-pumpar under 2015</w:t>
      </w:r>
      <w:bookmarkStart w:id="0" w:name="_GoBack"/>
      <w:bookmarkEnd w:id="0"/>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 xml:space="preserve">En utfasning sker nu av flänsade TPE-pumpar i serie 1000 och 2000 upp till 2,2 kW. Dessa pumpar ersätts av den nyutvecklade TPE2- och TPE3-serien. Sista datumet för att beställa utgående pumpar är </w:t>
      </w:r>
      <w:r w:rsidRPr="00A86A92">
        <w:rPr>
          <w:rFonts w:ascii="Grundfos TheSans" w:hAnsi="Grundfos TheSans"/>
          <w:b/>
          <w:sz w:val="21"/>
          <w:lang w:val="sv-SE"/>
        </w:rPr>
        <w:t>2015-07-31</w:t>
      </w:r>
      <w:r w:rsidRPr="00A86A92">
        <w:rPr>
          <w:rFonts w:ascii="Grundfos TheSans" w:hAnsi="Grundfos TheSans"/>
          <w:sz w:val="21"/>
          <w:lang w:val="sv-SE"/>
        </w:rPr>
        <w:t xml:space="preserve">. TPE2 och TP3 finns redan nu att tillgå i Grundfos sortiment och finns för försäljning i Sverige fr o m </w:t>
      </w:r>
      <w:r w:rsidRPr="00A86A92">
        <w:rPr>
          <w:rFonts w:ascii="Grundfos TheSans" w:hAnsi="Grundfos TheSans"/>
          <w:b/>
          <w:sz w:val="21"/>
          <w:lang w:val="sv-SE"/>
        </w:rPr>
        <w:t>2015-0</w:t>
      </w:r>
      <w:r w:rsidR="00B3189A">
        <w:rPr>
          <w:rFonts w:ascii="Grundfos TheSans" w:hAnsi="Grundfos TheSans"/>
          <w:b/>
          <w:sz w:val="21"/>
          <w:lang w:val="sv-SE"/>
        </w:rPr>
        <w:t>7</w:t>
      </w:r>
      <w:r w:rsidRPr="00A86A92">
        <w:rPr>
          <w:rFonts w:ascii="Grundfos TheSans" w:hAnsi="Grundfos TheSans"/>
          <w:b/>
          <w:sz w:val="21"/>
          <w:lang w:val="sv-SE"/>
        </w:rPr>
        <w:t>-0</w:t>
      </w:r>
      <w:r w:rsidR="00B3189A">
        <w:rPr>
          <w:rFonts w:ascii="Grundfos TheSans" w:hAnsi="Grundfos TheSans"/>
          <w:b/>
          <w:sz w:val="21"/>
          <w:lang w:val="sv-SE"/>
        </w:rPr>
        <w:t>9</w:t>
      </w:r>
      <w:r w:rsidRPr="00A86A92">
        <w:rPr>
          <w:rFonts w:ascii="Grundfos TheSans" w:hAnsi="Grundfos TheSans"/>
          <w:sz w:val="21"/>
          <w:lang w:val="sv-SE"/>
        </w:rPr>
        <w:t>.</w:t>
      </w:r>
    </w:p>
    <w:p w:rsidR="00A86A92" w:rsidRPr="00A86A92" w:rsidRDefault="00A86A92" w:rsidP="00A86A92">
      <w:pPr>
        <w:widowControl w:val="0"/>
        <w:autoSpaceDE w:val="0"/>
        <w:autoSpaceDN w:val="0"/>
        <w:adjustRightInd w:val="0"/>
        <w:rPr>
          <w:rFonts w:ascii="Grundfos TheSans" w:hAnsi="Grundfos TheSans" w:cs="Times New Roman"/>
          <w:sz w:val="21"/>
          <w:lang w:val="sv-SE"/>
        </w:rPr>
      </w:pPr>
    </w:p>
    <w:p w:rsidR="00A86A92" w:rsidRPr="00A86A92" w:rsidRDefault="00A86A92" w:rsidP="00A86A92">
      <w:pPr>
        <w:widowControl w:val="0"/>
        <w:autoSpaceDE w:val="0"/>
        <w:autoSpaceDN w:val="0"/>
        <w:adjustRightInd w:val="0"/>
        <w:rPr>
          <w:rFonts w:ascii="Grundfos TheSans" w:hAnsi="Grundfos TheSans" w:cs="Times New Roman"/>
          <w:b/>
          <w:sz w:val="21"/>
          <w:lang w:val="sv-SE"/>
        </w:rPr>
      </w:pPr>
      <w:r w:rsidRPr="00A86A92">
        <w:rPr>
          <w:rFonts w:ascii="Grundfos TheSans" w:hAnsi="Grundfos TheSans" w:cs="Times New Roman"/>
          <w:b/>
          <w:sz w:val="21"/>
          <w:lang w:val="sv-SE"/>
        </w:rPr>
        <w:t>Tekniska data</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Flöde upp till 80 m³/h</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Lyfthöjd upp till 25 m</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Temperaturområde: -25 till 120 °C</w:t>
      </w:r>
    </w:p>
    <w:p w:rsidR="00A86A92" w:rsidRPr="00A86A92" w:rsidRDefault="00A86A92" w:rsidP="00A86A92">
      <w:pPr>
        <w:rPr>
          <w:rFonts w:ascii="Grundfos TheSans" w:hAnsi="Grundfos TheSans"/>
          <w:sz w:val="21"/>
          <w:lang w:val="sv-SE"/>
        </w:rPr>
      </w:pPr>
      <w:r w:rsidRPr="00A86A92">
        <w:rPr>
          <w:rFonts w:ascii="Grundfos TheSans" w:hAnsi="Grundfos TheSans"/>
          <w:sz w:val="21"/>
          <w:lang w:val="sv-SE"/>
        </w:rPr>
        <w:t>Omgivningstemperatur: -20 till 50 °C</w:t>
      </w:r>
    </w:p>
    <w:p w:rsidR="00A86A92" w:rsidRPr="00A86A92" w:rsidRDefault="00A86A92" w:rsidP="00A86A92">
      <w:pPr>
        <w:rPr>
          <w:rFonts w:ascii="Grundfos TheSans" w:hAnsi="Grundfos TheSans"/>
          <w:color w:val="1F497D"/>
          <w:sz w:val="21"/>
          <w:lang w:val="sv-SE"/>
        </w:rPr>
      </w:pPr>
    </w:p>
    <w:p w:rsidR="00A86A92" w:rsidRPr="00A86A92" w:rsidRDefault="00A86A92" w:rsidP="00A86A92">
      <w:pPr>
        <w:rPr>
          <w:rFonts w:ascii="Grundfos TheSans" w:hAnsi="Grundfos TheSans"/>
          <w:b/>
          <w:sz w:val="21"/>
          <w:lang w:val="sv-SE"/>
        </w:rPr>
      </w:pPr>
      <w:r w:rsidRPr="00A86A92">
        <w:rPr>
          <w:rFonts w:ascii="Grundfos TheSans" w:hAnsi="Grundfos TheSans"/>
          <w:b/>
          <w:sz w:val="21"/>
          <w:lang w:val="sv-SE"/>
        </w:rPr>
        <w:t>Egenskaper och fördelar</w:t>
      </w:r>
    </w:p>
    <w:p w:rsidR="00A86A92" w:rsidRPr="00A86A92" w:rsidRDefault="00A86A92" w:rsidP="00A86A92">
      <w:pPr>
        <w:pStyle w:val="ListParagraph"/>
        <w:numPr>
          <w:ilvl w:val="0"/>
          <w:numId w:val="4"/>
        </w:numPr>
        <w:rPr>
          <w:rFonts w:ascii="Grundfos TheSans" w:hAnsi="Grundfos TheSans"/>
          <w:sz w:val="21"/>
          <w:lang w:val="sv-SE"/>
        </w:rPr>
      </w:pPr>
      <w:r w:rsidRPr="00A86A92">
        <w:rPr>
          <w:rFonts w:ascii="Grundfos TheSans" w:hAnsi="Grundfos TheSans"/>
          <w:sz w:val="21"/>
          <w:lang w:val="sv-SE"/>
        </w:rPr>
        <w:t>Enkel- och dubbelpumpar i gjutjärn, DN32 – DN100</w:t>
      </w:r>
    </w:p>
    <w:p w:rsidR="00A86A92" w:rsidRPr="00A86A92" w:rsidRDefault="00A86A92" w:rsidP="00A86A92">
      <w:pPr>
        <w:pStyle w:val="ListParagraph"/>
        <w:numPr>
          <w:ilvl w:val="0"/>
          <w:numId w:val="4"/>
        </w:numPr>
        <w:rPr>
          <w:rFonts w:ascii="Grundfos TheSans" w:hAnsi="Grundfos TheSans"/>
          <w:sz w:val="21"/>
          <w:lang w:val="sv-SE"/>
        </w:rPr>
      </w:pPr>
      <w:r w:rsidRPr="00A86A92">
        <w:rPr>
          <w:rFonts w:ascii="Grundfos TheSans" w:hAnsi="Grundfos TheSans"/>
          <w:sz w:val="21"/>
          <w:lang w:val="sv-SE"/>
        </w:rPr>
        <w:t>Enkelpumpar i rostfritt stål, DN32 – DN65</w:t>
      </w:r>
    </w:p>
    <w:p w:rsidR="00A86A92" w:rsidRPr="00A86A92" w:rsidRDefault="00A86A92" w:rsidP="00A86A92">
      <w:pPr>
        <w:pStyle w:val="ListParagraph"/>
        <w:numPr>
          <w:ilvl w:val="0"/>
          <w:numId w:val="4"/>
        </w:numPr>
        <w:rPr>
          <w:rFonts w:ascii="Grundfos TheSans" w:hAnsi="Grundfos TheSans"/>
          <w:sz w:val="21"/>
          <w:lang w:val="sv-SE"/>
        </w:rPr>
      </w:pPr>
      <w:r w:rsidRPr="00A86A92">
        <w:rPr>
          <w:rFonts w:ascii="Grundfos TheSans" w:hAnsi="Grundfos TheSans"/>
          <w:sz w:val="21"/>
          <w:lang w:val="sv-SE"/>
        </w:rPr>
        <w:t>Tydlig och användarvänlig färgdisplay</w:t>
      </w:r>
    </w:p>
    <w:p w:rsidR="00A86A92" w:rsidRPr="00A86A92" w:rsidRDefault="00A86A92" w:rsidP="00A86A92">
      <w:pPr>
        <w:pStyle w:val="ListParagraph"/>
        <w:numPr>
          <w:ilvl w:val="0"/>
          <w:numId w:val="4"/>
        </w:numPr>
        <w:rPr>
          <w:rFonts w:ascii="Grundfos TheSans" w:hAnsi="Grundfos TheSans"/>
          <w:sz w:val="21"/>
          <w:lang w:val="sv-SE"/>
        </w:rPr>
      </w:pPr>
      <w:r w:rsidRPr="00A86A92">
        <w:rPr>
          <w:rFonts w:ascii="Grundfos TheSans" w:hAnsi="Grundfos TheSans"/>
          <w:sz w:val="21"/>
          <w:lang w:val="sv-SE"/>
        </w:rPr>
        <w:t>Inbyggd temperatur- och differenstrycksgivare</w:t>
      </w:r>
    </w:p>
    <w:p w:rsidR="00A86A92" w:rsidRPr="00A86A92" w:rsidRDefault="00A86A92" w:rsidP="00A86A92">
      <w:pPr>
        <w:pStyle w:val="ListParagraph"/>
        <w:numPr>
          <w:ilvl w:val="0"/>
          <w:numId w:val="4"/>
        </w:numPr>
        <w:rPr>
          <w:rFonts w:ascii="Grundfos TheSans" w:hAnsi="Grundfos TheSans"/>
          <w:sz w:val="21"/>
          <w:lang w:val="sv-SE"/>
        </w:rPr>
      </w:pPr>
      <w:r w:rsidRPr="00A86A92">
        <w:rPr>
          <w:rFonts w:ascii="Grundfos TheSans" w:hAnsi="Grundfos TheSans"/>
          <w:sz w:val="21"/>
          <w:lang w:val="sv-SE"/>
        </w:rPr>
        <w:t>Permanentmagnetrotor som med ”råge” klarar kraven för IE4</w:t>
      </w:r>
    </w:p>
    <w:p w:rsidR="00A86A92" w:rsidRPr="00A86A92" w:rsidRDefault="00A86A92" w:rsidP="00A86A92">
      <w:pPr>
        <w:pStyle w:val="ListParagraph"/>
        <w:widowControl w:val="0"/>
        <w:numPr>
          <w:ilvl w:val="0"/>
          <w:numId w:val="4"/>
        </w:numPr>
        <w:autoSpaceDE w:val="0"/>
        <w:autoSpaceDN w:val="0"/>
        <w:adjustRightInd w:val="0"/>
        <w:rPr>
          <w:rFonts w:ascii="Grundfos TheSans" w:hAnsi="Grundfos TheSans"/>
          <w:sz w:val="21"/>
          <w:lang w:val="sv-SE"/>
        </w:rPr>
      </w:pPr>
      <w:r w:rsidRPr="00A86A92">
        <w:rPr>
          <w:rFonts w:ascii="Grundfos TheSans" w:hAnsi="Grundfos TheSans"/>
          <w:sz w:val="21"/>
        </w:rPr>
        <w:t xml:space="preserve">Hydraulisk </w:t>
      </w:r>
      <w:proofErr w:type="spellStart"/>
      <w:r w:rsidRPr="00A86A92">
        <w:rPr>
          <w:rFonts w:ascii="Grundfos TheSans" w:hAnsi="Grundfos TheSans"/>
          <w:sz w:val="21"/>
        </w:rPr>
        <w:t>pumpverkningsgrad</w:t>
      </w:r>
      <w:proofErr w:type="spellEnd"/>
      <w:r w:rsidRPr="00A86A92">
        <w:rPr>
          <w:rFonts w:ascii="Grundfos TheSans" w:hAnsi="Grundfos TheSans"/>
          <w:sz w:val="21"/>
        </w:rPr>
        <w:t>: MEI&gt;0.70</w:t>
      </w:r>
    </w:p>
    <w:p w:rsidR="000B4146" w:rsidRPr="00E24EE1" w:rsidRDefault="000B4146" w:rsidP="009B3B46">
      <w:pPr>
        <w:pBdr>
          <w:bottom w:val="single" w:sz="12" w:space="1" w:color="auto"/>
        </w:pBdr>
        <w:rPr>
          <w:rFonts w:asciiTheme="majorHAnsi" w:hAnsiTheme="majorHAnsi"/>
          <w:sz w:val="20"/>
          <w:szCs w:val="22"/>
        </w:rPr>
      </w:pPr>
    </w:p>
    <w:p w:rsidR="00903D4C" w:rsidRDefault="00903D4C" w:rsidP="00E24EE1">
      <w:pPr>
        <w:rPr>
          <w:rFonts w:asciiTheme="majorHAnsi" w:hAnsiTheme="majorHAnsi"/>
          <w:sz w:val="20"/>
          <w:szCs w:val="22"/>
          <w:lang w:val="sv"/>
        </w:rPr>
      </w:pPr>
    </w:p>
    <w:p w:rsidR="00E24EE1" w:rsidRDefault="00E24EE1" w:rsidP="00E24EE1">
      <w:pPr>
        <w:rPr>
          <w:rFonts w:asciiTheme="majorHAnsi" w:hAnsiTheme="majorHAnsi"/>
          <w:sz w:val="20"/>
          <w:szCs w:val="22"/>
          <w:lang w:val="sv"/>
        </w:rPr>
      </w:pPr>
    </w:p>
    <w:p w:rsidR="00E24EE1" w:rsidRDefault="00365262" w:rsidP="00E24EE1">
      <w:pPr>
        <w:rPr>
          <w:rFonts w:asciiTheme="majorHAnsi" w:hAnsiTheme="majorHAnsi"/>
          <w:sz w:val="20"/>
          <w:szCs w:val="20"/>
        </w:rPr>
      </w:pPr>
      <w:r>
        <w:rPr>
          <w:rFonts w:asciiTheme="majorHAnsi" w:hAnsiTheme="majorHAnsi"/>
          <w:sz w:val="20"/>
          <w:szCs w:val="20"/>
          <w:lang w:val="sv"/>
        </w:rPr>
        <w:t>För m</w:t>
      </w:r>
      <w:r w:rsidR="00E24EE1">
        <w:rPr>
          <w:rFonts w:asciiTheme="majorHAnsi" w:hAnsiTheme="majorHAnsi"/>
          <w:sz w:val="20"/>
          <w:szCs w:val="20"/>
          <w:lang w:val="sv"/>
        </w:rPr>
        <w:t>er information, kontakta:</w:t>
      </w:r>
    </w:p>
    <w:p w:rsidR="00E24EE1" w:rsidRDefault="00365262" w:rsidP="00227ED9">
      <w:pPr>
        <w:rPr>
          <w:rFonts w:asciiTheme="majorHAnsi" w:hAnsiTheme="majorHAnsi"/>
          <w:sz w:val="22"/>
          <w:szCs w:val="22"/>
          <w:highlight w:val="yellow"/>
        </w:rPr>
      </w:pPr>
      <w:r>
        <w:rPr>
          <w:rFonts w:asciiTheme="majorHAnsi" w:hAnsiTheme="majorHAnsi"/>
          <w:sz w:val="20"/>
          <w:szCs w:val="20"/>
          <w:lang w:val="sv"/>
        </w:rPr>
        <w:t>Philip Zamore, Marknadschef</w:t>
      </w:r>
      <w:r w:rsidR="00E24EE1">
        <w:rPr>
          <w:rFonts w:asciiTheme="majorHAnsi" w:hAnsiTheme="majorHAnsi"/>
          <w:sz w:val="20"/>
          <w:szCs w:val="20"/>
          <w:lang w:val="sv"/>
        </w:rPr>
        <w:t xml:space="preserve">, </w:t>
      </w:r>
      <w:hyperlink r:id="rId11" w:history="1">
        <w:r w:rsidRPr="001F2E1D">
          <w:rPr>
            <w:rStyle w:val="Hyperlink"/>
            <w:rFonts w:asciiTheme="majorHAnsi" w:hAnsiTheme="majorHAnsi"/>
            <w:sz w:val="20"/>
            <w:szCs w:val="20"/>
            <w:lang w:val="sv"/>
          </w:rPr>
          <w:t>pzamore@grundfos.com</w:t>
        </w:r>
      </w:hyperlink>
      <w:r>
        <w:rPr>
          <w:rFonts w:asciiTheme="majorHAnsi" w:hAnsiTheme="majorHAnsi"/>
          <w:sz w:val="20"/>
          <w:szCs w:val="20"/>
          <w:lang w:val="sv"/>
        </w:rPr>
        <w:t xml:space="preserve">  e</w:t>
      </w:r>
      <w:r w:rsidR="00E24EE1">
        <w:rPr>
          <w:rFonts w:asciiTheme="majorHAnsi" w:hAnsiTheme="majorHAnsi"/>
          <w:sz w:val="20"/>
          <w:szCs w:val="20"/>
          <w:lang w:val="sv"/>
        </w:rPr>
        <w:t xml:space="preserve">ller ring </w:t>
      </w:r>
      <w:r>
        <w:rPr>
          <w:rFonts w:asciiTheme="majorHAnsi" w:hAnsiTheme="majorHAnsi"/>
          <w:sz w:val="20"/>
          <w:szCs w:val="20"/>
          <w:lang w:val="sv"/>
        </w:rPr>
        <w:t>+46 (0)8 448 74 46</w:t>
      </w:r>
    </w:p>
    <w:sectPr w:rsidR="00E24EE1" w:rsidSect="001B7B84">
      <w:headerReference w:type="default" r:id="rId12"/>
      <w:pgSz w:w="11900" w:h="16840"/>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CA0" w:rsidRDefault="00112CA0" w:rsidP="00FE3AE8">
      <w:r>
        <w:separator/>
      </w:r>
    </w:p>
  </w:endnote>
  <w:endnote w:type="continuationSeparator" w:id="0">
    <w:p w:rsidR="00112CA0" w:rsidRDefault="00112CA0" w:rsidP="00FE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rundfos TheSans">
    <w:panose1 w:val="020B0503040302060204"/>
    <w:charset w:val="00"/>
    <w:family w:val="swiss"/>
    <w:pitch w:val="variable"/>
    <w:sig w:usb0="800000A7"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CA0" w:rsidRDefault="00112CA0" w:rsidP="00FE3AE8">
      <w:r>
        <w:separator/>
      </w:r>
    </w:p>
  </w:footnote>
  <w:footnote w:type="continuationSeparator" w:id="0">
    <w:p w:rsidR="00112CA0" w:rsidRDefault="00112CA0" w:rsidP="00FE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84" w:rsidRDefault="001B7B84" w:rsidP="001B7B84">
    <w:pPr>
      <w:pStyle w:val="Header"/>
      <w:tabs>
        <w:tab w:val="left" w:pos="2160"/>
      </w:tabs>
    </w:pPr>
    <w:r>
      <w:tab/>
    </w:r>
    <w:r>
      <w:tab/>
    </w:r>
    <w:r>
      <w:rPr>
        <w:noProof/>
        <w:lang w:val="sv-SE" w:eastAsia="ja-JP"/>
      </w:rPr>
      <mc:AlternateContent>
        <mc:Choice Requires="wps">
          <w:drawing>
            <wp:anchor distT="0" distB="0" distL="114300" distR="114300" simplePos="0" relativeHeight="251669504" behindDoc="0" locked="0" layoutInCell="1" allowOverlap="1">
              <wp:simplePos x="0" y="0"/>
              <wp:positionH relativeFrom="column">
                <wp:posOffset>381000</wp:posOffset>
              </wp:positionH>
              <wp:positionV relativeFrom="paragraph">
                <wp:posOffset>10506075</wp:posOffset>
              </wp:positionV>
              <wp:extent cx="7181850" cy="1905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850" cy="190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D4FF0" id="Rectangle 4" o:spid="_x0000_s1026" style="position:absolute;margin-left:30pt;margin-top:827.25pt;width:565.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" fillcolor="#4f81bd" strokecolor="#385d8a" strokeweight="2pt">
              <v:path arrowok="t"/>
            </v:rect>
          </w:pict>
        </mc:Fallback>
      </mc:AlternateContent>
    </w:r>
    <w:r>
      <w:rPr>
        <w:noProof/>
        <w:lang w:val="sv-SE" w:eastAsia="ja-JP"/>
      </w:rPr>
      <mc:AlternateContent>
        <mc:Choice Requires="wps">
          <w:drawing>
            <wp:anchor distT="4294967295" distB="4294967295" distL="114300" distR="114300" simplePos="0" relativeHeight="251661312" behindDoc="0" locked="0" layoutInCell="1" allowOverlap="1">
              <wp:simplePos x="0" y="0"/>
              <wp:positionH relativeFrom="column">
                <wp:posOffset>13970</wp:posOffset>
              </wp:positionH>
              <wp:positionV relativeFrom="paragraph">
                <wp:posOffset>556894</wp:posOffset>
              </wp:positionV>
              <wp:extent cx="72485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8525" cy="0"/>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FF422"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43.85pt" to="571.8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" strokecolor="#002060" strokeweight=".5pt"/>
          </w:pict>
        </mc:Fallback>
      </mc:AlternateContent>
    </w:r>
    <w:r>
      <w:rPr>
        <w:noProof/>
        <w:lang w:val="sv-SE" w:eastAsia="ja-JP"/>
      </w:rPr>
      <mc:AlternateContent>
        <mc:Choice Requires="wps">
          <w:drawing>
            <wp:anchor distT="0" distB="0" distL="114300" distR="114300" simplePos="0" relativeHeight="251653120" behindDoc="0" locked="0" layoutInCell="1" allowOverlap="1">
              <wp:simplePos x="0" y="0"/>
              <wp:positionH relativeFrom="column">
                <wp:posOffset>2933700</wp:posOffset>
              </wp:positionH>
              <wp:positionV relativeFrom="paragraph">
                <wp:posOffset>99695</wp:posOffset>
              </wp:positionV>
              <wp:extent cx="32004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B84" w:rsidRDefault="001B7B84" w:rsidP="001B7B84">
                          <w:pPr>
                            <w:jc w:val="right"/>
                            <w:rPr>
                              <w:rFonts w:ascii="Grundfos TheSans" w:hAnsi="Grundfos TheSans"/>
                              <w:color w:val="064B86"/>
                              <w:sz w:val="28"/>
                            </w:rPr>
                          </w:pPr>
                          <w:r w:rsidRPr="00462C3A">
                            <w:rPr>
                              <w:rFonts w:ascii="Grundfos TheSans" w:hAnsi="Grundfos TheSans"/>
                              <w:color w:val="002060"/>
                              <w:sz w:val="28"/>
                            </w:rPr>
                            <w:t>GRUNDFOS</w:t>
                          </w:r>
                          <w:r>
                            <w:rPr>
                              <w:rFonts w:ascii="Grundfos TheSans" w:hAnsi="Grundfos TheSans"/>
                              <w:color w:val="064B86"/>
                              <w:sz w:val="28"/>
                            </w:rPr>
                            <w:t xml:space="preserve"> </w:t>
                          </w:r>
                          <w:r w:rsidRPr="00462C3A">
                            <w:rPr>
                              <w:rFonts w:ascii="Grundfos TheSans" w:hAnsi="Grundfos TheSans"/>
                              <w:b/>
                              <w:bCs/>
                              <w:color w:val="002060"/>
                              <w:sz w:val="28"/>
                            </w:rPr>
                            <w:t>PRESSRELEASE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1pt;margin-top:7.85pt;width:252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I9sA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" filled="f" stroked="f">
              <v:textbox>
                <w:txbxContent>
                  <w:p w:rsidR="001B7B84" w:rsidRDefault="001B7B84" w:rsidP="001B7B84">
                    <w:pPr>
                      <w:jc w:val="right"/>
                      <w:rPr>
                        <w:rFonts w:ascii="Grundfos TheSans" w:hAnsi="Grundfos TheSans"/>
                        <w:color w:val="064B86"/>
                        <w:sz w:val="28"/>
                      </w:rPr>
                    </w:pPr>
                    <w:r w:rsidRPr="00462C3A">
                      <w:rPr>
                        <w:rFonts w:ascii="Grundfos TheSans" w:hAnsi="Grundfos TheSans"/>
                        <w:color w:val="002060"/>
                        <w:sz w:val="28"/>
                      </w:rPr>
                      <w:t>GRUNDFOS</w:t>
                    </w:r>
                    <w:r>
                      <w:rPr>
                        <w:rFonts w:ascii="Grundfos TheSans" w:hAnsi="Grundfos TheSans"/>
                        <w:color w:val="064B86"/>
                        <w:sz w:val="28"/>
                      </w:rPr>
                      <w:t xml:space="preserve"> </w:t>
                    </w:r>
                    <w:r w:rsidRPr="00462C3A">
                      <w:rPr>
                        <w:rFonts w:ascii="Grundfos TheSans" w:hAnsi="Grundfos TheSans"/>
                        <w:b/>
                        <w:bCs/>
                        <w:color w:val="002060"/>
                        <w:sz w:val="28"/>
                      </w:rPr>
                      <w:t>PRESSRELEASE</w:t>
                    </w:r>
                  </w:p>
                </w:txbxContent>
              </v:textbox>
            </v:shape>
          </w:pict>
        </mc:Fallback>
      </mc:AlternateContent>
    </w:r>
  </w:p>
  <w:p w:rsidR="001B7B84" w:rsidRDefault="001B7B84" w:rsidP="001B7B84">
    <w:pPr>
      <w:pStyle w:val="Header"/>
      <w:tabs>
        <w:tab w:val="clear" w:pos="4320"/>
        <w:tab w:val="clear" w:pos="8640"/>
        <w:tab w:val="left" w:pos="25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22C5C"/>
    <w:multiLevelType w:val="hybridMultilevel"/>
    <w:tmpl w:val="0C6A8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02E66A0"/>
    <w:multiLevelType w:val="hybridMultilevel"/>
    <w:tmpl w:val="C744F7A4"/>
    <w:lvl w:ilvl="0" w:tplc="0C64959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403AF"/>
    <w:multiLevelType w:val="hybridMultilevel"/>
    <w:tmpl w:val="190AD764"/>
    <w:lvl w:ilvl="0" w:tplc="9FDC44A6">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762F15"/>
    <w:multiLevelType w:val="hybridMultilevel"/>
    <w:tmpl w:val="081C769C"/>
    <w:lvl w:ilvl="0" w:tplc="0C64959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46"/>
    <w:rsid w:val="00015081"/>
    <w:rsid w:val="0002529F"/>
    <w:rsid w:val="00070D73"/>
    <w:rsid w:val="0008454A"/>
    <w:rsid w:val="000B4146"/>
    <w:rsid w:val="000D3275"/>
    <w:rsid w:val="000E3675"/>
    <w:rsid w:val="00112CA0"/>
    <w:rsid w:val="00132651"/>
    <w:rsid w:val="0017520F"/>
    <w:rsid w:val="001B7B84"/>
    <w:rsid w:val="001D5E8F"/>
    <w:rsid w:val="001F250C"/>
    <w:rsid w:val="002074E4"/>
    <w:rsid w:val="002107E3"/>
    <w:rsid w:val="00227ED9"/>
    <w:rsid w:val="00231B32"/>
    <w:rsid w:val="00284EDB"/>
    <w:rsid w:val="00295FD3"/>
    <w:rsid w:val="002E20E1"/>
    <w:rsid w:val="002F3261"/>
    <w:rsid w:val="00304E0B"/>
    <w:rsid w:val="00340828"/>
    <w:rsid w:val="00365262"/>
    <w:rsid w:val="003924FB"/>
    <w:rsid w:val="003A49BE"/>
    <w:rsid w:val="003D7E6D"/>
    <w:rsid w:val="0045111B"/>
    <w:rsid w:val="0049553A"/>
    <w:rsid w:val="004A6A6B"/>
    <w:rsid w:val="004D6583"/>
    <w:rsid w:val="004F550D"/>
    <w:rsid w:val="00502608"/>
    <w:rsid w:val="00523BDC"/>
    <w:rsid w:val="005305B1"/>
    <w:rsid w:val="00551A1C"/>
    <w:rsid w:val="00552D99"/>
    <w:rsid w:val="00586D2B"/>
    <w:rsid w:val="00587146"/>
    <w:rsid w:val="00606793"/>
    <w:rsid w:val="00645D3E"/>
    <w:rsid w:val="0064685C"/>
    <w:rsid w:val="00680451"/>
    <w:rsid w:val="006A47E7"/>
    <w:rsid w:val="006D4B55"/>
    <w:rsid w:val="007317B5"/>
    <w:rsid w:val="007802B5"/>
    <w:rsid w:val="00795BAC"/>
    <w:rsid w:val="00796587"/>
    <w:rsid w:val="007E0A98"/>
    <w:rsid w:val="007F7E4C"/>
    <w:rsid w:val="00821091"/>
    <w:rsid w:val="00827845"/>
    <w:rsid w:val="0084338E"/>
    <w:rsid w:val="0085491E"/>
    <w:rsid w:val="00866E40"/>
    <w:rsid w:val="00874092"/>
    <w:rsid w:val="008A68C3"/>
    <w:rsid w:val="008B1CAB"/>
    <w:rsid w:val="008E1251"/>
    <w:rsid w:val="008F29C2"/>
    <w:rsid w:val="008F3B3A"/>
    <w:rsid w:val="00903D4C"/>
    <w:rsid w:val="009138E9"/>
    <w:rsid w:val="00913E4D"/>
    <w:rsid w:val="00916963"/>
    <w:rsid w:val="009213C7"/>
    <w:rsid w:val="00934D46"/>
    <w:rsid w:val="0096520F"/>
    <w:rsid w:val="00973CA5"/>
    <w:rsid w:val="009758AC"/>
    <w:rsid w:val="009B3B46"/>
    <w:rsid w:val="009C7E93"/>
    <w:rsid w:val="009D1EA4"/>
    <w:rsid w:val="009D4436"/>
    <w:rsid w:val="009E0AFC"/>
    <w:rsid w:val="009F58B0"/>
    <w:rsid w:val="00A02A2B"/>
    <w:rsid w:val="00A30057"/>
    <w:rsid w:val="00A416D1"/>
    <w:rsid w:val="00A86A92"/>
    <w:rsid w:val="00AC1E2D"/>
    <w:rsid w:val="00AD7E85"/>
    <w:rsid w:val="00B127B2"/>
    <w:rsid w:val="00B20872"/>
    <w:rsid w:val="00B3189A"/>
    <w:rsid w:val="00B34951"/>
    <w:rsid w:val="00B41588"/>
    <w:rsid w:val="00B46883"/>
    <w:rsid w:val="00B55C96"/>
    <w:rsid w:val="00B65AE5"/>
    <w:rsid w:val="00B86885"/>
    <w:rsid w:val="00BB026B"/>
    <w:rsid w:val="00BC3978"/>
    <w:rsid w:val="00BD4C5F"/>
    <w:rsid w:val="00BE7547"/>
    <w:rsid w:val="00C07308"/>
    <w:rsid w:val="00C56AD1"/>
    <w:rsid w:val="00CE378E"/>
    <w:rsid w:val="00CE7C60"/>
    <w:rsid w:val="00D1578F"/>
    <w:rsid w:val="00D2720C"/>
    <w:rsid w:val="00D33CB2"/>
    <w:rsid w:val="00D56158"/>
    <w:rsid w:val="00D62309"/>
    <w:rsid w:val="00D721C4"/>
    <w:rsid w:val="00DA117C"/>
    <w:rsid w:val="00DA1235"/>
    <w:rsid w:val="00DB2B14"/>
    <w:rsid w:val="00DD403B"/>
    <w:rsid w:val="00E04588"/>
    <w:rsid w:val="00E24EE1"/>
    <w:rsid w:val="00E85313"/>
    <w:rsid w:val="00E873C3"/>
    <w:rsid w:val="00E91865"/>
    <w:rsid w:val="00E955A7"/>
    <w:rsid w:val="00EA7634"/>
    <w:rsid w:val="00EB3554"/>
    <w:rsid w:val="00EF7486"/>
    <w:rsid w:val="00F24BE6"/>
    <w:rsid w:val="00F47098"/>
    <w:rsid w:val="00F65DB7"/>
    <w:rsid w:val="00FE3AE8"/>
    <w:rsid w:val="00FF0F2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C705EA6-9AF4-4864-8AA2-199F3430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BE6"/>
    <w:pPr>
      <w:keepNext/>
      <w:keepLines/>
      <w:spacing w:before="240"/>
      <w:outlineLvl w:val="0"/>
    </w:pPr>
    <w:rPr>
      <w:rFonts w:asciiTheme="majorHAnsi" w:eastAsiaTheme="majorEastAsia" w:hAnsiTheme="majorHAnsi" w:cstheme="majorBidi"/>
      <w:color w:val="004D86" w:themeColor="accent1" w:themeShade="BF"/>
      <w:sz w:val="32"/>
      <w:szCs w:val="32"/>
    </w:rPr>
  </w:style>
  <w:style w:type="paragraph" w:styleId="Heading2">
    <w:name w:val="heading 2"/>
    <w:basedOn w:val="Normal"/>
    <w:next w:val="Normal"/>
    <w:link w:val="Heading2Char"/>
    <w:uiPriority w:val="9"/>
    <w:unhideWhenUsed/>
    <w:qFormat/>
    <w:rsid w:val="00F24BE6"/>
    <w:pPr>
      <w:keepNext/>
      <w:keepLines/>
      <w:spacing w:before="40"/>
      <w:outlineLvl w:val="1"/>
    </w:pPr>
    <w:rPr>
      <w:rFonts w:asciiTheme="majorHAnsi" w:eastAsiaTheme="majorEastAsia" w:hAnsiTheme="majorHAnsi" w:cstheme="majorBidi"/>
      <w:color w:val="004D8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AE8"/>
    <w:pPr>
      <w:tabs>
        <w:tab w:val="center" w:pos="4320"/>
        <w:tab w:val="right" w:pos="8640"/>
      </w:tabs>
    </w:pPr>
  </w:style>
  <w:style w:type="character" w:customStyle="1" w:styleId="HeaderChar">
    <w:name w:val="Header Char"/>
    <w:basedOn w:val="DefaultParagraphFont"/>
    <w:link w:val="Header"/>
    <w:uiPriority w:val="99"/>
    <w:rsid w:val="00FE3AE8"/>
  </w:style>
  <w:style w:type="paragraph" w:styleId="Footer">
    <w:name w:val="footer"/>
    <w:basedOn w:val="Normal"/>
    <w:link w:val="FooterChar"/>
    <w:uiPriority w:val="99"/>
    <w:unhideWhenUsed/>
    <w:rsid w:val="00FE3AE8"/>
    <w:pPr>
      <w:tabs>
        <w:tab w:val="center" w:pos="4320"/>
        <w:tab w:val="right" w:pos="8640"/>
      </w:tabs>
    </w:pPr>
  </w:style>
  <w:style w:type="character" w:customStyle="1" w:styleId="FooterChar">
    <w:name w:val="Footer Char"/>
    <w:basedOn w:val="DefaultParagraphFont"/>
    <w:link w:val="Footer"/>
    <w:uiPriority w:val="99"/>
    <w:rsid w:val="00FE3AE8"/>
  </w:style>
  <w:style w:type="paragraph" w:styleId="ListParagraph">
    <w:name w:val="List Paragraph"/>
    <w:basedOn w:val="Normal"/>
    <w:uiPriority w:val="34"/>
    <w:qFormat/>
    <w:rsid w:val="00916963"/>
    <w:pPr>
      <w:ind w:left="720"/>
      <w:contextualSpacing/>
    </w:pPr>
  </w:style>
  <w:style w:type="character" w:styleId="CommentReference">
    <w:name w:val="annotation reference"/>
    <w:basedOn w:val="DefaultParagraphFont"/>
    <w:uiPriority w:val="99"/>
    <w:semiHidden/>
    <w:unhideWhenUsed/>
    <w:rsid w:val="00680451"/>
    <w:rPr>
      <w:sz w:val="18"/>
      <w:szCs w:val="18"/>
    </w:rPr>
  </w:style>
  <w:style w:type="paragraph" w:styleId="CommentText">
    <w:name w:val="annotation text"/>
    <w:basedOn w:val="Normal"/>
    <w:link w:val="CommentTextChar"/>
    <w:uiPriority w:val="99"/>
    <w:semiHidden/>
    <w:unhideWhenUsed/>
    <w:rsid w:val="00680451"/>
  </w:style>
  <w:style w:type="character" w:customStyle="1" w:styleId="CommentTextChar">
    <w:name w:val="Comment Text Char"/>
    <w:basedOn w:val="DefaultParagraphFont"/>
    <w:link w:val="CommentText"/>
    <w:uiPriority w:val="99"/>
    <w:semiHidden/>
    <w:rsid w:val="00680451"/>
  </w:style>
  <w:style w:type="paragraph" w:styleId="CommentSubject">
    <w:name w:val="annotation subject"/>
    <w:basedOn w:val="CommentText"/>
    <w:next w:val="CommentText"/>
    <w:link w:val="CommentSubjectChar"/>
    <w:uiPriority w:val="99"/>
    <w:semiHidden/>
    <w:unhideWhenUsed/>
    <w:rsid w:val="00680451"/>
    <w:rPr>
      <w:b/>
      <w:bCs/>
      <w:sz w:val="20"/>
      <w:szCs w:val="20"/>
    </w:rPr>
  </w:style>
  <w:style w:type="character" w:customStyle="1" w:styleId="CommentSubjectChar">
    <w:name w:val="Comment Subject Char"/>
    <w:basedOn w:val="CommentTextChar"/>
    <w:link w:val="CommentSubject"/>
    <w:uiPriority w:val="99"/>
    <w:semiHidden/>
    <w:rsid w:val="00680451"/>
    <w:rPr>
      <w:b/>
      <w:bCs/>
      <w:sz w:val="20"/>
      <w:szCs w:val="20"/>
    </w:rPr>
  </w:style>
  <w:style w:type="paragraph" w:styleId="BalloonText">
    <w:name w:val="Balloon Text"/>
    <w:basedOn w:val="Normal"/>
    <w:link w:val="BalloonTextChar"/>
    <w:uiPriority w:val="99"/>
    <w:semiHidden/>
    <w:unhideWhenUsed/>
    <w:rsid w:val="00680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451"/>
    <w:rPr>
      <w:rFonts w:ascii="Lucida Grande" w:hAnsi="Lucida Grande" w:cs="Lucida Grande"/>
      <w:sz w:val="18"/>
      <w:szCs w:val="18"/>
    </w:rPr>
  </w:style>
  <w:style w:type="character" w:styleId="Hyperlink">
    <w:name w:val="Hyperlink"/>
    <w:basedOn w:val="DefaultParagraphFont"/>
    <w:uiPriority w:val="99"/>
    <w:unhideWhenUsed/>
    <w:rsid w:val="008A68C3"/>
    <w:rPr>
      <w:color w:val="0000FF" w:themeColor="hyperlink"/>
      <w:u w:val="single"/>
    </w:rPr>
  </w:style>
  <w:style w:type="character" w:customStyle="1" w:styleId="Heading1Char">
    <w:name w:val="Heading 1 Char"/>
    <w:basedOn w:val="DefaultParagraphFont"/>
    <w:link w:val="Heading1"/>
    <w:uiPriority w:val="9"/>
    <w:rsid w:val="00F24BE6"/>
    <w:rPr>
      <w:rFonts w:asciiTheme="majorHAnsi" w:eastAsiaTheme="majorEastAsia" w:hAnsiTheme="majorHAnsi" w:cstheme="majorBidi"/>
      <w:color w:val="004D86" w:themeColor="accent1" w:themeShade="BF"/>
      <w:sz w:val="32"/>
      <w:szCs w:val="32"/>
    </w:rPr>
  </w:style>
  <w:style w:type="character" w:styleId="Strong">
    <w:name w:val="Strong"/>
    <w:basedOn w:val="DefaultParagraphFont"/>
    <w:uiPriority w:val="22"/>
    <w:qFormat/>
    <w:rsid w:val="00F24BE6"/>
    <w:rPr>
      <w:b/>
      <w:bCs/>
    </w:rPr>
  </w:style>
  <w:style w:type="character" w:customStyle="1" w:styleId="Heading2Char">
    <w:name w:val="Heading 2 Char"/>
    <w:basedOn w:val="DefaultParagraphFont"/>
    <w:link w:val="Heading2"/>
    <w:uiPriority w:val="9"/>
    <w:rsid w:val="00F24BE6"/>
    <w:rPr>
      <w:rFonts w:asciiTheme="majorHAnsi" w:eastAsiaTheme="majorEastAsia" w:hAnsiTheme="majorHAnsi" w:cstheme="majorBidi"/>
      <w:color w:val="004D8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zamore@grundfos.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Grundfos_2014">
  <a:themeElements>
    <a:clrScheme name="Grundfos colours 01">
      <a:dk1>
        <a:sysClr val="windowText" lastClr="000000"/>
      </a:dk1>
      <a:lt1>
        <a:sysClr val="window" lastClr="FFFFFF"/>
      </a:lt1>
      <a:dk2>
        <a:srgbClr val="11497B"/>
      </a:dk2>
      <a:lt2>
        <a:srgbClr val="D6E0E9"/>
      </a:lt2>
      <a:accent1>
        <a:srgbClr val="0068B4"/>
      </a:accent1>
      <a:accent2>
        <a:srgbClr val="73A0CD"/>
      </a:accent2>
      <a:accent3>
        <a:srgbClr val="CFE6F9"/>
      </a:accent3>
      <a:accent4>
        <a:srgbClr val="5D5D5C"/>
      </a:accent4>
      <a:accent5>
        <a:srgbClr val="969A9C"/>
      </a:accent5>
      <a:accent6>
        <a:srgbClr val="E1E1DE"/>
      </a:accent6>
      <a:hlink>
        <a:srgbClr val="0000FF"/>
      </a:hlink>
      <a:folHlink>
        <a:srgbClr val="800080"/>
      </a:folHlink>
    </a:clrScheme>
    <a:fontScheme name="Grundfos Basic V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498D985-F8D1-4211-B90B-DA143536499D">
      <Value>7</Value>
    </Category>
    <DLCPolicyLabelClientValue xmlns="4498D985-F8D1-4211-B90B-DA143536499D" xsi:nil="true"/>
    <DLCPolicyLabelLock xmlns="4498D985-F8D1-4211-B90B-DA143536499D" xsi:nil="true"/>
    <DLCPolicyLabelValue xmlns="4498D985-F8D1-4211-B90B-DA143536499D">1.0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5E5154ADB2043B0D8027C446DFEF3" ma:contentTypeVersion="" ma:contentTypeDescription="Create a new document." ma:contentTypeScope="" ma:versionID="338fa460ae9fc9b29231a992344a770c">
  <xsd:schema xmlns:xsd="http://www.w3.org/2001/XMLSchema" xmlns:xs="http://www.w3.org/2001/XMLSchema" xmlns:p="http://schemas.microsoft.com/office/2006/metadata/properties" xmlns:ns1="http://schemas.microsoft.com/sharepoint/v3" xmlns:ns2="4498D985-F8D1-4211-B90B-DA143536499D" xmlns:ns3="http://schemas.microsoft.com/sharepoint/v4" xmlns:ns4="f0dafc2a-5d1e-4ae6-921f-40033ade433e" targetNamespace="http://schemas.microsoft.com/office/2006/metadata/properties" ma:root="true" ma:fieldsID="2526382aa127a42556472164e1fc7c48" ns1:_="" ns2:_="" ns3:_="" ns4:_="">
    <xsd:import namespace="http://schemas.microsoft.com/sharepoint/v3"/>
    <xsd:import namespace="4498D985-F8D1-4211-B90B-DA143536499D"/>
    <xsd:import namespace="http://schemas.microsoft.com/sharepoint/v4"/>
    <xsd:import namespace="f0dafc2a-5d1e-4ae6-921f-40033ade433e"/>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3:IconOverlay" minOccurs="0"/>
                <xsd:element ref="ns2:Category"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98D985-F8D1-4211-B90B-DA143536499D"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Category" ma:index="13" nillable="true" ma:displayName="Category" ma:list="{B977E6DB-7A05-429B-A644-C05D3B1909E5}" ma:internalName="Category"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afc2a-5d1e-4ae6-921f-40033ade43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1D622-4E90-40B4-BC51-3867273A7EFB}">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f0dafc2a-5d1e-4ae6-921f-40033ade433e"/>
    <ds:schemaRef ds:uri="http://schemas.microsoft.com/sharepoint/v3"/>
    <ds:schemaRef ds:uri="http://schemas.microsoft.com/office/infopath/2007/PartnerControls"/>
    <ds:schemaRef ds:uri="http://purl.org/dc/dcmitype/"/>
    <ds:schemaRef ds:uri="http://schemas.openxmlformats.org/package/2006/metadata/core-properties"/>
    <ds:schemaRef ds:uri="http://schemas.microsoft.com/sharepoint/v4"/>
    <ds:schemaRef ds:uri="4498D985-F8D1-4211-B90B-DA143536499D"/>
  </ds:schemaRefs>
</ds:datastoreItem>
</file>

<file path=customXml/itemProps2.xml><?xml version="1.0" encoding="utf-8"?>
<ds:datastoreItem xmlns:ds="http://schemas.openxmlformats.org/officeDocument/2006/customXml" ds:itemID="{5844C4AF-19BE-4FDC-9774-782E1C1F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98D985-F8D1-4211-B90B-DA143536499D"/>
    <ds:schemaRef ds:uri="http://schemas.microsoft.com/sharepoint/v4"/>
    <ds:schemaRef ds:uri="f0dafc2a-5d1e-4ae6-921f-40033ade4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34ABB-4DAF-4F87-9A3F-51CF25EB6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Press Release Text</vt:lpstr>
    </vt:vector>
  </TitlesOfParts>
  <Company>Kernel A/S</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Text</dc:title>
  <dc:creator>Philip Zamore</dc:creator>
  <cp:lastModifiedBy>Philip Zamore</cp:lastModifiedBy>
  <cp:revision>3</cp:revision>
  <cp:lastPrinted>2015-07-09T13:50:00Z</cp:lastPrinted>
  <dcterms:created xsi:type="dcterms:W3CDTF">2015-07-09T13:50:00Z</dcterms:created>
  <dcterms:modified xsi:type="dcterms:W3CDTF">2015-07-09T13:52:00Z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0x010100E115E5154ADB2043B0D8027C446DFEF3</vt:lpwstr>
  </property>
</Properties>
</file>