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E02D3" w14:textId="77777777" w:rsidR="00184C75" w:rsidRDefault="00184C75" w:rsidP="00184C75">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096A424E" w14:textId="77777777" w:rsidR="006D3EB3" w:rsidRDefault="006D3EB3" w:rsidP="006D3EB3">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16. Januar 2019</w:t>
      </w:r>
    </w:p>
    <w:p w14:paraId="4C7E51F9" w14:textId="77777777" w:rsidR="006D3EB3" w:rsidRDefault="006D3EB3" w:rsidP="006D3EB3">
      <w:pPr>
        <w:pStyle w:val="titel"/>
        <w:rPr>
          <w:sz w:val="28"/>
          <w:szCs w:val="28"/>
        </w:rPr>
      </w:pPr>
    </w:p>
    <w:p w14:paraId="251B9AAB" w14:textId="77777777" w:rsidR="006D3EB3" w:rsidRDefault="006D3EB3" w:rsidP="006D3EB3">
      <w:pPr>
        <w:pStyle w:val="titel"/>
        <w:spacing w:before="57"/>
        <w:rPr>
          <w:rFonts w:ascii="Titillium-Light" w:hAnsi="Titillium-Light" w:cs="Titillium-Light"/>
          <w:sz w:val="22"/>
          <w:szCs w:val="22"/>
        </w:rPr>
      </w:pPr>
      <w:r>
        <w:rPr>
          <w:sz w:val="28"/>
          <w:szCs w:val="28"/>
        </w:rPr>
        <w:t>Die biodynamische Karotte belebt die Wirtschaft</w:t>
      </w:r>
    </w:p>
    <w:p w14:paraId="2F096A77" w14:textId="77777777" w:rsidR="006D3EB3" w:rsidRDefault="006D3EB3" w:rsidP="006D3EB3">
      <w:pPr>
        <w:pStyle w:val="titel"/>
        <w:spacing w:before="57"/>
        <w:rPr>
          <w:sz w:val="24"/>
          <w:szCs w:val="24"/>
        </w:rPr>
      </w:pPr>
      <w:r>
        <w:rPr>
          <w:spacing w:val="-4"/>
          <w:sz w:val="24"/>
          <w:szCs w:val="24"/>
        </w:rPr>
        <w:t>Faire Preise durch assoziatives Wirtschaften in der Wertschöpfungskette</w:t>
      </w:r>
    </w:p>
    <w:p w14:paraId="174610A1" w14:textId="77777777" w:rsidR="006D3EB3" w:rsidRDefault="006D3EB3" w:rsidP="006D3EB3">
      <w:pPr>
        <w:pStyle w:val="MFluss"/>
      </w:pPr>
    </w:p>
    <w:p w14:paraId="75F8A935" w14:textId="77777777" w:rsidR="006D3EB3" w:rsidRDefault="006D3EB3" w:rsidP="006D3EB3">
      <w:pPr>
        <w:pStyle w:val="titel"/>
        <w:spacing w:before="57"/>
        <w:rPr>
          <w:sz w:val="22"/>
          <w:szCs w:val="22"/>
        </w:rPr>
      </w:pPr>
      <w:r>
        <w:rPr>
          <w:sz w:val="22"/>
          <w:szCs w:val="22"/>
        </w:rPr>
        <w:t xml:space="preserve">Biodynamische Landwirtschaft ist Pionierin im Biolandbau. Darüber hinaus ist sie Vorreiterin beim Entwickeln praxisorientierter Modelle für nachhaltiges und assoziatives Wirtschaften. Einen Überblick vermittelt die Tagung ‹Land Wirtschaft› von 6. bis 9. Februar am Goetheanum. </w:t>
      </w:r>
    </w:p>
    <w:p w14:paraId="5F804359" w14:textId="77777777" w:rsidR="006D3EB3" w:rsidRDefault="006D3EB3" w:rsidP="006D3EB3">
      <w:pPr>
        <w:pStyle w:val="body"/>
        <w:rPr>
          <w:rFonts w:ascii="Titillium-Regular" w:hAnsi="Titillium-Regular" w:cs="Titillium-Regular"/>
        </w:rPr>
      </w:pPr>
    </w:p>
    <w:p w14:paraId="56A49927" w14:textId="77777777" w:rsidR="006D3EB3" w:rsidRDefault="006D3EB3" w:rsidP="006D3EB3">
      <w:pPr>
        <w:pStyle w:val="body"/>
        <w:rPr>
          <w:rFonts w:ascii="Titillium-Regular" w:hAnsi="Titillium-Regular" w:cs="Titillium-Regular"/>
          <w:spacing w:val="1"/>
        </w:rPr>
      </w:pPr>
      <w:r>
        <w:rPr>
          <w:rFonts w:ascii="Titillium-Regular" w:hAnsi="Titillium-Regular" w:cs="Titillium-Regular"/>
          <w:spacing w:val="1"/>
        </w:rPr>
        <w:t>Die Natur ist die Lebensgrundlage des Menschen. Die Wirtschaft schafft aus den Naturgütern Mehrwerte. Im Bereich der Lebensmittel sind diese existenziell, bei industriell verwerteten Rohstoffen sind sie ein Beitrag für den Wohlstand. Die biodynamische Landwirtschaft hat den Anspruch, die natürlichen Produktionsmittel Boden, Pflanzen und Tiere im Produktionsprozess insgesamt zu erhalten und hinsichtlich Lebendigkeit, Fruchtbarkeit und Produktionskraft zu verbessern. In einem industriellen Betrieb ist das so nicht möglich – die Produktionsmittel nutzen sich ab und müssen abgeschrieben werden.</w:t>
      </w:r>
    </w:p>
    <w:p w14:paraId="0394559F" w14:textId="77777777" w:rsidR="006D3EB3" w:rsidRDefault="006D3EB3" w:rsidP="006D3EB3">
      <w:pPr>
        <w:pStyle w:val="body"/>
        <w:rPr>
          <w:rFonts w:ascii="Titillium-Regular" w:hAnsi="Titillium-Regular" w:cs="Titillium-Regular"/>
          <w:spacing w:val="1"/>
        </w:rPr>
      </w:pPr>
    </w:p>
    <w:p w14:paraId="6CA5702D" w14:textId="77777777" w:rsidR="006D3EB3" w:rsidRDefault="006D3EB3" w:rsidP="006D3EB3">
      <w:pPr>
        <w:pStyle w:val="body"/>
        <w:rPr>
          <w:rFonts w:ascii="Titillium-Regular" w:hAnsi="Titillium-Regular" w:cs="Titillium-Regular"/>
          <w:spacing w:val="1"/>
        </w:rPr>
      </w:pPr>
      <w:r>
        <w:rPr>
          <w:rFonts w:ascii="Titillium-Regular" w:hAnsi="Titillium-Regular" w:cs="Titillium-Regular"/>
          <w:spacing w:val="1"/>
        </w:rPr>
        <w:t>Das Wirtschaftsfeld Landwirtschaft ist also geeignet, Modelle für eine nachhaltige und assoziative Wirtschaft zu entwickeln und umzusetzen. Bezugspunkt ist die Ertragskraft des fruchtbaren Bodens. In einer Assoziation wirken alle Partner der Wertschöpfungskette – Produktion, Verarbeitung, Groß- und Einzelhandel, Konsument – zusammen. Sie verschaffen sich ein gemeinsames Bewusstsein für ihre Aufgaben, bewerten die Marktlage hinsichtlich Warenmengen, Preisgestaltung und Nachfrage und regeln auf diesen Grundlagen Qualität, Menge und Preis. Sie befassen sich auch mit Fragen des Eigentums am Boden, mit Investitionskrediten und mit der Finanzierung von Züchtung und Forschung. Weitere Umsetzungen finden sich in regionalen assoziativen Zonen, Wirtschaftsgemeinschaften von Konsumenten und Höfen (solidarische Landwirtschaft) sowie in Konzepten wie Food Systems und True Cost Accounting.</w:t>
      </w:r>
    </w:p>
    <w:p w14:paraId="21CD7020" w14:textId="77777777" w:rsidR="006D3EB3" w:rsidRDefault="006D3EB3" w:rsidP="006D3EB3">
      <w:pPr>
        <w:pStyle w:val="body"/>
        <w:jc w:val="right"/>
        <w:rPr>
          <w:rFonts w:ascii="Titillium-Regular" w:hAnsi="Titillium-Regular" w:cs="Titillium-Regular"/>
        </w:rPr>
      </w:pPr>
      <w:r>
        <w:rPr>
          <w:rFonts w:ascii="Titillium-Regular" w:hAnsi="Titillium-Regular" w:cs="Titillium-Regular"/>
        </w:rPr>
        <w:t>(1762 Zeichen/SJ)</w:t>
      </w:r>
    </w:p>
    <w:p w14:paraId="6153462D" w14:textId="77777777" w:rsidR="006D3EB3" w:rsidRDefault="006D3EB3" w:rsidP="006D3EB3">
      <w:pPr>
        <w:pStyle w:val="body"/>
        <w:spacing w:before="113"/>
        <w:rPr>
          <w:rFonts w:ascii="Titillium-Regular" w:hAnsi="Titillium-Regular" w:cs="Titillium-Regular"/>
          <w:spacing w:val="1"/>
        </w:rPr>
      </w:pPr>
      <w:r>
        <w:rPr>
          <w:rFonts w:ascii="Titillium-Bold" w:hAnsi="Titillium-Bold" w:cs="Titillium-Bold"/>
          <w:b/>
          <w:bCs/>
        </w:rPr>
        <w:t>Tagung</w:t>
      </w:r>
      <w:r>
        <w:rPr>
          <w:rFonts w:ascii="Titillium-Regular" w:hAnsi="Titillium-Regular" w:cs="Titillium-Regular"/>
        </w:rPr>
        <w:t xml:space="preserve"> Land Wirtschaft zwischen Hof und Welt, 6. bis 9. Februar 2019, Goetheanum, www.sektion-landwirtschaft.org/lwt/2019 </w:t>
      </w:r>
      <w:r>
        <w:rPr>
          <w:rFonts w:ascii="Titillium-Bold" w:hAnsi="Titillium-Bold" w:cs="Titillium-Bold"/>
          <w:b/>
          <w:bCs/>
        </w:rPr>
        <w:t xml:space="preserve">Projekte </w:t>
      </w:r>
      <w:r>
        <w:rPr>
          <w:rFonts w:ascii="Titillium-Regular" w:hAnsi="Titillium-Regular" w:cs="Titillium-Regular"/>
          <w:spacing w:val="1"/>
        </w:rPr>
        <w:t xml:space="preserve">Teikei Coffee, The Timbaktu Collective, Gemeingut Boden und andere </w:t>
      </w:r>
      <w:r>
        <w:rPr>
          <w:rFonts w:ascii="Titillium-Bold" w:hAnsi="Titillium-Bold" w:cs="Titillium-Bold"/>
          <w:b/>
          <w:bCs/>
          <w:spacing w:val="1"/>
        </w:rPr>
        <w:t>Konzepte</w:t>
      </w:r>
      <w:r>
        <w:rPr>
          <w:rFonts w:ascii="Titillium-Regular" w:hAnsi="Titillium-Regular" w:cs="Titillium-Regular"/>
          <w:spacing w:val="1"/>
        </w:rPr>
        <w:t xml:space="preserve"> Assoziative Wirtschaft, Solidarische Landwirtschaft, Selbstvermarktung, True Cost Accounting, Food Systems und andere </w:t>
      </w:r>
    </w:p>
    <w:p w14:paraId="52B82249" w14:textId="66F45693" w:rsidR="006D3EB3" w:rsidRDefault="006D3EB3" w:rsidP="006D3EB3">
      <w:pPr>
        <w:pStyle w:val="body"/>
        <w:spacing w:before="113"/>
        <w:rPr>
          <w:rFonts w:ascii="Titillium-Regular" w:hAnsi="Titillium-Regular" w:cs="Titillium-Regular"/>
        </w:rPr>
      </w:pPr>
      <w:r>
        <w:rPr>
          <w:rFonts w:ascii="Titillium-Bold" w:hAnsi="Titillium-Bold" w:cs="Titillium-Bold"/>
          <w:b/>
          <w:bCs/>
          <w:spacing w:val="1"/>
        </w:rPr>
        <w:t>Charta für assoziatives Wirtschaften</w:t>
      </w:r>
      <w:r>
        <w:rPr>
          <w:rFonts w:ascii="Titillium-Regular" w:hAnsi="Titillium-Regular" w:cs="Titillium-Regular"/>
        </w:rPr>
        <w:t xml:space="preserve"> </w:t>
      </w:r>
      <w:r>
        <w:rPr>
          <w:rFonts w:ascii="Titillium-Regular" w:hAnsi="Titillium-Regular" w:cs="Titillium-Regular"/>
        </w:rPr>
        <w:br/>
      </w:r>
      <w:bookmarkStart w:id="0" w:name="_GoBack"/>
      <w:bookmarkEnd w:id="0"/>
      <w:r>
        <w:rPr>
          <w:rFonts w:ascii="Titillium-Regular" w:hAnsi="Titillium-Regular" w:cs="Titillium-Regular"/>
        </w:rPr>
        <w:t>www.sektion-landwirtschaft.org/arbeitsfelder/wirtschaftskreis</w:t>
      </w:r>
    </w:p>
    <w:p w14:paraId="7D08209C" w14:textId="77777777" w:rsidR="006D3EB3" w:rsidRDefault="006D3EB3" w:rsidP="006D3EB3">
      <w:pPr>
        <w:pStyle w:val="body"/>
        <w:spacing w:before="113"/>
        <w:rPr>
          <w:rFonts w:ascii="Titillium-Regular" w:hAnsi="Titillium-Regular" w:cs="Titillium-Regular"/>
        </w:rPr>
      </w:pPr>
      <w:r>
        <w:rPr>
          <w:rFonts w:ascii="Titillium-Regular" w:hAnsi="Titillium-Regular" w:cs="Titillium-Regular"/>
        </w:rPr>
        <w:t>Ihr Ansprechpartner:</w:t>
      </w:r>
    </w:p>
    <w:p w14:paraId="3BD7F590" w14:textId="77777777" w:rsidR="006D3EB3" w:rsidRDefault="006D3EB3" w:rsidP="006D3EB3">
      <w:pPr>
        <w:pStyle w:val="body"/>
        <w:rPr>
          <w:rFonts w:ascii="Titillium-Regular" w:hAnsi="Titillium-Regular" w:cs="Titillium-Regular"/>
        </w:rPr>
      </w:pPr>
      <w:r>
        <w:rPr>
          <w:rFonts w:ascii="Titillium-Regular" w:hAnsi="Titillium-Regular" w:cs="Titillium-Regular"/>
        </w:rPr>
        <w:t>Ueli Hurter, Tel. +41 61 706 42 12, ueli.hurter@goetheanum.ch</w:t>
      </w:r>
    </w:p>
    <w:p w14:paraId="242890F2" w14:textId="7617C840" w:rsidR="00A12C42" w:rsidRPr="0047673B" w:rsidRDefault="00A12C42" w:rsidP="006D3EB3">
      <w:pPr>
        <w:pStyle w:val="titel"/>
        <w:jc w:val="right"/>
        <w:rPr>
          <w:rFonts w:ascii="Titillium-Regular" w:hAnsi="Titillium-Regular" w:cs="Titillium-Regular"/>
          <w:color w:val="3366FF"/>
        </w:rPr>
      </w:pPr>
    </w:p>
    <w:sectPr w:rsidR="00A12C42" w:rsidRPr="0047673B" w:rsidSect="00184C75">
      <w:pgSz w:w="11900" w:h="16840"/>
      <w:pgMar w:top="1134" w:right="1985" w:bottom="1134"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saPro">
    <w:panose1 w:val="02010504030101020102"/>
    <w:charset w:val="00"/>
    <w:family w:val="auto"/>
    <w:pitch w:val="variable"/>
    <w:sig w:usb0="A00000FF" w:usb1="4000205B" w:usb2="00000008" w:usb3="00000000" w:csb0="00000093"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75"/>
    <w:rsid w:val="00184C75"/>
    <w:rsid w:val="0047673B"/>
    <w:rsid w:val="0048742D"/>
    <w:rsid w:val="006B372A"/>
    <w:rsid w:val="006D3EB3"/>
    <w:rsid w:val="00782297"/>
    <w:rsid w:val="008F6A34"/>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B9092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84C7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84C7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styleId="Kommentarzeichen">
    <w:name w:val="annotation reference"/>
    <w:basedOn w:val="Absatzstandardschriftart"/>
    <w:uiPriority w:val="99"/>
    <w:semiHidden/>
    <w:unhideWhenUsed/>
    <w:rsid w:val="00782297"/>
    <w:rPr>
      <w:sz w:val="18"/>
      <w:szCs w:val="18"/>
    </w:rPr>
  </w:style>
  <w:style w:type="paragraph" w:styleId="Kommentartext">
    <w:name w:val="annotation text"/>
    <w:basedOn w:val="Standard"/>
    <w:link w:val="KommentartextZeichen"/>
    <w:uiPriority w:val="99"/>
    <w:semiHidden/>
    <w:unhideWhenUsed/>
    <w:rsid w:val="00782297"/>
  </w:style>
  <w:style w:type="character" w:customStyle="1" w:styleId="KommentartextZeichen">
    <w:name w:val="Kommentartext Zeichen"/>
    <w:basedOn w:val="Absatzstandardschriftart"/>
    <w:link w:val="Kommentartext"/>
    <w:uiPriority w:val="99"/>
    <w:semiHidden/>
    <w:rsid w:val="00782297"/>
    <w:rPr>
      <w:sz w:val="24"/>
      <w:szCs w:val="24"/>
      <w:lang w:eastAsia="de-DE"/>
    </w:rPr>
  </w:style>
  <w:style w:type="paragraph" w:styleId="Kommentarthema">
    <w:name w:val="annotation subject"/>
    <w:basedOn w:val="Kommentartext"/>
    <w:next w:val="Kommentartext"/>
    <w:link w:val="KommentarthemaZeichen"/>
    <w:uiPriority w:val="99"/>
    <w:semiHidden/>
    <w:unhideWhenUsed/>
    <w:rsid w:val="00782297"/>
    <w:rPr>
      <w:b/>
      <w:bCs/>
      <w:sz w:val="20"/>
      <w:szCs w:val="20"/>
    </w:rPr>
  </w:style>
  <w:style w:type="character" w:customStyle="1" w:styleId="KommentarthemaZeichen">
    <w:name w:val="Kommentarthema Zeichen"/>
    <w:basedOn w:val="KommentartextZeichen"/>
    <w:link w:val="Kommentarthema"/>
    <w:uiPriority w:val="99"/>
    <w:semiHidden/>
    <w:rsid w:val="00782297"/>
    <w:rPr>
      <w:b/>
      <w:bCs/>
      <w:sz w:val="24"/>
      <w:szCs w:val="24"/>
      <w:lang w:eastAsia="de-DE"/>
    </w:rPr>
  </w:style>
  <w:style w:type="paragraph" w:customStyle="1" w:styleId="MFluss">
    <w:name w:val="M_Fluss"/>
    <w:basedOn w:val="Standard"/>
    <w:next w:val="Standard"/>
    <w:uiPriority w:val="99"/>
    <w:rsid w:val="006D3EB3"/>
    <w:pPr>
      <w:widowControl w:val="0"/>
      <w:autoSpaceDE w:val="0"/>
      <w:autoSpaceDN w:val="0"/>
      <w:adjustRightInd w:val="0"/>
      <w:spacing w:line="240" w:lineRule="atLeast"/>
      <w:jc w:val="both"/>
      <w:textAlignment w:val="center"/>
    </w:pPr>
    <w:rPr>
      <w:rFonts w:ascii="TisaPro" w:hAnsi="TisaPro" w:cs="TisaPro"/>
      <w:color w:val="000000"/>
      <w:sz w:val="18"/>
      <w:szCs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84C7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84C7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styleId="Kommentarzeichen">
    <w:name w:val="annotation reference"/>
    <w:basedOn w:val="Absatzstandardschriftart"/>
    <w:uiPriority w:val="99"/>
    <w:semiHidden/>
    <w:unhideWhenUsed/>
    <w:rsid w:val="00782297"/>
    <w:rPr>
      <w:sz w:val="18"/>
      <w:szCs w:val="18"/>
    </w:rPr>
  </w:style>
  <w:style w:type="paragraph" w:styleId="Kommentartext">
    <w:name w:val="annotation text"/>
    <w:basedOn w:val="Standard"/>
    <w:link w:val="KommentartextZeichen"/>
    <w:uiPriority w:val="99"/>
    <w:semiHidden/>
    <w:unhideWhenUsed/>
    <w:rsid w:val="00782297"/>
  </w:style>
  <w:style w:type="character" w:customStyle="1" w:styleId="KommentartextZeichen">
    <w:name w:val="Kommentartext Zeichen"/>
    <w:basedOn w:val="Absatzstandardschriftart"/>
    <w:link w:val="Kommentartext"/>
    <w:uiPriority w:val="99"/>
    <w:semiHidden/>
    <w:rsid w:val="00782297"/>
    <w:rPr>
      <w:sz w:val="24"/>
      <w:szCs w:val="24"/>
      <w:lang w:eastAsia="de-DE"/>
    </w:rPr>
  </w:style>
  <w:style w:type="paragraph" w:styleId="Kommentarthema">
    <w:name w:val="annotation subject"/>
    <w:basedOn w:val="Kommentartext"/>
    <w:next w:val="Kommentartext"/>
    <w:link w:val="KommentarthemaZeichen"/>
    <w:uiPriority w:val="99"/>
    <w:semiHidden/>
    <w:unhideWhenUsed/>
    <w:rsid w:val="00782297"/>
    <w:rPr>
      <w:b/>
      <w:bCs/>
      <w:sz w:val="20"/>
      <w:szCs w:val="20"/>
    </w:rPr>
  </w:style>
  <w:style w:type="character" w:customStyle="1" w:styleId="KommentarthemaZeichen">
    <w:name w:val="Kommentarthema Zeichen"/>
    <w:basedOn w:val="KommentartextZeichen"/>
    <w:link w:val="Kommentarthema"/>
    <w:uiPriority w:val="99"/>
    <w:semiHidden/>
    <w:rsid w:val="00782297"/>
    <w:rPr>
      <w:b/>
      <w:bCs/>
      <w:sz w:val="24"/>
      <w:szCs w:val="24"/>
      <w:lang w:eastAsia="de-DE"/>
    </w:rPr>
  </w:style>
  <w:style w:type="paragraph" w:customStyle="1" w:styleId="MFluss">
    <w:name w:val="M_Fluss"/>
    <w:basedOn w:val="Standard"/>
    <w:next w:val="Standard"/>
    <w:uiPriority w:val="99"/>
    <w:rsid w:val="006D3EB3"/>
    <w:pPr>
      <w:widowControl w:val="0"/>
      <w:autoSpaceDE w:val="0"/>
      <w:autoSpaceDN w:val="0"/>
      <w:adjustRightInd w:val="0"/>
      <w:spacing w:line="240" w:lineRule="atLeast"/>
      <w:jc w:val="both"/>
      <w:textAlignment w:val="center"/>
    </w:pPr>
    <w:rPr>
      <w:rFonts w:ascii="TisaPro" w:hAnsi="TisaPro" w:cs="TisaPro"/>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2143</Characters>
  <Application>Microsoft Macintosh Word</Application>
  <DocSecurity>0</DocSecurity>
  <Lines>17</Lines>
  <Paragraphs>4</Paragraphs>
  <ScaleCrop>false</ScaleCrop>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5</cp:revision>
  <dcterms:created xsi:type="dcterms:W3CDTF">2019-01-11T14:43:00Z</dcterms:created>
  <dcterms:modified xsi:type="dcterms:W3CDTF">2019-01-16T08:08:00Z</dcterms:modified>
</cp:coreProperties>
</file>