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F3967" w14:textId="77777777" w:rsidR="00736DF5" w:rsidRDefault="00736DF5" w:rsidP="00736DF5">
      <w:pPr>
        <w:pStyle w:val="VisaDocumentname"/>
        <w:rPr>
          <w:rFonts w:cs="Segoe UI"/>
        </w:rPr>
      </w:pPr>
    </w:p>
    <w:p w14:paraId="4699FD5C" w14:textId="75FC0F2F" w:rsidR="00736DF5" w:rsidRPr="004E4FCB" w:rsidRDefault="00736DF5" w:rsidP="00736DF5">
      <w:pPr>
        <w:pStyle w:val="VisaDocumentname"/>
        <w:rPr>
          <w:rFonts w:cs="Segoe UI"/>
          <w:color w:val="1A1F71"/>
          <w:lang w:val="it-IT"/>
        </w:rPr>
      </w:pPr>
      <w:r w:rsidRPr="004E4FCB">
        <w:rPr>
          <w:rFonts w:cs="Segoe UI"/>
          <w:color w:val="1A1F71"/>
          <w:lang w:val="it-IT"/>
        </w:rPr>
        <w:t>COMUNICATO STAMPA</w:t>
      </w:r>
    </w:p>
    <w:p w14:paraId="1D63570C" w14:textId="77777777" w:rsidR="0010602B" w:rsidRPr="004E4FCB" w:rsidRDefault="0010602B" w:rsidP="00736DF5">
      <w:pPr>
        <w:pStyle w:val="VisaDocumentname"/>
        <w:rPr>
          <w:rFonts w:cs="Segoe UI"/>
          <w:b w:val="0"/>
          <w:color w:val="auto"/>
          <w:lang w:val="es-ES"/>
        </w:rPr>
      </w:pPr>
    </w:p>
    <w:p w14:paraId="61DF7582" w14:textId="46CD69B0" w:rsidR="0010602B" w:rsidRPr="004E4FCB" w:rsidRDefault="0010602B" w:rsidP="0010602B">
      <w:pPr>
        <w:pStyle w:val="VisaDocumentname"/>
        <w:jc w:val="center"/>
        <w:rPr>
          <w:rFonts w:cs="Segoe UI"/>
          <w:color w:val="1A1F71"/>
          <w:lang w:val="it-IT"/>
        </w:rPr>
      </w:pPr>
      <w:r w:rsidRPr="004E4FCB">
        <w:rPr>
          <w:rFonts w:cs="Segoe UI"/>
          <w:b w:val="0"/>
          <w:color w:val="auto"/>
          <w:lang w:val="es-ES"/>
        </w:rPr>
        <w:t>Visa analizza le preferenze dei turisti in termini di pagamenti, spesa media e investimenti maggiori durante i loro viaggi all'estero</w:t>
      </w:r>
    </w:p>
    <w:p w14:paraId="13173DCF" w14:textId="77B1DBD7" w:rsidR="009F0344" w:rsidRPr="004E4FCB" w:rsidRDefault="00430616" w:rsidP="00CB6551">
      <w:pPr>
        <w:pBdr>
          <w:top w:val="single" w:sz="8" w:space="6" w:color="0023A0"/>
          <w:bottom w:val="single" w:sz="8" w:space="7" w:color="0023A0"/>
        </w:pBdr>
        <w:spacing w:after="0" w:line="480" w:lineRule="atLeast"/>
        <w:jc w:val="center"/>
        <w:rPr>
          <w:rFonts w:ascii="Segoe UI" w:eastAsia="Times New Roman" w:hAnsi="Segoe UI" w:cs="Segoe UI"/>
          <w:color w:val="1A1F71"/>
          <w:sz w:val="40"/>
          <w:szCs w:val="20"/>
        </w:rPr>
      </w:pPr>
      <w:r w:rsidRPr="004E4FCB">
        <w:rPr>
          <w:rFonts w:ascii="Segoe UI" w:eastAsia="Times New Roman" w:hAnsi="Segoe UI" w:cs="Segoe UI"/>
          <w:color w:val="1A1F71"/>
          <w:sz w:val="40"/>
          <w:szCs w:val="20"/>
        </w:rPr>
        <w:t>L’</w:t>
      </w:r>
      <w:r w:rsidR="00CB6551" w:rsidRPr="004E4FCB">
        <w:rPr>
          <w:rFonts w:ascii="Segoe UI" w:eastAsia="Times New Roman" w:hAnsi="Segoe UI" w:cs="Segoe UI"/>
          <w:color w:val="1A1F71"/>
          <w:sz w:val="40"/>
          <w:szCs w:val="20"/>
        </w:rPr>
        <w:t xml:space="preserve">Italia tra le </w:t>
      </w:r>
      <w:r w:rsidR="00BA1A98" w:rsidRPr="004E4FCB">
        <w:rPr>
          <w:rFonts w:ascii="Segoe UI" w:eastAsia="Times New Roman" w:hAnsi="Segoe UI" w:cs="Segoe UI"/>
          <w:color w:val="1A1F71"/>
          <w:sz w:val="40"/>
          <w:szCs w:val="20"/>
        </w:rPr>
        <w:t>top</w:t>
      </w:r>
      <w:r w:rsidR="00CB6551" w:rsidRPr="004E4FCB">
        <w:rPr>
          <w:rFonts w:ascii="Segoe UI" w:eastAsia="Times New Roman" w:hAnsi="Segoe UI" w:cs="Segoe UI"/>
          <w:color w:val="1A1F71"/>
          <w:sz w:val="40"/>
          <w:szCs w:val="20"/>
        </w:rPr>
        <w:t xml:space="preserve"> 5 destinazioni </w:t>
      </w:r>
      <w:r w:rsidR="009F0344" w:rsidRPr="004E4FCB">
        <w:rPr>
          <w:rFonts w:ascii="Segoe UI" w:eastAsia="Times New Roman" w:hAnsi="Segoe UI" w:cs="Segoe UI"/>
          <w:color w:val="1A1F71"/>
          <w:sz w:val="40"/>
          <w:szCs w:val="20"/>
        </w:rPr>
        <w:t xml:space="preserve">turistiche </w:t>
      </w:r>
    </w:p>
    <w:p w14:paraId="52B31E60" w14:textId="09EFF0D6" w:rsidR="00CB6551" w:rsidRPr="004E4FCB" w:rsidRDefault="00BA1A98" w:rsidP="00CB6551">
      <w:pPr>
        <w:pBdr>
          <w:top w:val="single" w:sz="8" w:space="6" w:color="0023A0"/>
          <w:bottom w:val="single" w:sz="8" w:space="7" w:color="0023A0"/>
        </w:pBdr>
        <w:spacing w:after="0" w:line="480" w:lineRule="atLeast"/>
        <w:jc w:val="center"/>
        <w:rPr>
          <w:rFonts w:ascii="Segoe UI" w:eastAsia="Times New Roman" w:hAnsi="Segoe UI" w:cs="Segoe UI"/>
          <w:color w:val="1A1F71"/>
          <w:sz w:val="40"/>
          <w:szCs w:val="20"/>
        </w:rPr>
      </w:pPr>
      <w:r w:rsidRPr="004E4FCB">
        <w:rPr>
          <w:rFonts w:ascii="Segoe UI" w:eastAsia="Times New Roman" w:hAnsi="Segoe UI" w:cs="Segoe UI"/>
          <w:color w:val="1A1F71"/>
          <w:sz w:val="40"/>
          <w:szCs w:val="20"/>
        </w:rPr>
        <w:t>d</w:t>
      </w:r>
      <w:r w:rsidR="009F0344" w:rsidRPr="004E4FCB">
        <w:rPr>
          <w:rFonts w:ascii="Segoe UI" w:eastAsia="Times New Roman" w:hAnsi="Segoe UI" w:cs="Segoe UI"/>
          <w:color w:val="1A1F71"/>
          <w:sz w:val="40"/>
          <w:szCs w:val="20"/>
        </w:rPr>
        <w:t>ei prossimi due anni</w:t>
      </w:r>
      <w:r w:rsidRPr="004E4FCB">
        <w:rPr>
          <w:rFonts w:ascii="Segoe UI" w:eastAsia="Times New Roman" w:hAnsi="Segoe UI" w:cs="Segoe UI"/>
          <w:color w:val="1A1F71"/>
          <w:sz w:val="40"/>
          <w:szCs w:val="20"/>
        </w:rPr>
        <w:t xml:space="preserve"> a livello globale</w:t>
      </w:r>
    </w:p>
    <w:p w14:paraId="1B08FA1D" w14:textId="77777777" w:rsidR="00053437" w:rsidRPr="004E4FCB" w:rsidRDefault="00053437" w:rsidP="00053437">
      <w:pPr>
        <w:pStyle w:val="VisaHeadLevelOne"/>
        <w:numPr>
          <w:ilvl w:val="0"/>
          <w:numId w:val="13"/>
        </w:numPr>
        <w:ind w:left="851"/>
        <w:rPr>
          <w:rFonts w:cs="Segoe UI"/>
          <w:lang w:val="es-ES" w:eastAsia="en-GB"/>
        </w:rPr>
      </w:pPr>
      <w:r w:rsidRPr="004E4FCB">
        <w:rPr>
          <w:rFonts w:cs="Segoe UI"/>
          <w:color w:val="000000"/>
          <w:lang w:val="es-ES" w:eastAsia="en-GB"/>
        </w:rPr>
        <w:t xml:space="preserve">I viaggiatori utilizzano sempre più la tecnologia per pianificare i loro viaggi </w:t>
      </w:r>
    </w:p>
    <w:p w14:paraId="4764F202" w14:textId="6D8FF997" w:rsidR="00736DF5" w:rsidRPr="004E4FCB" w:rsidRDefault="00053437" w:rsidP="00053437">
      <w:pPr>
        <w:pStyle w:val="VisaHeadLevelOne"/>
        <w:numPr>
          <w:ilvl w:val="0"/>
          <w:numId w:val="13"/>
        </w:numPr>
        <w:ind w:left="851"/>
        <w:rPr>
          <w:rFonts w:cs="Segoe UI"/>
          <w:color w:val="000000"/>
          <w:lang w:val="es-ES" w:eastAsia="en-GB"/>
        </w:rPr>
      </w:pPr>
      <w:r w:rsidRPr="004E4FCB">
        <w:rPr>
          <w:lang w:val="it-IT"/>
        </w:rPr>
        <w:t>La spesa media per viaggio cresce sia in Europa che a livello globale</w:t>
      </w:r>
    </w:p>
    <w:p w14:paraId="111640F4" w14:textId="7F0B1D4F" w:rsidR="00053437" w:rsidRPr="004E4FCB" w:rsidRDefault="00053437" w:rsidP="00053437">
      <w:pPr>
        <w:pStyle w:val="VisaHeadLevelOne"/>
        <w:numPr>
          <w:ilvl w:val="0"/>
          <w:numId w:val="13"/>
        </w:numPr>
        <w:ind w:left="851"/>
        <w:rPr>
          <w:lang w:val="it-IT"/>
        </w:rPr>
      </w:pPr>
      <w:r w:rsidRPr="004E4FCB">
        <w:rPr>
          <w:rFonts w:cs="Segoe UI"/>
          <w:color w:val="000000"/>
          <w:lang w:val="es-ES" w:eastAsia="en-GB"/>
        </w:rPr>
        <w:t>Visa si conferma la carta preferita per i pagamenti all’estero</w:t>
      </w:r>
    </w:p>
    <w:p w14:paraId="43302759" w14:textId="77777777" w:rsidR="00053437" w:rsidRPr="004E4FCB" w:rsidRDefault="00053437" w:rsidP="00736DF5">
      <w:pPr>
        <w:pStyle w:val="VisaHeadLevelOne"/>
        <w:numPr>
          <w:ilvl w:val="0"/>
          <w:numId w:val="0"/>
        </w:numPr>
        <w:ind w:left="720"/>
        <w:rPr>
          <w:lang w:val="it-IT"/>
        </w:rPr>
      </w:pPr>
    </w:p>
    <w:p w14:paraId="30A4207A" w14:textId="268A31B7" w:rsidR="007A1808" w:rsidRPr="004E4FCB" w:rsidRDefault="00AD5D5F" w:rsidP="00554CB9">
      <w:pPr>
        <w:spacing w:after="0" w:line="240" w:lineRule="auto"/>
        <w:jc w:val="both"/>
        <w:rPr>
          <w:rFonts w:ascii="Segoe UI" w:eastAsia="Times New Roman" w:hAnsi="Segoe UI" w:cs="Segoe UI"/>
          <w:lang w:eastAsia="en-GB"/>
        </w:rPr>
      </w:pPr>
      <w:r w:rsidRPr="004E4FCB">
        <w:rPr>
          <w:rFonts w:ascii="Segoe UI" w:hAnsi="Segoe UI" w:cs="Segoe UI"/>
          <w:i/>
        </w:rPr>
        <w:t xml:space="preserve">Milano, </w:t>
      </w:r>
      <w:r w:rsidR="00F9353C" w:rsidRPr="00F9353C">
        <w:rPr>
          <w:rFonts w:ascii="Segoe UI" w:hAnsi="Segoe UI" w:cs="Segoe UI"/>
          <w:i/>
        </w:rPr>
        <w:t>12</w:t>
      </w:r>
      <w:r w:rsidRPr="00F9353C">
        <w:rPr>
          <w:rFonts w:ascii="Segoe UI" w:hAnsi="Segoe UI" w:cs="Segoe UI"/>
          <w:i/>
        </w:rPr>
        <w:t xml:space="preserve"> </w:t>
      </w:r>
      <w:r w:rsidR="00F9353C" w:rsidRPr="00F9353C">
        <w:rPr>
          <w:rFonts w:ascii="Segoe UI" w:hAnsi="Segoe UI" w:cs="Segoe UI"/>
          <w:i/>
        </w:rPr>
        <w:t>marzo</w:t>
      </w:r>
      <w:r w:rsidRPr="00F9353C">
        <w:rPr>
          <w:rFonts w:ascii="Segoe UI" w:hAnsi="Segoe UI" w:cs="Segoe UI"/>
          <w:i/>
        </w:rPr>
        <w:t xml:space="preserve"> 2018</w:t>
      </w:r>
      <w:r w:rsidR="00EB645B" w:rsidRPr="00F9353C">
        <w:rPr>
          <w:rFonts w:ascii="Segoe UI" w:hAnsi="Segoe UI" w:cs="Segoe UI"/>
          <w:i/>
        </w:rPr>
        <w:t xml:space="preserve">: </w:t>
      </w:r>
      <w:r w:rsidR="001E2D58" w:rsidRPr="004E4FCB">
        <w:rPr>
          <w:rFonts w:ascii="Segoe UI" w:eastAsia="Times New Roman" w:hAnsi="Segoe UI" w:cs="Segoe UI"/>
          <w:lang w:eastAsia="en-GB"/>
        </w:rPr>
        <w:t>Nei prossimi 2 anni, l</w:t>
      </w:r>
      <w:r w:rsidR="00CB6551" w:rsidRPr="004E4FCB">
        <w:rPr>
          <w:rFonts w:ascii="Segoe UI" w:eastAsia="Times New Roman" w:hAnsi="Segoe UI" w:cs="Segoe UI"/>
          <w:lang w:eastAsia="en-GB"/>
        </w:rPr>
        <w:t>’</w:t>
      </w:r>
      <w:r w:rsidR="0096148A" w:rsidRPr="004E4FCB">
        <w:rPr>
          <w:rFonts w:ascii="Segoe UI" w:eastAsia="Times New Roman" w:hAnsi="Segoe UI" w:cs="Segoe UI"/>
          <w:lang w:eastAsia="en-GB"/>
        </w:rPr>
        <w:t xml:space="preserve">Italia </w:t>
      </w:r>
      <w:r w:rsidR="004A7EE1" w:rsidRPr="004E4FCB">
        <w:rPr>
          <w:rFonts w:ascii="Segoe UI" w:eastAsia="Times New Roman" w:hAnsi="Segoe UI" w:cs="Segoe UI"/>
          <w:lang w:eastAsia="en-GB"/>
        </w:rPr>
        <w:t xml:space="preserve">sarà </w:t>
      </w:r>
      <w:r w:rsidR="0096148A" w:rsidRPr="004E4FCB">
        <w:rPr>
          <w:rFonts w:ascii="Segoe UI" w:eastAsia="Times New Roman" w:hAnsi="Segoe UI" w:cs="Segoe UI"/>
          <w:lang w:eastAsia="en-GB"/>
        </w:rPr>
        <w:t xml:space="preserve">tra 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le </w:t>
      </w:r>
      <w:r w:rsidR="004A7EE1" w:rsidRPr="004E4FCB">
        <w:rPr>
          <w:rFonts w:ascii="Segoe UI" w:eastAsia="Times New Roman" w:hAnsi="Segoe UI" w:cs="Segoe UI"/>
          <w:lang w:eastAsia="en-GB"/>
        </w:rPr>
        <w:t xml:space="preserve">cinque 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destinazioni vacanziere </w:t>
      </w:r>
      <w:r w:rsidR="00BA1A98" w:rsidRPr="004E4FCB">
        <w:rPr>
          <w:rFonts w:ascii="Segoe UI" w:eastAsia="Times New Roman" w:hAnsi="Segoe UI" w:cs="Segoe UI"/>
          <w:lang w:eastAsia="en-GB"/>
        </w:rPr>
        <w:t xml:space="preserve">più scelte </w:t>
      </w:r>
      <w:r w:rsidR="007A1808" w:rsidRPr="004E4FCB">
        <w:rPr>
          <w:rFonts w:ascii="Segoe UI" w:eastAsia="Times New Roman" w:hAnsi="Segoe UI" w:cs="Segoe UI"/>
          <w:lang w:eastAsia="en-GB"/>
        </w:rPr>
        <w:t xml:space="preserve">dai </w:t>
      </w:r>
      <w:r w:rsidR="00EB645B" w:rsidRPr="004E4FCB">
        <w:rPr>
          <w:rFonts w:ascii="Segoe UI" w:eastAsia="Times New Roman" w:hAnsi="Segoe UI" w:cs="Segoe UI"/>
          <w:lang w:eastAsia="en-GB"/>
        </w:rPr>
        <w:t>turisti</w:t>
      </w:r>
      <w:r w:rsidR="0096148A" w:rsidRPr="004E4FCB">
        <w:rPr>
          <w:rFonts w:ascii="Segoe UI" w:eastAsia="Times New Roman" w:hAnsi="Segoe UI" w:cs="Segoe UI"/>
          <w:lang w:eastAsia="en-GB"/>
        </w:rPr>
        <w:t xml:space="preserve"> di tutto il mondo</w:t>
      </w:r>
      <w:r w:rsidR="004A7EE1" w:rsidRPr="004E4FCB">
        <w:rPr>
          <w:rFonts w:ascii="Segoe UI" w:eastAsia="Times New Roman" w:hAnsi="Segoe UI" w:cs="Segoe UI"/>
          <w:lang w:eastAsia="en-GB"/>
        </w:rPr>
        <w:t>,</w:t>
      </w:r>
      <w:r w:rsidR="0096148A" w:rsidRPr="004E4FCB">
        <w:rPr>
          <w:rFonts w:ascii="Segoe UI" w:eastAsia="Times New Roman" w:hAnsi="Segoe UI" w:cs="Segoe UI"/>
          <w:lang w:eastAsia="en-GB"/>
        </w:rPr>
        <w:t xml:space="preserve"> </w:t>
      </w:r>
      <w:r w:rsidR="00F81B5B" w:rsidRPr="004E4FCB">
        <w:rPr>
          <w:rFonts w:ascii="Segoe UI" w:eastAsia="Times New Roman" w:hAnsi="Segoe UI" w:cs="Segoe UI"/>
          <w:lang w:eastAsia="en-GB"/>
        </w:rPr>
        <w:t>a pari</w:t>
      </w:r>
      <w:r w:rsidR="009E7BBC" w:rsidRPr="004E4FCB">
        <w:rPr>
          <w:rFonts w:ascii="Segoe UI" w:eastAsia="Times New Roman" w:hAnsi="Segoe UI" w:cs="Segoe UI"/>
          <w:lang w:eastAsia="en-GB"/>
        </w:rPr>
        <w:t xml:space="preserve"> </w:t>
      </w:r>
      <w:r w:rsidR="00F81B5B" w:rsidRPr="004E4FCB">
        <w:rPr>
          <w:rFonts w:ascii="Segoe UI" w:eastAsia="Times New Roman" w:hAnsi="Segoe UI" w:cs="Segoe UI"/>
          <w:lang w:eastAsia="en-GB"/>
        </w:rPr>
        <w:t xml:space="preserve">merito con </w:t>
      </w:r>
      <w:r w:rsidR="0096148A" w:rsidRPr="004E4FCB">
        <w:rPr>
          <w:rFonts w:ascii="Segoe UI" w:eastAsia="Times New Roman" w:hAnsi="Segoe UI" w:cs="Segoe UI"/>
          <w:lang w:eastAsia="en-GB"/>
        </w:rPr>
        <w:t>Thailandia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 (3%)</w:t>
      </w:r>
      <w:r w:rsidR="004A7EE1" w:rsidRPr="004E4FCB">
        <w:rPr>
          <w:rFonts w:ascii="Segoe UI" w:eastAsia="Times New Roman" w:hAnsi="Segoe UI" w:cs="Segoe UI"/>
          <w:lang w:eastAsia="en-GB"/>
        </w:rPr>
        <w:t xml:space="preserve"> e</w:t>
      </w:r>
      <w:r w:rsidR="0096148A" w:rsidRPr="004E4FCB">
        <w:rPr>
          <w:rFonts w:ascii="Segoe UI" w:eastAsia="Times New Roman" w:hAnsi="Segoe UI" w:cs="Segoe UI"/>
          <w:lang w:eastAsia="en-GB"/>
        </w:rPr>
        <w:t xml:space="preserve"> subito dopo Giappone e </w:t>
      </w:r>
      <w:r w:rsidR="00910556" w:rsidRPr="004E4FCB">
        <w:rPr>
          <w:rFonts w:ascii="Segoe UI" w:eastAsia="Times New Roman" w:hAnsi="Segoe UI" w:cs="Segoe UI"/>
          <w:lang w:eastAsia="en-GB"/>
        </w:rPr>
        <w:t>S</w:t>
      </w:r>
      <w:r w:rsidR="0096148A" w:rsidRPr="004E4FCB">
        <w:rPr>
          <w:rFonts w:ascii="Segoe UI" w:eastAsia="Times New Roman" w:hAnsi="Segoe UI" w:cs="Segoe UI"/>
          <w:lang w:eastAsia="en-GB"/>
        </w:rPr>
        <w:t>tati Uniti (9%)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 </w:t>
      </w:r>
      <w:r w:rsidR="00F81B5B" w:rsidRPr="004E4FCB">
        <w:rPr>
          <w:rFonts w:ascii="Segoe UI" w:eastAsia="Times New Roman" w:hAnsi="Segoe UI" w:cs="Segoe UI"/>
          <w:lang w:eastAsia="en-GB"/>
        </w:rPr>
        <w:t>e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 </w:t>
      </w:r>
      <w:r w:rsidR="0096148A" w:rsidRPr="004E4FCB">
        <w:rPr>
          <w:rFonts w:ascii="Segoe UI" w:eastAsia="Times New Roman" w:hAnsi="Segoe UI" w:cs="Segoe UI"/>
          <w:lang w:eastAsia="en-GB"/>
        </w:rPr>
        <w:t xml:space="preserve">Australia 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(7%). È </w:t>
      </w:r>
      <w:r w:rsidR="003B599A" w:rsidRPr="004E4FCB">
        <w:rPr>
          <w:rFonts w:ascii="Segoe UI" w:eastAsia="Times New Roman" w:hAnsi="Segoe UI" w:cs="Segoe UI"/>
          <w:lang w:eastAsia="en-GB"/>
        </w:rPr>
        <w:t xml:space="preserve">quanto </w:t>
      </w:r>
      <w:r w:rsidR="00910556" w:rsidRPr="004E4FCB">
        <w:rPr>
          <w:rFonts w:ascii="Segoe UI" w:eastAsia="Times New Roman" w:hAnsi="Segoe UI" w:cs="Segoe UI"/>
          <w:lang w:eastAsia="en-GB"/>
        </w:rPr>
        <w:t>emerg</w:t>
      </w:r>
      <w:r w:rsidR="003B599A" w:rsidRPr="004E4FCB">
        <w:rPr>
          <w:rFonts w:ascii="Segoe UI" w:eastAsia="Times New Roman" w:hAnsi="Segoe UI" w:cs="Segoe UI"/>
          <w:lang w:eastAsia="en-GB"/>
        </w:rPr>
        <w:t>e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 dal</w:t>
      </w:r>
      <w:r w:rsidR="004A7EE1" w:rsidRPr="004E4FCB">
        <w:rPr>
          <w:rFonts w:ascii="Segoe UI" w:eastAsia="Times New Roman" w:hAnsi="Segoe UI" w:cs="Segoe UI"/>
          <w:lang w:eastAsia="en-GB"/>
        </w:rPr>
        <w:t>l’ultimo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 </w:t>
      </w:r>
      <w:r w:rsidR="00910556" w:rsidRPr="004E4FCB">
        <w:rPr>
          <w:rFonts w:ascii="Segoe UI" w:eastAsia="Times New Roman" w:hAnsi="Segoe UI" w:cs="Segoe UI"/>
          <w:b/>
          <w:i/>
          <w:lang w:eastAsia="en-GB"/>
        </w:rPr>
        <w:t>Visa Global Travel Intentions</w:t>
      </w:r>
      <w:r w:rsidR="004A7EE1" w:rsidRPr="004E4FCB">
        <w:rPr>
          <w:rFonts w:ascii="Segoe UI" w:eastAsia="Times New Roman" w:hAnsi="Segoe UI" w:cs="Segoe UI"/>
          <w:b/>
          <w:i/>
          <w:lang w:eastAsia="en-GB"/>
        </w:rPr>
        <w:t>,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 indagine </w:t>
      </w:r>
      <w:r w:rsidR="00CA6DD8" w:rsidRPr="004E4FCB">
        <w:rPr>
          <w:rFonts w:ascii="Segoe UI" w:eastAsia="Times New Roman" w:hAnsi="Segoe UI" w:cs="Segoe UI"/>
          <w:lang w:eastAsia="en-GB"/>
        </w:rPr>
        <w:t>condotta da Visa su un campione di 13.500</w:t>
      </w:r>
      <w:r w:rsidR="00F81B5B" w:rsidRPr="004E4FCB">
        <w:rPr>
          <w:rFonts w:ascii="Segoe UI" w:eastAsia="Times New Roman" w:hAnsi="Segoe UI" w:cs="Segoe UI"/>
          <w:lang w:eastAsia="en-GB"/>
        </w:rPr>
        <w:t xml:space="preserve"> </w:t>
      </w:r>
      <w:r w:rsidR="00D80706" w:rsidRPr="004E4FCB">
        <w:rPr>
          <w:rFonts w:ascii="Segoe UI" w:eastAsia="Times New Roman" w:hAnsi="Segoe UI" w:cs="Segoe UI"/>
          <w:lang w:eastAsia="en-GB"/>
        </w:rPr>
        <w:t>intervistat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i </w:t>
      </w:r>
      <w:r w:rsidR="00F81B5B" w:rsidRPr="004E4FCB">
        <w:rPr>
          <w:rFonts w:ascii="Segoe UI" w:eastAsia="Times New Roman" w:hAnsi="Segoe UI" w:cs="Segoe UI"/>
          <w:lang w:eastAsia="en-GB"/>
        </w:rPr>
        <w:t xml:space="preserve">appartenenti </w:t>
      </w:r>
      <w:r w:rsidR="00910556" w:rsidRPr="004E4FCB">
        <w:rPr>
          <w:rFonts w:ascii="Segoe UI" w:eastAsia="Times New Roman" w:hAnsi="Segoe UI" w:cs="Segoe UI"/>
          <w:lang w:eastAsia="en-GB"/>
        </w:rPr>
        <w:t xml:space="preserve">a 27 </w:t>
      </w:r>
      <w:r w:rsidR="00CA6DD8" w:rsidRPr="004E4FCB">
        <w:rPr>
          <w:rFonts w:ascii="Segoe UI" w:eastAsia="Times New Roman" w:hAnsi="Segoe UI" w:cs="Segoe UI"/>
          <w:lang w:eastAsia="en-GB"/>
        </w:rPr>
        <w:t>P</w:t>
      </w:r>
      <w:r w:rsidR="00910556" w:rsidRPr="004E4FCB">
        <w:rPr>
          <w:rFonts w:ascii="Segoe UI" w:eastAsia="Times New Roman" w:hAnsi="Segoe UI" w:cs="Segoe UI"/>
          <w:lang w:eastAsia="en-GB"/>
        </w:rPr>
        <w:t>aesi in tutto il mondo.</w:t>
      </w:r>
    </w:p>
    <w:p w14:paraId="634E874F" w14:textId="77777777" w:rsidR="00554CB9" w:rsidRPr="004E4FCB" w:rsidRDefault="00554CB9" w:rsidP="00554CB9">
      <w:pPr>
        <w:spacing w:after="0" w:line="240" w:lineRule="auto"/>
        <w:jc w:val="both"/>
        <w:rPr>
          <w:rFonts w:ascii="Segoe UI" w:eastAsia="Times New Roman" w:hAnsi="Segoe UI" w:cs="Segoe UI"/>
          <w:lang w:eastAsia="en-GB"/>
        </w:rPr>
      </w:pPr>
    </w:p>
    <w:p w14:paraId="4F7001A3" w14:textId="4DC132CD" w:rsidR="007A1808" w:rsidRPr="004E4FCB" w:rsidRDefault="00910556" w:rsidP="00554CB9">
      <w:pPr>
        <w:spacing w:after="0" w:line="240" w:lineRule="auto"/>
        <w:jc w:val="both"/>
        <w:rPr>
          <w:rFonts w:ascii="Segoe UI" w:eastAsia="Times New Roman" w:hAnsi="Segoe UI" w:cs="Segoe UI"/>
          <w:lang w:eastAsia="en-GB"/>
        </w:rPr>
      </w:pPr>
      <w:r w:rsidRPr="004E4FCB">
        <w:rPr>
          <w:rFonts w:ascii="Segoe UI" w:eastAsia="Times New Roman" w:hAnsi="Segoe UI" w:cs="Segoe UI"/>
          <w:lang w:eastAsia="en-GB"/>
        </w:rPr>
        <w:t xml:space="preserve">Secondo l'analisi di Visa, </w:t>
      </w:r>
      <w:r w:rsidR="007A1808" w:rsidRPr="004E4FCB">
        <w:rPr>
          <w:rFonts w:ascii="Segoe UI" w:eastAsia="Times New Roman" w:hAnsi="Segoe UI" w:cs="Segoe UI"/>
          <w:lang w:eastAsia="en-GB"/>
        </w:rPr>
        <w:t xml:space="preserve">l’Italia è tra le mete più ambite anche </w:t>
      </w:r>
      <w:r w:rsidR="004C4E52" w:rsidRPr="004E4FCB">
        <w:rPr>
          <w:rFonts w:ascii="Segoe UI" w:eastAsia="Times New Roman" w:hAnsi="Segoe UI" w:cs="Segoe UI"/>
          <w:lang w:eastAsia="en-GB"/>
        </w:rPr>
        <w:t>a livello Europeo</w:t>
      </w:r>
      <w:r w:rsidR="0017749F" w:rsidRPr="004E4FCB">
        <w:rPr>
          <w:rFonts w:ascii="Segoe UI" w:eastAsia="Times New Roman" w:hAnsi="Segoe UI" w:cs="Segoe UI"/>
          <w:lang w:eastAsia="en-GB"/>
        </w:rPr>
        <w:t xml:space="preserve"> dove si attesta</w:t>
      </w:r>
      <w:r w:rsidR="00F20CA0" w:rsidRPr="004E4FCB">
        <w:rPr>
          <w:rFonts w:ascii="Segoe UI" w:eastAsia="Times New Roman" w:hAnsi="Segoe UI" w:cs="Segoe UI"/>
          <w:lang w:eastAsia="en-GB"/>
        </w:rPr>
        <w:t xml:space="preserve"> </w:t>
      </w:r>
      <w:r w:rsidR="007A1808" w:rsidRPr="004E4FCB">
        <w:rPr>
          <w:rFonts w:ascii="Segoe UI" w:eastAsia="Times New Roman" w:hAnsi="Segoe UI" w:cs="Segoe UI"/>
          <w:lang w:eastAsia="en-GB"/>
        </w:rPr>
        <w:t xml:space="preserve">al 2° posto con il 20% delle preferenze subito dopo la Spagna (24%). Anche per gli Stati Uniti, </w:t>
      </w:r>
      <w:r w:rsidR="0088547E" w:rsidRPr="004E4FCB">
        <w:rPr>
          <w:rFonts w:ascii="Segoe UI" w:eastAsia="Times New Roman" w:hAnsi="Segoe UI" w:cs="Segoe UI"/>
          <w:lang w:eastAsia="en-GB"/>
        </w:rPr>
        <w:t>la Penisola</w:t>
      </w:r>
      <w:r w:rsidR="007A1808" w:rsidRPr="004E4FCB">
        <w:rPr>
          <w:rFonts w:ascii="Segoe UI" w:eastAsia="Times New Roman" w:hAnsi="Segoe UI" w:cs="Segoe UI"/>
          <w:lang w:eastAsia="en-GB"/>
        </w:rPr>
        <w:t xml:space="preserve"> si classifica al 2° posto, a pari</w:t>
      </w:r>
      <w:r w:rsidR="00EA7862" w:rsidRPr="004E4FCB">
        <w:rPr>
          <w:rFonts w:ascii="Segoe UI" w:eastAsia="Times New Roman" w:hAnsi="Segoe UI" w:cs="Segoe UI"/>
          <w:lang w:eastAsia="en-GB"/>
        </w:rPr>
        <w:t xml:space="preserve"> </w:t>
      </w:r>
      <w:r w:rsidR="007A1808" w:rsidRPr="004E4FCB">
        <w:rPr>
          <w:rFonts w:ascii="Segoe UI" w:eastAsia="Times New Roman" w:hAnsi="Segoe UI" w:cs="Segoe UI"/>
          <w:lang w:eastAsia="en-GB"/>
        </w:rPr>
        <w:t>merito con la Francia tra le destinazioni top</w:t>
      </w:r>
      <w:r w:rsidR="0017749F" w:rsidRPr="004E4FCB">
        <w:rPr>
          <w:rFonts w:ascii="Segoe UI" w:eastAsia="Times New Roman" w:hAnsi="Segoe UI" w:cs="Segoe UI"/>
          <w:lang w:eastAsia="en-GB"/>
        </w:rPr>
        <w:t xml:space="preserve"> (15%)</w:t>
      </w:r>
      <w:r w:rsidR="00EA7862" w:rsidRPr="004E4FCB">
        <w:rPr>
          <w:rFonts w:ascii="Segoe UI" w:eastAsia="Times New Roman" w:hAnsi="Segoe UI" w:cs="Segoe UI"/>
          <w:lang w:eastAsia="en-GB"/>
        </w:rPr>
        <w:t>, e al 4° posto p</w:t>
      </w:r>
      <w:r w:rsidR="007A1808" w:rsidRPr="004E4FCB">
        <w:rPr>
          <w:rFonts w:ascii="Segoe UI" w:eastAsia="Times New Roman" w:hAnsi="Segoe UI" w:cs="Segoe UI"/>
          <w:lang w:eastAsia="en-GB"/>
        </w:rPr>
        <w:t>er la regione MEA (che comprende, Egitto, Kuwait, Arabia Saudita, Sud Africa e Emirati Arabi)</w:t>
      </w:r>
      <w:r w:rsidR="00EA7862" w:rsidRPr="004E4FCB">
        <w:rPr>
          <w:rFonts w:ascii="Segoe UI" w:eastAsia="Times New Roman" w:hAnsi="Segoe UI" w:cs="Segoe UI"/>
          <w:lang w:eastAsia="en-GB"/>
        </w:rPr>
        <w:t>, a pari merito con la Turchia (6%).</w:t>
      </w:r>
    </w:p>
    <w:p w14:paraId="4CAE3F36" w14:textId="1909D1C3" w:rsidR="00554CB9" w:rsidRPr="004E4FCB" w:rsidRDefault="00554CB9" w:rsidP="00554CB9">
      <w:pPr>
        <w:spacing w:after="0" w:line="240" w:lineRule="auto"/>
        <w:jc w:val="both"/>
        <w:rPr>
          <w:rFonts w:ascii="Segoe UI" w:eastAsia="Times New Roman" w:hAnsi="Segoe UI" w:cs="Segoe UI"/>
          <w:lang w:eastAsia="en-GB"/>
        </w:rPr>
      </w:pPr>
    </w:p>
    <w:p w14:paraId="28C0D9C4" w14:textId="3DF72C17" w:rsidR="00554CB9" w:rsidRPr="004E4FCB" w:rsidRDefault="00554CB9" w:rsidP="00554CB9">
      <w:pPr>
        <w:spacing w:after="0" w:line="240" w:lineRule="auto"/>
        <w:jc w:val="both"/>
        <w:rPr>
          <w:rFonts w:ascii="Segoe UI" w:eastAsia="Times New Roman" w:hAnsi="Segoe UI" w:cs="Segoe UI"/>
          <w:b/>
          <w:lang w:eastAsia="en-GB"/>
        </w:rPr>
      </w:pPr>
      <w:r w:rsidRPr="004E4FCB">
        <w:rPr>
          <w:rFonts w:ascii="Segoe UI" w:eastAsia="Times New Roman" w:hAnsi="Segoe UI" w:cs="Segoe UI"/>
          <w:b/>
          <w:lang w:eastAsia="en-GB"/>
        </w:rPr>
        <w:t>Abitudini di viaggio</w:t>
      </w:r>
    </w:p>
    <w:p w14:paraId="3C97AAEE" w14:textId="29E77178" w:rsidR="00554CB9" w:rsidRPr="004E4FCB" w:rsidRDefault="00554CB9" w:rsidP="00554CB9">
      <w:pPr>
        <w:spacing w:after="0" w:line="240" w:lineRule="auto"/>
        <w:jc w:val="both"/>
        <w:rPr>
          <w:rFonts w:ascii="Segoe UI" w:eastAsia="Times New Roman" w:hAnsi="Segoe UI" w:cs="Segoe UI"/>
          <w:lang w:eastAsia="en-GB"/>
        </w:rPr>
      </w:pPr>
      <w:r w:rsidRPr="004E4FCB">
        <w:rPr>
          <w:rFonts w:ascii="Segoe UI" w:eastAsia="Times New Roman" w:hAnsi="Segoe UI" w:cs="Segoe UI"/>
          <w:lang w:eastAsia="en-GB"/>
        </w:rPr>
        <w:t>C</w:t>
      </w:r>
      <w:r w:rsidR="00C76B5E" w:rsidRPr="004E4FCB">
        <w:rPr>
          <w:rFonts w:ascii="Segoe UI" w:eastAsia="Times New Roman" w:hAnsi="Segoe UI" w:cs="Segoe UI"/>
          <w:lang w:eastAsia="en-GB"/>
        </w:rPr>
        <w:t>on</w:t>
      </w:r>
      <w:r w:rsidR="00EA7862" w:rsidRPr="004E4FCB">
        <w:rPr>
          <w:rFonts w:ascii="Segoe UI" w:eastAsia="Times New Roman" w:hAnsi="Segoe UI" w:cs="Segoe UI"/>
          <w:lang w:eastAsia="en-GB"/>
        </w:rPr>
        <w:t xml:space="preserve"> il desiderio di viaggiare</w:t>
      </w:r>
      <w:r w:rsidR="00C76B5E" w:rsidRPr="004E4FCB">
        <w:rPr>
          <w:rFonts w:ascii="Segoe UI" w:eastAsia="Times New Roman" w:hAnsi="Segoe UI" w:cs="Segoe UI"/>
          <w:lang w:eastAsia="en-GB"/>
        </w:rPr>
        <w:t>, cresce anche l’importo medio di spesa per viaggio</w:t>
      </w:r>
      <w:r w:rsidR="007575FD" w:rsidRPr="004E4FCB">
        <w:rPr>
          <w:rFonts w:ascii="Segoe UI" w:eastAsia="Times New Roman" w:hAnsi="Segoe UI" w:cs="Segoe UI"/>
          <w:lang w:eastAsia="en-GB"/>
        </w:rPr>
        <w:t>,</w:t>
      </w:r>
      <w:r w:rsidR="00C76B5E" w:rsidRPr="004E4FCB">
        <w:rPr>
          <w:rFonts w:ascii="Segoe UI" w:eastAsia="Times New Roman" w:hAnsi="Segoe UI" w:cs="Segoe UI"/>
          <w:lang w:eastAsia="en-GB"/>
        </w:rPr>
        <w:t xml:space="preserve"> sia in Europa dove da quota 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952 € </w:t>
      </w:r>
      <w:r w:rsidR="00C76B5E" w:rsidRPr="004E4FCB">
        <w:rPr>
          <w:rFonts w:ascii="Segoe UI" w:eastAsia="Times New Roman" w:hAnsi="Segoe UI" w:cs="Segoe UI"/>
          <w:lang w:eastAsia="en-GB"/>
        </w:rPr>
        <w:t xml:space="preserve">si prevede salirà a quota 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1143 € </w:t>
      </w:r>
      <w:r w:rsidR="00C76B5E" w:rsidRPr="004E4FCB">
        <w:rPr>
          <w:rFonts w:ascii="Segoe UI" w:eastAsia="Times New Roman" w:hAnsi="Segoe UI" w:cs="Segoe UI"/>
          <w:lang w:eastAsia="en-GB"/>
        </w:rPr>
        <w:t xml:space="preserve">(+20%), sia a livello globale dove da quota 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1.455 € </w:t>
      </w:r>
      <w:r w:rsidR="007575FD" w:rsidRPr="004E4FCB">
        <w:rPr>
          <w:rFonts w:ascii="Segoe UI" w:eastAsia="Times New Roman" w:hAnsi="Segoe UI" w:cs="Segoe UI"/>
          <w:lang w:eastAsia="en-GB"/>
        </w:rPr>
        <w:t xml:space="preserve">si prevede salirà </w:t>
      </w:r>
      <w:r w:rsidR="00EA7862" w:rsidRPr="004E4FCB">
        <w:rPr>
          <w:rFonts w:ascii="Segoe UI" w:eastAsia="Times New Roman" w:hAnsi="Segoe UI" w:cs="Segoe UI"/>
          <w:lang w:eastAsia="en-GB"/>
        </w:rPr>
        <w:t xml:space="preserve">a </w:t>
      </w:r>
      <w:r w:rsidR="007575FD" w:rsidRPr="004E4FCB">
        <w:rPr>
          <w:rFonts w:ascii="Segoe UI" w:eastAsia="Times New Roman" w:hAnsi="Segoe UI" w:cs="Segoe UI"/>
          <w:lang w:eastAsia="en-GB"/>
        </w:rPr>
        <w:t>quota</w:t>
      </w:r>
      <w:r w:rsidR="00EA7862" w:rsidRPr="004E4FCB">
        <w:rPr>
          <w:rFonts w:ascii="Segoe UI" w:eastAsia="Times New Roman" w:hAnsi="Segoe UI" w:cs="Segoe UI"/>
          <w:lang w:eastAsia="en-GB"/>
        </w:rPr>
        <w:t xml:space="preserve"> </w:t>
      </w:r>
      <w:r w:rsidR="00E7603D" w:rsidRPr="004E4FCB">
        <w:rPr>
          <w:rFonts w:ascii="Segoe UI" w:eastAsia="Times New Roman" w:hAnsi="Segoe UI" w:cs="Segoe UI"/>
          <w:lang w:eastAsia="en-GB"/>
        </w:rPr>
        <w:t>1.98</w:t>
      </w:r>
      <w:r w:rsidR="00175FD8" w:rsidRPr="004E4FCB">
        <w:rPr>
          <w:rFonts w:ascii="Segoe UI" w:eastAsia="Times New Roman" w:hAnsi="Segoe UI" w:cs="Segoe UI"/>
          <w:lang w:eastAsia="en-GB"/>
        </w:rPr>
        <w:t>2</w:t>
      </w:r>
      <w:r w:rsidR="00E7603D" w:rsidRPr="004E4FCB" w:rsidDel="00E7603D">
        <w:rPr>
          <w:rFonts w:ascii="Segoe UI" w:eastAsia="Times New Roman" w:hAnsi="Segoe UI" w:cs="Segoe UI"/>
          <w:lang w:eastAsia="en-GB"/>
        </w:rPr>
        <w:t xml:space="preserve"> 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€ </w:t>
      </w:r>
      <w:r w:rsidR="007575FD" w:rsidRPr="004E4FCB">
        <w:rPr>
          <w:rFonts w:ascii="Segoe UI" w:eastAsia="Times New Roman" w:hAnsi="Segoe UI" w:cs="Segoe UI"/>
          <w:lang w:eastAsia="en-GB"/>
        </w:rPr>
        <w:t>(+36%)</w:t>
      </w:r>
      <w:r w:rsidR="00E17CEB" w:rsidRPr="004E4FCB">
        <w:rPr>
          <w:rFonts w:ascii="Segoe UI" w:eastAsia="Times New Roman" w:hAnsi="Segoe UI" w:cs="Segoe UI"/>
          <w:lang w:eastAsia="en-GB"/>
        </w:rPr>
        <w:t>, ma i top five spender saranno Arabia Saudita (</w:t>
      </w:r>
      <w:r w:rsidR="00E7603D" w:rsidRPr="004E4FCB">
        <w:rPr>
          <w:rFonts w:ascii="Segoe UI" w:eastAsia="Times New Roman" w:hAnsi="Segoe UI" w:cs="Segoe UI"/>
          <w:lang w:eastAsia="en-GB"/>
        </w:rPr>
        <w:t>3.89</w:t>
      </w:r>
      <w:r w:rsidR="00175FD8" w:rsidRPr="004E4FCB">
        <w:rPr>
          <w:rFonts w:ascii="Segoe UI" w:eastAsia="Times New Roman" w:hAnsi="Segoe UI" w:cs="Segoe UI"/>
          <w:lang w:eastAsia="en-GB"/>
        </w:rPr>
        <w:t>5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 €</w:t>
      </w:r>
      <w:r w:rsidR="00E17CEB" w:rsidRPr="004E4FCB">
        <w:rPr>
          <w:rFonts w:ascii="Segoe UI" w:eastAsia="Times New Roman" w:hAnsi="Segoe UI" w:cs="Segoe UI"/>
          <w:lang w:eastAsia="en-GB"/>
        </w:rPr>
        <w:t>), Cina (</w:t>
      </w:r>
      <w:r w:rsidR="00E7603D" w:rsidRPr="004E4FCB">
        <w:rPr>
          <w:rFonts w:ascii="Segoe UI" w:eastAsia="Times New Roman" w:hAnsi="Segoe UI" w:cs="Segoe UI"/>
          <w:lang w:eastAsia="en-GB"/>
        </w:rPr>
        <w:t>3.27</w:t>
      </w:r>
      <w:r w:rsidR="00175FD8" w:rsidRPr="004E4FCB">
        <w:rPr>
          <w:rFonts w:ascii="Segoe UI" w:eastAsia="Times New Roman" w:hAnsi="Segoe UI" w:cs="Segoe UI"/>
          <w:lang w:eastAsia="en-GB"/>
        </w:rPr>
        <w:t>3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 €</w:t>
      </w:r>
      <w:r w:rsidR="00E17CEB" w:rsidRPr="004E4FCB">
        <w:rPr>
          <w:rFonts w:ascii="Segoe UI" w:eastAsia="Times New Roman" w:hAnsi="Segoe UI" w:cs="Segoe UI"/>
          <w:lang w:eastAsia="en-GB"/>
        </w:rPr>
        <w:t>), Australia (</w:t>
      </w:r>
      <w:r w:rsidR="00E7603D" w:rsidRPr="004E4FCB">
        <w:rPr>
          <w:rFonts w:ascii="Segoe UI" w:eastAsia="Times New Roman" w:hAnsi="Segoe UI" w:cs="Segoe UI"/>
          <w:lang w:eastAsia="en-GB"/>
        </w:rPr>
        <w:t>2.86</w:t>
      </w:r>
      <w:r w:rsidR="00175FD8" w:rsidRPr="004E4FCB">
        <w:rPr>
          <w:rFonts w:ascii="Segoe UI" w:eastAsia="Times New Roman" w:hAnsi="Segoe UI" w:cs="Segoe UI"/>
          <w:lang w:eastAsia="en-GB"/>
        </w:rPr>
        <w:t>3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 €</w:t>
      </w:r>
      <w:r w:rsidR="00E17CEB" w:rsidRPr="004E4FCB">
        <w:rPr>
          <w:rFonts w:ascii="Segoe UI" w:eastAsia="Times New Roman" w:hAnsi="Segoe UI" w:cs="Segoe UI"/>
          <w:lang w:eastAsia="en-GB"/>
        </w:rPr>
        <w:t>), Usa (</w:t>
      </w:r>
      <w:r w:rsidR="00E7603D" w:rsidRPr="004E4FCB">
        <w:rPr>
          <w:rFonts w:ascii="Segoe UI" w:eastAsia="Times New Roman" w:hAnsi="Segoe UI" w:cs="Segoe UI"/>
          <w:lang w:eastAsia="en-GB"/>
        </w:rPr>
        <w:t>2.84</w:t>
      </w:r>
      <w:r w:rsidR="00175FD8" w:rsidRPr="004E4FCB">
        <w:rPr>
          <w:rFonts w:ascii="Segoe UI" w:eastAsia="Times New Roman" w:hAnsi="Segoe UI" w:cs="Segoe UI"/>
          <w:lang w:eastAsia="en-GB"/>
        </w:rPr>
        <w:t>0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 €</w:t>
      </w:r>
      <w:bookmarkStart w:id="0" w:name="_GoBack"/>
      <w:bookmarkEnd w:id="0"/>
      <w:r w:rsidR="00E17CEB" w:rsidRPr="004E4FCB">
        <w:rPr>
          <w:rFonts w:ascii="Segoe UI" w:eastAsia="Times New Roman" w:hAnsi="Segoe UI" w:cs="Segoe UI"/>
          <w:lang w:eastAsia="en-GB"/>
        </w:rPr>
        <w:t>) e Kuwait (</w:t>
      </w:r>
      <w:r w:rsidR="00E7603D" w:rsidRPr="004E4FCB">
        <w:rPr>
          <w:rFonts w:ascii="Segoe UI" w:eastAsia="Times New Roman" w:hAnsi="Segoe UI" w:cs="Segoe UI"/>
          <w:lang w:eastAsia="en-GB"/>
        </w:rPr>
        <w:t>2.8</w:t>
      </w:r>
      <w:r w:rsidR="00175FD8" w:rsidRPr="004E4FCB">
        <w:rPr>
          <w:rFonts w:ascii="Segoe UI" w:eastAsia="Times New Roman" w:hAnsi="Segoe UI" w:cs="Segoe UI"/>
          <w:lang w:eastAsia="en-GB"/>
        </w:rPr>
        <w:t>19</w:t>
      </w:r>
      <w:r w:rsidR="00E7603D" w:rsidRPr="004E4FCB">
        <w:rPr>
          <w:rFonts w:ascii="Segoe UI" w:eastAsia="Times New Roman" w:hAnsi="Segoe UI" w:cs="Segoe UI"/>
          <w:lang w:eastAsia="en-GB"/>
        </w:rPr>
        <w:t xml:space="preserve"> €</w:t>
      </w:r>
      <w:r w:rsidR="00E17CEB" w:rsidRPr="004E4FCB">
        <w:rPr>
          <w:rFonts w:ascii="Segoe UI" w:eastAsia="Times New Roman" w:hAnsi="Segoe UI" w:cs="Segoe UI"/>
          <w:lang w:eastAsia="en-GB"/>
        </w:rPr>
        <w:t>)</w:t>
      </w:r>
      <w:r w:rsidR="00F9353C">
        <w:rPr>
          <w:rFonts w:ascii="Segoe UI" w:eastAsia="Times New Roman" w:hAnsi="Segoe UI" w:cs="Segoe UI"/>
          <w:lang w:eastAsia="en-GB"/>
        </w:rPr>
        <w:t xml:space="preserve">. </w:t>
      </w:r>
      <w:r w:rsidR="00E17CEB" w:rsidRPr="004E4FCB">
        <w:rPr>
          <w:rFonts w:ascii="Segoe UI" w:eastAsia="Times New Roman" w:hAnsi="Segoe UI" w:cs="Segoe UI"/>
          <w:lang w:eastAsia="en-GB"/>
        </w:rPr>
        <w:t>Non a caso, i viaggiatori provenienti da Africa e America sono più aperti a spingersi molto oltre i loro confini, preferendo mete sul lungo raggio</w:t>
      </w:r>
      <w:r w:rsidR="00BA1A98" w:rsidRPr="004E4FCB">
        <w:rPr>
          <w:rFonts w:ascii="Segoe UI" w:eastAsia="Times New Roman" w:hAnsi="Segoe UI" w:cs="Segoe UI"/>
          <w:lang w:eastAsia="en-GB"/>
        </w:rPr>
        <w:t>, mentre</w:t>
      </w:r>
      <w:r w:rsidR="00E17CEB" w:rsidRPr="004E4FCB">
        <w:rPr>
          <w:rFonts w:ascii="Segoe UI" w:eastAsia="Times New Roman" w:hAnsi="Segoe UI" w:cs="Segoe UI"/>
          <w:lang w:eastAsia="en-GB"/>
        </w:rPr>
        <w:t xml:space="preserve"> gli europei e gli asiatici sono più orientati a esplorare le regioni limitrofe. </w:t>
      </w:r>
      <w:r w:rsidR="00407925" w:rsidRPr="004E4FCB">
        <w:rPr>
          <w:rFonts w:ascii="Segoe UI" w:eastAsia="Times New Roman" w:hAnsi="Segoe UI" w:cs="Segoe UI"/>
          <w:color w:val="000000"/>
          <w:lang w:eastAsia="en-GB"/>
        </w:rPr>
        <w:t xml:space="preserve">E se a trainare la scelta della prossima destinazione </w:t>
      </w:r>
      <w:r w:rsidR="00F30D44" w:rsidRPr="004E4FCB">
        <w:rPr>
          <w:rFonts w:ascii="Segoe UI" w:eastAsia="Times New Roman" w:hAnsi="Segoe UI" w:cs="Segoe UI"/>
          <w:color w:val="000000"/>
          <w:lang w:eastAsia="en-GB"/>
        </w:rPr>
        <w:t xml:space="preserve">di viaggio, sul fronte </w:t>
      </w:r>
      <w:r w:rsidR="00407925" w:rsidRPr="004E4FCB">
        <w:rPr>
          <w:rFonts w:ascii="Segoe UI" w:eastAsia="Times New Roman" w:hAnsi="Segoe UI" w:cs="Segoe UI"/>
          <w:color w:val="000000"/>
          <w:lang w:eastAsia="en-GB"/>
        </w:rPr>
        <w:t>Europa</w:t>
      </w:r>
      <w:r w:rsidR="00F30D44" w:rsidRPr="004E4FCB">
        <w:rPr>
          <w:rFonts w:ascii="Segoe UI" w:eastAsia="Times New Roman" w:hAnsi="Segoe UI" w:cs="Segoe UI"/>
          <w:color w:val="000000"/>
          <w:lang w:eastAsia="en-GB"/>
        </w:rPr>
        <w:t>,</w:t>
      </w:r>
      <w:r w:rsidR="00407925" w:rsidRPr="004E4FCB">
        <w:rPr>
          <w:rFonts w:ascii="Segoe UI" w:eastAsia="Times New Roman" w:hAnsi="Segoe UI" w:cs="Segoe UI"/>
          <w:color w:val="000000"/>
          <w:lang w:eastAsia="en-GB"/>
        </w:rPr>
        <w:t xml:space="preserve"> si confermano a pari merito la ricerca della bella stagione e di una tradizione/cultura ricca</w:t>
      </w:r>
      <w:r w:rsidR="00E17CEB" w:rsidRPr="004E4FCB">
        <w:rPr>
          <w:rFonts w:ascii="Segoe UI" w:eastAsia="Times New Roman" w:hAnsi="Segoe UI" w:cs="Segoe UI"/>
          <w:color w:val="000000"/>
          <w:lang w:eastAsia="en-GB"/>
        </w:rPr>
        <w:t xml:space="preserve"> (entrambe al 38%)</w:t>
      </w:r>
      <w:r w:rsidR="00407925" w:rsidRPr="004E4FCB">
        <w:rPr>
          <w:rFonts w:ascii="Segoe UI" w:eastAsia="Times New Roman" w:hAnsi="Segoe UI" w:cs="Segoe UI"/>
          <w:color w:val="000000"/>
          <w:lang w:eastAsia="en-GB"/>
        </w:rPr>
        <w:t>, a livello worl</w:t>
      </w:r>
      <w:r w:rsidR="00362196" w:rsidRPr="004E4FCB">
        <w:rPr>
          <w:rFonts w:ascii="Segoe UI" w:eastAsia="Times New Roman" w:hAnsi="Segoe UI" w:cs="Segoe UI"/>
          <w:color w:val="000000"/>
          <w:lang w:eastAsia="en-GB"/>
        </w:rPr>
        <w:t>d</w:t>
      </w:r>
      <w:r w:rsidR="00407925" w:rsidRPr="004E4FCB">
        <w:rPr>
          <w:rFonts w:ascii="Segoe UI" w:eastAsia="Times New Roman" w:hAnsi="Segoe UI" w:cs="Segoe UI"/>
          <w:color w:val="000000"/>
          <w:lang w:eastAsia="en-GB"/>
        </w:rPr>
        <w:t>wide prevale l‘esigenza di un viaggio più culturale</w:t>
      </w:r>
      <w:r w:rsidR="00E17CEB" w:rsidRPr="004E4FCB">
        <w:rPr>
          <w:rFonts w:ascii="Segoe UI" w:eastAsia="Times New Roman" w:hAnsi="Segoe UI" w:cs="Segoe UI"/>
          <w:color w:val="000000"/>
          <w:lang w:eastAsia="en-GB"/>
        </w:rPr>
        <w:t xml:space="preserve"> sulla bella stagione (38% </w:t>
      </w:r>
      <w:r w:rsidR="00F9353C">
        <w:rPr>
          <w:rFonts w:ascii="Segoe UI" w:eastAsia="Times New Roman" w:hAnsi="Segoe UI" w:cs="Segoe UI"/>
          <w:color w:val="000000"/>
          <w:lang w:eastAsia="en-GB"/>
        </w:rPr>
        <w:t>vs</w:t>
      </w:r>
      <w:r w:rsidR="00E17CEB" w:rsidRPr="004E4FCB">
        <w:rPr>
          <w:rFonts w:ascii="Segoe UI" w:eastAsia="Times New Roman" w:hAnsi="Segoe UI" w:cs="Segoe UI"/>
          <w:color w:val="000000"/>
          <w:lang w:eastAsia="en-GB"/>
        </w:rPr>
        <w:t xml:space="preserve"> 35%)</w:t>
      </w:r>
      <w:r w:rsidR="00407925" w:rsidRPr="004E4FCB">
        <w:rPr>
          <w:rFonts w:ascii="Segoe UI" w:eastAsia="Times New Roman" w:hAnsi="Segoe UI" w:cs="Segoe UI"/>
          <w:color w:val="000000"/>
          <w:lang w:eastAsia="en-GB"/>
        </w:rPr>
        <w:t>.</w:t>
      </w:r>
      <w:r w:rsidR="00F30D44" w:rsidRPr="004E4FCB">
        <w:rPr>
          <w:rFonts w:ascii="Segoe UI" w:eastAsia="Times New Roman" w:hAnsi="Segoe UI" w:cs="Segoe UI"/>
          <w:lang w:eastAsia="en-GB"/>
        </w:rPr>
        <w:t xml:space="preserve"> </w:t>
      </w:r>
      <w:r w:rsidR="00F772A1" w:rsidRPr="004E4FCB">
        <w:rPr>
          <w:rFonts w:ascii="Segoe UI" w:eastAsia="Times New Roman" w:hAnsi="Segoe UI" w:cs="Segoe UI"/>
          <w:bCs/>
          <w:color w:val="000000"/>
          <w:lang w:eastAsia="en-GB"/>
        </w:rPr>
        <w:t xml:space="preserve">Si viaggia principalmente </w:t>
      </w:r>
      <w:r w:rsidR="0088547E" w:rsidRPr="004E4FCB">
        <w:rPr>
          <w:rFonts w:ascii="Segoe UI" w:eastAsia="Times New Roman" w:hAnsi="Segoe UI" w:cs="Segoe UI"/>
          <w:bCs/>
          <w:color w:val="000000"/>
          <w:lang w:eastAsia="en-GB"/>
        </w:rPr>
        <w:t xml:space="preserve">durante il periodo estivo </w:t>
      </w:r>
      <w:r w:rsidR="00F772A1" w:rsidRPr="004E4FCB">
        <w:rPr>
          <w:rFonts w:ascii="Segoe UI" w:eastAsia="Times New Roman" w:hAnsi="Segoe UI" w:cs="Segoe UI"/>
          <w:bCs/>
          <w:color w:val="000000"/>
          <w:lang w:eastAsia="en-GB"/>
        </w:rPr>
        <w:t xml:space="preserve">in occasione di periodi di vacanza programmati (18% Eu e 14% globale), e quando si avverte il bisogno di ridurre lo stress (11% </w:t>
      </w:r>
      <w:r w:rsidR="00BA1A98" w:rsidRPr="004E4FCB">
        <w:rPr>
          <w:rFonts w:ascii="Segoe UI" w:eastAsia="Times New Roman" w:hAnsi="Segoe UI" w:cs="Segoe UI"/>
          <w:bCs/>
          <w:color w:val="000000"/>
          <w:lang w:eastAsia="en-GB"/>
        </w:rPr>
        <w:t>Eu e globale</w:t>
      </w:r>
      <w:r w:rsidR="00F772A1" w:rsidRPr="004E4FCB">
        <w:rPr>
          <w:rFonts w:ascii="Segoe UI" w:eastAsia="Times New Roman" w:hAnsi="Segoe UI" w:cs="Segoe UI"/>
          <w:bCs/>
          <w:color w:val="000000"/>
          <w:lang w:eastAsia="en-GB"/>
        </w:rPr>
        <w:t xml:space="preserve">). </w:t>
      </w:r>
    </w:p>
    <w:p w14:paraId="417A41B1" w14:textId="77777777" w:rsidR="00554CB9" w:rsidRPr="004E4FCB" w:rsidRDefault="00554CB9" w:rsidP="00554CB9">
      <w:pPr>
        <w:spacing w:after="0" w:line="240" w:lineRule="auto"/>
        <w:jc w:val="both"/>
        <w:rPr>
          <w:rFonts w:ascii="Segoe UI" w:eastAsia="Times New Roman" w:hAnsi="Segoe UI" w:cs="Segoe UI"/>
          <w:lang w:eastAsia="en-GB"/>
        </w:rPr>
      </w:pPr>
    </w:p>
    <w:p w14:paraId="03EB4ABA" w14:textId="6FAE838D" w:rsidR="00554CB9" w:rsidRPr="004E4FCB" w:rsidRDefault="00BA1A98" w:rsidP="00943F72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00000"/>
          <w:lang w:eastAsia="en-GB"/>
        </w:rPr>
      </w:pPr>
      <w:r w:rsidRPr="004E4FC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Ricerca </w:t>
      </w:r>
      <w:r w:rsidR="009A29C3" w:rsidRPr="004E4FC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di </w:t>
      </w:r>
      <w:r w:rsidRPr="004E4FCB">
        <w:rPr>
          <w:rFonts w:ascii="Segoe UI" w:eastAsia="Times New Roman" w:hAnsi="Segoe UI" w:cs="Segoe UI"/>
          <w:b/>
          <w:bCs/>
          <w:color w:val="000000"/>
          <w:lang w:eastAsia="en-GB"/>
        </w:rPr>
        <w:t>informazioni</w:t>
      </w:r>
      <w:r w:rsidR="00943F72" w:rsidRPr="004E4FC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, </w:t>
      </w:r>
      <w:r w:rsidR="003F6515" w:rsidRPr="004E4FCB">
        <w:rPr>
          <w:rFonts w:ascii="Segoe UI" w:eastAsia="Times New Roman" w:hAnsi="Segoe UI" w:cs="Segoe UI"/>
          <w:b/>
          <w:bCs/>
          <w:color w:val="000000"/>
          <w:lang w:eastAsia="en-GB"/>
        </w:rPr>
        <w:t>strumenti di ricerca</w:t>
      </w:r>
      <w:r w:rsidR="00943F72" w:rsidRPr="004E4FCB">
        <w:rPr>
          <w:rFonts w:ascii="Segoe UI" w:eastAsia="Times New Roman" w:hAnsi="Segoe UI" w:cs="Segoe UI"/>
          <w:b/>
          <w:bCs/>
          <w:color w:val="000000"/>
          <w:lang w:eastAsia="en-GB"/>
        </w:rPr>
        <w:t xml:space="preserve"> e connessioni</w:t>
      </w:r>
    </w:p>
    <w:p w14:paraId="6717B876" w14:textId="5D1B071E" w:rsidR="004070CC" w:rsidRPr="004E4FCB" w:rsidRDefault="00BA1A98" w:rsidP="00943F72">
      <w:pPr>
        <w:spacing w:after="0" w:line="240" w:lineRule="auto"/>
        <w:jc w:val="both"/>
        <w:rPr>
          <w:rFonts w:ascii="Segoe UI" w:eastAsia="Times New Roman" w:hAnsi="Segoe UI" w:cs="Segoe UI"/>
          <w:i/>
          <w:lang w:eastAsia="en-GB"/>
        </w:rPr>
      </w:pPr>
      <w:r w:rsidRPr="004E4FCB">
        <w:rPr>
          <w:rFonts w:ascii="Segoe UI" w:eastAsia="Times New Roman" w:hAnsi="Segoe UI" w:cs="Segoe UI"/>
          <w:bCs/>
          <w:color w:val="000000"/>
          <w:lang w:eastAsia="en-GB"/>
        </w:rPr>
        <w:t>L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o studio Visa </w:t>
      </w:r>
      <w:r w:rsidR="00650199" w:rsidRPr="004E4FCB">
        <w:rPr>
          <w:rFonts w:ascii="Segoe UI" w:eastAsia="Times New Roman" w:hAnsi="Segoe UI" w:cs="Segoe UI"/>
          <w:i/>
          <w:color w:val="000000"/>
          <w:lang w:eastAsia="en-GB"/>
        </w:rPr>
        <w:t xml:space="preserve">Global Travel Intentions 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(GTI) </w:t>
      </w:r>
      <w:r w:rsidR="00E628E4" w:rsidRPr="004E4FCB">
        <w:rPr>
          <w:rFonts w:ascii="Segoe UI" w:eastAsia="Times New Roman" w:hAnsi="Segoe UI" w:cs="Segoe UI"/>
          <w:color w:val="000000"/>
          <w:lang w:eastAsia="en-GB"/>
        </w:rPr>
        <w:t>rileva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 che i viaggiatori utilizzano sempre più la tecnologia per pianificare i </w:t>
      </w:r>
      <w:r w:rsidR="00E628E4" w:rsidRPr="004E4FCB">
        <w:rPr>
          <w:rFonts w:ascii="Segoe UI" w:eastAsia="Times New Roman" w:hAnsi="Segoe UI" w:cs="Segoe UI"/>
          <w:color w:val="000000"/>
          <w:lang w:eastAsia="en-GB"/>
        </w:rPr>
        <w:t xml:space="preserve">loro 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viaggi </w:t>
      </w:r>
      <w:r w:rsidR="00650199" w:rsidRPr="004E4FCB">
        <w:rPr>
          <w:rFonts w:ascii="Segoe UI" w:eastAsia="Times New Roman" w:hAnsi="Segoe UI" w:cs="Segoe UI"/>
          <w:lang w:eastAsia="en-GB"/>
        </w:rPr>
        <w:t>e fare ricerche sulle loro destinazioni</w:t>
      </w:r>
      <w:r w:rsidR="00B0155A" w:rsidRPr="004E4FCB">
        <w:rPr>
          <w:rFonts w:ascii="Segoe UI" w:eastAsia="Times New Roman" w:hAnsi="Segoe UI" w:cs="Segoe UI"/>
          <w:lang w:eastAsia="en-GB"/>
        </w:rPr>
        <w:t xml:space="preserve">: </w:t>
      </w:r>
      <w:r w:rsidR="00E628E4" w:rsidRPr="004E4FCB">
        <w:rPr>
          <w:rFonts w:ascii="Segoe UI" w:eastAsia="Times New Roman" w:hAnsi="Segoe UI" w:cs="Segoe UI"/>
          <w:lang w:eastAsia="en-GB"/>
        </w:rPr>
        <w:t xml:space="preserve">le ricerche online sono aumentate da quota </w:t>
      </w:r>
      <w:r w:rsidR="00E628E4" w:rsidRPr="004E4FCB">
        <w:rPr>
          <w:rFonts w:ascii="Segoe UI" w:eastAsia="Times New Roman" w:hAnsi="Segoe UI" w:cs="Segoe UI"/>
          <w:color w:val="000000"/>
          <w:lang w:eastAsia="en-GB"/>
        </w:rPr>
        <w:t xml:space="preserve">78% del 2015 a quota 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83% </w:t>
      </w:r>
      <w:r w:rsidR="00E628E4" w:rsidRPr="004E4FCB">
        <w:rPr>
          <w:rFonts w:ascii="Segoe UI" w:eastAsia="Times New Roman" w:hAnsi="Segoe UI" w:cs="Segoe UI"/>
          <w:color w:val="000000"/>
          <w:lang w:eastAsia="en-GB"/>
        </w:rPr>
        <w:t>d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>el 2017</w:t>
      </w:r>
      <w:r w:rsidR="00E628E4" w:rsidRPr="004E4FCB">
        <w:rPr>
          <w:rFonts w:ascii="Segoe UI" w:eastAsia="Times New Roman" w:hAnsi="Segoe UI" w:cs="Segoe UI"/>
          <w:color w:val="000000"/>
          <w:lang w:eastAsia="en-GB"/>
        </w:rPr>
        <w:t>, mentre quelle offline sono crollate da quota 82% a quota 47%</w:t>
      </w:r>
      <w:r w:rsidR="00554CB9" w:rsidRPr="004E4FCB">
        <w:rPr>
          <w:rFonts w:ascii="Segoe UI" w:eastAsia="Times New Roman" w:hAnsi="Segoe UI" w:cs="Segoe UI"/>
          <w:lang w:eastAsia="en-GB"/>
        </w:rPr>
        <w:t xml:space="preserve">. </w:t>
      </w:r>
      <w:r w:rsidR="00554CB9" w:rsidRPr="004E4FCB">
        <w:rPr>
          <w:rFonts w:ascii="Segoe UI" w:eastAsia="Times New Roman" w:hAnsi="Segoe UI" w:cs="Segoe UI"/>
          <w:color w:val="000000"/>
          <w:lang w:eastAsia="en-GB"/>
        </w:rPr>
        <w:t xml:space="preserve">I device 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>utilizzat</w:t>
      </w:r>
      <w:r w:rsidR="00554CB9" w:rsidRPr="004E4FCB">
        <w:rPr>
          <w:rFonts w:ascii="Segoe UI" w:eastAsia="Times New Roman" w:hAnsi="Segoe UI" w:cs="Segoe UI"/>
          <w:color w:val="000000"/>
          <w:lang w:eastAsia="en-GB"/>
        </w:rPr>
        <w:t>i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 in fase di pianificazione sono </w:t>
      </w:r>
      <w:r w:rsidR="00554CB9" w:rsidRPr="004E4FCB">
        <w:rPr>
          <w:rFonts w:ascii="Segoe UI" w:eastAsia="Times New Roman" w:hAnsi="Segoe UI" w:cs="Segoe UI"/>
          <w:color w:val="000000"/>
          <w:lang w:eastAsia="en-GB"/>
        </w:rPr>
        <w:t xml:space="preserve">i computer (80%), i 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>dispositivi mobil</w:t>
      </w:r>
      <w:r w:rsidR="00D471A1" w:rsidRPr="004E4FCB">
        <w:rPr>
          <w:rFonts w:ascii="Segoe UI" w:eastAsia="Times New Roman" w:hAnsi="Segoe UI" w:cs="Segoe UI"/>
          <w:color w:val="000000"/>
          <w:lang w:eastAsia="en-GB"/>
        </w:rPr>
        <w:t>i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 (41%)</w:t>
      </w:r>
      <w:r w:rsidR="00554CB9" w:rsidRPr="004E4FCB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="00554CB9" w:rsidRPr="004E4FCB">
        <w:rPr>
          <w:rFonts w:ascii="Segoe UI" w:eastAsia="Times New Roman" w:hAnsi="Segoe UI" w:cs="Segoe UI"/>
          <w:color w:val="000000"/>
          <w:lang w:eastAsia="en-GB"/>
        </w:rPr>
        <w:lastRenderedPageBreak/>
        <w:t>e i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 tablet (25%). Si prenota principalmente tramite piattaforme online</w:t>
      </w:r>
      <w:r w:rsidR="004070CC" w:rsidRPr="004E4FCB">
        <w:rPr>
          <w:rFonts w:ascii="Segoe UI" w:eastAsia="Times New Roman" w:hAnsi="Segoe UI" w:cs="Segoe UI"/>
          <w:color w:val="000000"/>
          <w:lang w:eastAsia="en-GB"/>
        </w:rPr>
        <w:t xml:space="preserve">, in particolare prevale 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>Booking.com</w:t>
      </w:r>
      <w:r w:rsidR="004070CC" w:rsidRPr="004E4FCB">
        <w:rPr>
          <w:rFonts w:ascii="Segoe UI" w:eastAsia="Times New Roman" w:hAnsi="Segoe UI" w:cs="Segoe UI"/>
          <w:color w:val="000000"/>
          <w:lang w:eastAsia="en-GB"/>
        </w:rPr>
        <w:t xml:space="preserve"> in Europa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 (21%) e TripAdvisor a livello globale (18%).</w:t>
      </w:r>
      <w:r w:rsidR="004070CC" w:rsidRPr="004E4FCB">
        <w:rPr>
          <w:rFonts w:ascii="Segoe UI" w:eastAsia="Times New Roman" w:hAnsi="Segoe UI" w:cs="Segoe UI"/>
          <w:i/>
          <w:lang w:eastAsia="en-GB"/>
        </w:rPr>
        <w:t xml:space="preserve"> </w:t>
      </w:r>
    </w:p>
    <w:p w14:paraId="3D5C2998" w14:textId="77777777" w:rsidR="004070CC" w:rsidRPr="004E4FCB" w:rsidRDefault="004070CC" w:rsidP="00554CB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</w:p>
    <w:p w14:paraId="4E347586" w14:textId="4A5CD8AC" w:rsidR="00B0155A" w:rsidRDefault="004070CC" w:rsidP="00943F72">
      <w:pPr>
        <w:spacing w:after="0" w:line="240" w:lineRule="auto"/>
        <w:jc w:val="both"/>
        <w:rPr>
          <w:rFonts w:ascii="Segoe UI" w:eastAsia="Times New Roman" w:hAnsi="Segoe UI" w:cs="Segoe UI"/>
          <w:lang w:eastAsia="en-GB"/>
        </w:rPr>
      </w:pP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I viaggiatori </w:t>
      </w:r>
      <w:r w:rsidR="00B0155A" w:rsidRPr="004E4FCB">
        <w:rPr>
          <w:rFonts w:ascii="Segoe UI" w:eastAsia="Times New Roman" w:hAnsi="Segoe UI" w:cs="Segoe UI"/>
          <w:color w:val="000000"/>
          <w:lang w:eastAsia="en-GB"/>
        </w:rPr>
        <w:t>ama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no </w:t>
      </w:r>
      <w:r w:rsidR="00943F72" w:rsidRPr="004E4FCB">
        <w:rPr>
          <w:rFonts w:ascii="Segoe UI" w:eastAsia="Times New Roman" w:hAnsi="Segoe UI" w:cs="Segoe UI"/>
          <w:lang w:eastAsia="en-GB"/>
        </w:rPr>
        <w:t xml:space="preserve">essere connessi durante il viaggio (81% del 2015 vs l’84% del 2017) così come amano </w:t>
      </w:r>
      <w:r w:rsidR="00943F72" w:rsidRPr="004E4FCB">
        <w:rPr>
          <w:rFonts w:ascii="Segoe UI" w:eastAsia="Times New Roman" w:hAnsi="Segoe UI" w:cs="Segoe UI"/>
          <w:color w:val="000000"/>
          <w:lang w:eastAsia="en-GB"/>
        </w:rPr>
        <w:t>rimane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re connessi 24h su 24, 7 giorni su 7, </w:t>
      </w:r>
      <w:r w:rsidR="00B0155A" w:rsidRPr="004E4FCB">
        <w:rPr>
          <w:rFonts w:ascii="Segoe UI" w:eastAsia="Times New Roman" w:hAnsi="Segoe UI" w:cs="Segoe UI"/>
          <w:color w:val="000000"/>
          <w:lang w:eastAsia="en-GB"/>
        </w:rPr>
        <w:t>una volta giunti a destinazione</w:t>
      </w:r>
      <w:r w:rsidR="00943F72" w:rsidRPr="004E4FCB">
        <w:rPr>
          <w:rFonts w:ascii="Segoe UI" w:eastAsia="Times New Roman" w:hAnsi="Segoe UI" w:cs="Segoe UI"/>
          <w:color w:val="000000"/>
          <w:lang w:eastAsia="en-GB"/>
        </w:rPr>
        <w:t>: l</w:t>
      </w:r>
      <w:r w:rsidR="00650199" w:rsidRPr="004E4FCB">
        <w:rPr>
          <w:rFonts w:ascii="Segoe UI" w:eastAsia="Times New Roman" w:hAnsi="Segoe UI" w:cs="Segoe UI"/>
          <w:color w:val="000000"/>
          <w:lang w:eastAsia="en-GB"/>
        </w:rPr>
        <w:t xml:space="preserve">’88% </w:t>
      </w:r>
      <w:r w:rsidR="00943F72" w:rsidRPr="004E4FCB">
        <w:rPr>
          <w:rFonts w:ascii="Segoe UI" w:eastAsia="Times New Roman" w:hAnsi="Segoe UI" w:cs="Segoe UI"/>
          <w:color w:val="000000"/>
          <w:lang w:eastAsia="en-GB"/>
        </w:rPr>
        <w:t>si collega</w:t>
      </w:r>
      <w:r w:rsidR="00B0155A" w:rsidRPr="004E4FCB">
        <w:rPr>
          <w:rFonts w:ascii="Segoe UI" w:eastAsia="Times New Roman" w:hAnsi="Segoe UI" w:cs="Segoe UI"/>
          <w:color w:val="000000"/>
          <w:lang w:eastAsia="en-GB"/>
        </w:rPr>
        <w:t xml:space="preserve"> tramite mobile roaming (29%), comprando una sim card locale (30%), tramite un pocket wifi (19%) o tramite free wi-fi in hotel (39%)</w:t>
      </w:r>
      <w:r w:rsidR="00943F72" w:rsidRPr="004E4FCB">
        <w:rPr>
          <w:rFonts w:ascii="Segoe UI" w:eastAsia="Times New Roman" w:hAnsi="Segoe UI" w:cs="Segoe UI"/>
          <w:color w:val="000000"/>
          <w:lang w:eastAsia="en-GB"/>
        </w:rPr>
        <w:t>.</w:t>
      </w:r>
      <w:r w:rsidR="00943F72" w:rsidRPr="004E4FCB">
        <w:rPr>
          <w:rFonts w:ascii="Segoe UI" w:eastAsia="Times New Roman" w:hAnsi="Segoe UI" w:cs="Segoe UI"/>
          <w:lang w:eastAsia="en-GB"/>
        </w:rPr>
        <w:t xml:space="preserve"> </w:t>
      </w:r>
    </w:p>
    <w:p w14:paraId="66F118EC" w14:textId="77777777" w:rsidR="00F9353C" w:rsidRPr="004E4FCB" w:rsidRDefault="00F9353C" w:rsidP="00943F7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</w:p>
    <w:p w14:paraId="3D8F4933" w14:textId="40701636" w:rsidR="004D5EED" w:rsidRPr="004E4FCB" w:rsidRDefault="004D5EED" w:rsidP="00943F72">
      <w:pPr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lang w:eastAsia="en-GB"/>
        </w:rPr>
      </w:pPr>
      <w:r w:rsidRPr="004E4FCB">
        <w:rPr>
          <w:rFonts w:ascii="Segoe UI" w:eastAsia="Times New Roman" w:hAnsi="Segoe UI" w:cs="Segoe UI"/>
          <w:b/>
          <w:color w:val="000000"/>
          <w:lang w:eastAsia="en-GB"/>
        </w:rPr>
        <w:t>I contanti perdono terreno</w:t>
      </w:r>
    </w:p>
    <w:p w14:paraId="2B814BA2" w14:textId="4A55F8CA" w:rsidR="00BC4BE6" w:rsidRPr="004E4FCB" w:rsidRDefault="00BC4BE6" w:rsidP="00943F7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Le carte sono il metodo di pagamento preferito sia per i viaggiatori europei che per quelli globali, con percentuali rispettivamente dell'65% e del 75%, quando bisogna effettuare pagamenti prima del viaggio (prenotazione voli, alloggio, viaggi programmati). Il 10% in Europa paga tramite bonifici, mentre il 7% sceglie di usare PayPal. </w:t>
      </w:r>
    </w:p>
    <w:p w14:paraId="0B24880A" w14:textId="77777777" w:rsidR="00BC4BE6" w:rsidRPr="004E4FCB" w:rsidRDefault="00BC4BE6" w:rsidP="00943F7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</w:p>
    <w:p w14:paraId="62FA330C" w14:textId="1C232BF6" w:rsidR="00F75D37" w:rsidRPr="004E4FCB" w:rsidRDefault="004D5EED" w:rsidP="00F75D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In media, i viaggiatori 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 xml:space="preserve">europei 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portano con sé </w:t>
      </w:r>
      <w:r w:rsidR="00E7603D" w:rsidRPr="004E4FCB">
        <w:rPr>
          <w:rFonts w:ascii="Segoe UI" w:eastAsia="Times New Roman" w:hAnsi="Segoe UI" w:cs="Segoe UI"/>
          <w:color w:val="000000"/>
          <w:lang w:eastAsia="en-GB"/>
        </w:rPr>
        <w:t xml:space="preserve">476 €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in contanti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 xml:space="preserve"> vs </w:t>
      </w:r>
      <w:r w:rsidR="00E7603D" w:rsidRPr="004E4FCB">
        <w:rPr>
          <w:rFonts w:ascii="Segoe UI" w:eastAsia="Times New Roman" w:hAnsi="Segoe UI" w:cs="Segoe UI"/>
          <w:color w:val="000000"/>
          <w:lang w:eastAsia="en-GB"/>
        </w:rPr>
        <w:t>811 €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 xml:space="preserve"> a livello globale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, e prelevano in media </w:t>
      </w:r>
      <w:r w:rsidR="00175FD8" w:rsidRPr="004E4FCB">
        <w:rPr>
          <w:rFonts w:ascii="Segoe UI" w:eastAsia="Times New Roman" w:hAnsi="Segoe UI" w:cs="Segoe UI"/>
          <w:color w:val="000000"/>
          <w:lang w:eastAsia="en-GB"/>
        </w:rPr>
        <w:t xml:space="preserve">280 € 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 xml:space="preserve">in Europa contro i </w:t>
      </w:r>
      <w:r w:rsidR="00175FD8" w:rsidRPr="004E4FCB">
        <w:rPr>
          <w:rFonts w:ascii="Segoe UI" w:eastAsia="Times New Roman" w:hAnsi="Segoe UI" w:cs="Segoe UI"/>
          <w:color w:val="000000"/>
          <w:lang w:eastAsia="en-GB"/>
        </w:rPr>
        <w:t xml:space="preserve">476 € 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>a livello globale</w:t>
      </w:r>
      <w:r w:rsidR="00F9353C">
        <w:rPr>
          <w:rFonts w:ascii="Segoe UI" w:eastAsia="Times New Roman" w:hAnsi="Segoe UI" w:cs="Segoe UI"/>
          <w:color w:val="000000"/>
          <w:lang w:eastAsia="en-GB"/>
        </w:rPr>
        <w:t xml:space="preserve">, </w:t>
      </w:r>
      <w:r w:rsidR="00B742F5" w:rsidRPr="004E4FCB">
        <w:rPr>
          <w:rFonts w:ascii="Segoe UI" w:eastAsia="Times New Roman" w:hAnsi="Segoe UI" w:cs="Segoe UI"/>
          <w:color w:val="000000"/>
          <w:lang w:eastAsia="en-GB"/>
        </w:rPr>
        <w:t>anche se ritirare o trasportare con sé denaro contante è fonte di ansia e stress</w:t>
      </w:r>
      <w:r w:rsidR="00B742F5" w:rsidRPr="004E4FCB">
        <w:rPr>
          <w:rFonts w:ascii="Segoe UI" w:eastAsia="Times New Roman" w:hAnsi="Segoe UI" w:cs="Segoe UI"/>
          <w:lang w:eastAsia="en-GB"/>
        </w:rPr>
        <w:t xml:space="preserve">. 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 xml:space="preserve">Visa </w:t>
      </w:r>
      <w:r w:rsidR="00B742F5" w:rsidRPr="004E4FCB">
        <w:rPr>
          <w:rFonts w:ascii="Segoe UI" w:eastAsia="Times New Roman" w:hAnsi="Segoe UI" w:cs="Segoe UI"/>
          <w:color w:val="000000"/>
          <w:lang w:eastAsia="en-GB"/>
        </w:rPr>
        <w:t>si conferma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 xml:space="preserve"> la carta preferita per i pagamenti </w:t>
      </w:r>
      <w:r w:rsidR="00B742F5" w:rsidRPr="004E4FCB">
        <w:rPr>
          <w:rFonts w:ascii="Segoe UI" w:eastAsia="Times New Roman" w:hAnsi="Segoe UI" w:cs="Segoe UI"/>
          <w:color w:val="000000"/>
          <w:lang w:eastAsia="en-GB"/>
        </w:rPr>
        <w:t xml:space="preserve">all’estero 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 xml:space="preserve">sia a livello europeo (45%) che globale </w:t>
      </w:r>
      <w:r w:rsidR="00B742F5" w:rsidRPr="004E4FCB">
        <w:rPr>
          <w:rFonts w:ascii="Segoe UI" w:eastAsia="Times New Roman" w:hAnsi="Segoe UI" w:cs="Segoe UI"/>
          <w:color w:val="000000"/>
          <w:lang w:eastAsia="en-GB"/>
        </w:rPr>
        <w:t>(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>47%</w:t>
      </w:r>
      <w:r w:rsidR="00B742F5" w:rsidRPr="004E4FCB">
        <w:rPr>
          <w:rFonts w:ascii="Segoe UI" w:eastAsia="Times New Roman" w:hAnsi="Segoe UI" w:cs="Segoe UI"/>
          <w:color w:val="000000"/>
          <w:lang w:eastAsia="en-GB"/>
        </w:rPr>
        <w:t>)</w:t>
      </w:r>
      <w:r w:rsidR="00A842AD" w:rsidRPr="004E4FCB">
        <w:rPr>
          <w:rFonts w:ascii="Segoe UI" w:eastAsia="Times New Roman" w:hAnsi="Segoe UI" w:cs="Segoe UI"/>
          <w:color w:val="000000"/>
          <w:lang w:eastAsia="en-GB"/>
        </w:rPr>
        <w:t>.</w:t>
      </w:r>
      <w:r w:rsidR="00F9353C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="00F75D37" w:rsidRPr="004E4FCB">
        <w:rPr>
          <w:rFonts w:ascii="Segoe UI" w:eastAsia="Times New Roman" w:hAnsi="Segoe UI" w:cs="Segoe UI"/>
          <w:color w:val="000000"/>
          <w:lang w:eastAsia="en-GB"/>
        </w:rPr>
        <w:t xml:space="preserve">Tra i metodi di pagamento emergenti, i più </w:t>
      </w:r>
      <w:r w:rsidR="00F75D37" w:rsidRPr="002A4AEF">
        <w:rPr>
          <w:rFonts w:ascii="Segoe UI" w:eastAsia="Times New Roman" w:hAnsi="Segoe UI" w:cs="Segoe UI"/>
          <w:color w:val="000000"/>
          <w:lang w:eastAsia="en-GB"/>
        </w:rPr>
        <w:t>conosciuti</w:t>
      </w:r>
      <w:r w:rsidR="00F75D37" w:rsidRPr="004E4FCB">
        <w:rPr>
          <w:rFonts w:ascii="Segoe UI" w:eastAsia="Times New Roman" w:hAnsi="Segoe UI" w:cs="Segoe UI"/>
          <w:color w:val="000000"/>
          <w:lang w:eastAsia="en-GB"/>
        </w:rPr>
        <w:t xml:space="preserve"> in Europa sono Paypal (74%) ed Apple Pay (29%). </w:t>
      </w:r>
    </w:p>
    <w:p w14:paraId="576220C7" w14:textId="60E6A4DB" w:rsidR="00B742F5" w:rsidRPr="004E4FCB" w:rsidRDefault="00B742F5" w:rsidP="00B742F5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</w:p>
    <w:p w14:paraId="7BF15C11" w14:textId="1750AB73" w:rsidR="00B742F5" w:rsidRPr="004E4FCB" w:rsidRDefault="00B742F5" w:rsidP="00B742F5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“Praticità di utilizzo, velocità nei pagamenti elettronici e ampia accettazione a livello globale fanno della carta Visa il metodo di pagamento ideale per il viaggiatore del XXI secolo – racconta </w:t>
      </w:r>
      <w:bookmarkStart w:id="1" w:name="_Hlk508609579"/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Davide </w:t>
      </w:r>
      <w:proofErr w:type="spellStart"/>
      <w:r w:rsidRPr="004E4FCB">
        <w:rPr>
          <w:rFonts w:ascii="Segoe UI" w:eastAsia="Times New Roman" w:hAnsi="Segoe UI" w:cs="Segoe UI"/>
          <w:color w:val="000000"/>
          <w:lang w:eastAsia="en-GB"/>
        </w:rPr>
        <w:t>Steffanini</w:t>
      </w:r>
      <w:proofErr w:type="spellEnd"/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, general manager </w:t>
      </w:r>
      <w:r w:rsidR="000746B1" w:rsidRPr="000746B1">
        <w:rPr>
          <w:rFonts w:ascii="Segoe UI" w:eastAsia="Times New Roman" w:hAnsi="Segoe UI" w:cs="Segoe UI"/>
          <w:color w:val="000000"/>
          <w:lang w:eastAsia="en-GB"/>
        </w:rPr>
        <w:t>Italia</w:t>
      </w:r>
      <w:r w:rsidR="000746B1" w:rsidRPr="004E4FCB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="000746B1">
        <w:rPr>
          <w:rFonts w:ascii="Segoe UI" w:eastAsia="Times New Roman" w:hAnsi="Segoe UI" w:cs="Segoe UI"/>
          <w:color w:val="000000"/>
          <w:lang w:eastAsia="en-GB"/>
        </w:rPr>
        <w:t xml:space="preserve">di 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Visa </w:t>
      </w:r>
      <w:bookmarkEnd w:id="1"/>
      <w:r w:rsidRPr="004E4FCB">
        <w:rPr>
          <w:rFonts w:ascii="Segoe UI" w:eastAsia="Times New Roman" w:hAnsi="Segoe UI" w:cs="Segoe UI"/>
          <w:color w:val="000000"/>
          <w:lang w:eastAsia="en-GB"/>
        </w:rPr>
        <w:t>- Non solo più sicuro, ma anche più conveniente: le transazioni di acquisto con carte Visa sono sempre convertite ai tassi di cambio ufficiali e consentono di evitare il pagamento di commissioni sul cambio di valuta contante nei Paesi fuori dall’area euro.”</w:t>
      </w:r>
    </w:p>
    <w:p w14:paraId="36AF7EB6" w14:textId="77777777" w:rsidR="00A842AD" w:rsidRPr="004E4FCB" w:rsidRDefault="00A842AD" w:rsidP="00943F7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</w:p>
    <w:p w14:paraId="62E20A5B" w14:textId="77777777" w:rsidR="00430616" w:rsidRPr="004E4FCB" w:rsidRDefault="006813D3" w:rsidP="00943F72">
      <w:pPr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lang w:eastAsia="en-GB"/>
        </w:rPr>
      </w:pPr>
      <w:r w:rsidRPr="004E4FCB">
        <w:rPr>
          <w:rFonts w:ascii="Segoe UI" w:eastAsia="Times New Roman" w:hAnsi="Segoe UI" w:cs="Segoe UI"/>
          <w:b/>
          <w:color w:val="000000"/>
          <w:lang w:eastAsia="en-GB"/>
        </w:rPr>
        <w:t xml:space="preserve">Decollano </w:t>
      </w:r>
      <w:r w:rsidR="00CB6551" w:rsidRPr="004E4FCB">
        <w:rPr>
          <w:rFonts w:ascii="Segoe UI" w:eastAsia="Times New Roman" w:hAnsi="Segoe UI" w:cs="Segoe UI"/>
          <w:b/>
          <w:color w:val="000000"/>
          <w:lang w:eastAsia="en-GB"/>
        </w:rPr>
        <w:t>pagamenti mobile</w:t>
      </w:r>
      <w:r w:rsidR="00AD5D5F" w:rsidRPr="004E4FCB">
        <w:rPr>
          <w:rFonts w:ascii="Segoe UI" w:eastAsia="Times New Roman" w:hAnsi="Segoe UI" w:cs="Segoe UI"/>
          <w:b/>
          <w:color w:val="000000"/>
          <w:lang w:eastAsia="en-GB"/>
        </w:rPr>
        <w:t xml:space="preserve"> </w:t>
      </w:r>
      <w:r w:rsidR="00CB6551" w:rsidRPr="004E4FCB">
        <w:rPr>
          <w:rFonts w:ascii="Segoe UI" w:eastAsia="Times New Roman" w:hAnsi="Segoe UI" w:cs="Segoe UI"/>
          <w:b/>
          <w:color w:val="000000"/>
          <w:lang w:eastAsia="en-GB"/>
        </w:rPr>
        <w:t>e</w:t>
      </w:r>
      <w:r w:rsidR="00AD5D5F" w:rsidRPr="004E4FCB">
        <w:rPr>
          <w:rFonts w:ascii="Segoe UI" w:eastAsia="Times New Roman" w:hAnsi="Segoe UI" w:cs="Segoe UI"/>
          <w:b/>
          <w:color w:val="000000"/>
          <w:lang w:eastAsia="en-GB"/>
        </w:rPr>
        <w:t xml:space="preserve"> contactless </w:t>
      </w:r>
    </w:p>
    <w:p w14:paraId="506D37B5" w14:textId="22D71629" w:rsidR="00C31DB8" w:rsidRPr="004E4FCB" w:rsidRDefault="00C31DB8" w:rsidP="00943F7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Anche i pagamenti via </w:t>
      </w:r>
      <w:r w:rsidR="00430616" w:rsidRPr="004E4FCB">
        <w:rPr>
          <w:rFonts w:ascii="Segoe UI" w:eastAsia="Times New Roman" w:hAnsi="Segoe UI" w:cs="Segoe UI"/>
          <w:color w:val="000000"/>
          <w:lang w:eastAsia="en-GB"/>
        </w:rPr>
        <w:t xml:space="preserve">dispositivi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mobil</w:t>
      </w:r>
      <w:r w:rsidR="00430616" w:rsidRPr="004E4FCB">
        <w:rPr>
          <w:rFonts w:ascii="Segoe UI" w:eastAsia="Times New Roman" w:hAnsi="Segoe UI" w:cs="Segoe UI"/>
          <w:color w:val="000000"/>
          <w:lang w:eastAsia="en-GB"/>
        </w:rPr>
        <w:t>i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 sono in aumento, soprattutto in Europa, dove sono saliti alle stelle. Secondo lo studio Visa Digital </w:t>
      </w:r>
      <w:proofErr w:type="spellStart"/>
      <w:r w:rsidRPr="004E4FCB">
        <w:rPr>
          <w:rFonts w:ascii="Segoe UI" w:eastAsia="Times New Roman" w:hAnsi="Segoe UI" w:cs="Segoe UI"/>
          <w:color w:val="000000"/>
          <w:lang w:eastAsia="en-GB"/>
        </w:rPr>
        <w:t>Payment</w:t>
      </w:r>
      <w:proofErr w:type="spellEnd"/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proofErr w:type="spellStart"/>
      <w:r w:rsidRPr="004E4FCB">
        <w:rPr>
          <w:rFonts w:ascii="Segoe UI" w:eastAsia="Times New Roman" w:hAnsi="Segoe UI" w:cs="Segoe UI"/>
          <w:color w:val="000000"/>
          <w:lang w:eastAsia="en-GB"/>
        </w:rPr>
        <w:t>Stud</w:t>
      </w:r>
      <w:r w:rsidR="002A4AEF">
        <w:rPr>
          <w:rFonts w:ascii="Segoe UI" w:eastAsia="Times New Roman" w:hAnsi="Segoe UI" w:cs="Segoe UI"/>
          <w:color w:val="000000"/>
          <w:lang w:eastAsia="en-GB"/>
        </w:rPr>
        <w:t>y</w:t>
      </w:r>
      <w:proofErr w:type="spellEnd"/>
      <w:r w:rsidR="002A4AEF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condotto dalla</w:t>
      </w:r>
      <w:r w:rsidR="00430616" w:rsidRPr="004E4FCB">
        <w:rPr>
          <w:rFonts w:ascii="Segoe UI" w:eastAsia="Times New Roman" w:hAnsi="Segoe UI" w:cs="Segoe UI"/>
          <w:color w:val="000000"/>
          <w:lang w:eastAsia="en-GB"/>
        </w:rPr>
        <w:t xml:space="preserve"> società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nel 2016, il numero di consumatori che utilizzano regolarmente un dispositivo mobile per effettuare pagamenti è triplicato rispetto a</w:t>
      </w:r>
      <w:r w:rsidR="00430616" w:rsidRPr="004E4FCB">
        <w:rPr>
          <w:rFonts w:ascii="Segoe UI" w:eastAsia="Times New Roman" w:hAnsi="Segoe UI" w:cs="Segoe UI"/>
          <w:color w:val="000000"/>
          <w:lang w:eastAsia="en-GB"/>
        </w:rPr>
        <w:t xml:space="preserve">ll’anno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precedente. E questa tendenza continua.</w:t>
      </w:r>
    </w:p>
    <w:p w14:paraId="7A1E58A7" w14:textId="77777777" w:rsidR="00F75D37" w:rsidRPr="004E4FCB" w:rsidRDefault="00F75D37" w:rsidP="00943F7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</w:p>
    <w:p w14:paraId="75D3868F" w14:textId="20274233" w:rsidR="005C1CBE" w:rsidRPr="004E4FCB" w:rsidRDefault="005C1CBE" w:rsidP="00943F72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n-GB"/>
        </w:rPr>
      </w:pP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Un fatto che dimostra che il denaro mobile, vale a dire l'uso di telefoni cellulari, tablet o wearable per effettuare pagamenti sia nei negozi fisici che per gli acquisti online o tramite applicazioni mobili, prevarrà sull'uso di denaro in un futuro non troppo lontano è la </w:t>
      </w:r>
      <w:r w:rsidR="0061458A" w:rsidRPr="004E4FCB">
        <w:rPr>
          <w:rFonts w:ascii="Segoe UI" w:eastAsia="Times New Roman" w:hAnsi="Segoe UI" w:cs="Segoe UI"/>
          <w:color w:val="000000"/>
          <w:lang w:eastAsia="en-GB"/>
        </w:rPr>
        <w:t>fiducia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 delle generazioni</w:t>
      </w:r>
      <w:r w:rsidR="0061458A" w:rsidRPr="004E4FCB">
        <w:rPr>
          <w:rFonts w:ascii="Segoe UI" w:eastAsia="Times New Roman" w:hAnsi="Segoe UI" w:cs="Segoe UI"/>
          <w:color w:val="000000"/>
          <w:lang w:eastAsia="en-GB"/>
        </w:rPr>
        <w:t xml:space="preserve"> più giovani</w:t>
      </w:r>
      <w:r w:rsidRPr="004E4FCB">
        <w:rPr>
          <w:rFonts w:ascii="Segoe UI" w:eastAsia="Times New Roman" w:hAnsi="Segoe UI" w:cs="Segoe UI"/>
          <w:color w:val="000000"/>
          <w:lang w:eastAsia="en-GB"/>
        </w:rPr>
        <w:t>, che lo hanno perfettamente integrato nella loro vita quotidiana. Secondo i dati di Visa</w:t>
      </w:r>
      <w:r w:rsidR="00F57389" w:rsidRPr="004E4FCB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(</w:t>
      </w:r>
      <w:r w:rsidR="00F75D37" w:rsidRPr="004E4FCB">
        <w:rPr>
          <w:rFonts w:ascii="Segoe UI" w:eastAsia="Times New Roman" w:hAnsi="Segoe UI" w:cs="Segoe UI"/>
          <w:color w:val="000000"/>
          <w:lang w:eastAsia="en-GB"/>
        </w:rPr>
        <w:t>*</w:t>
      </w:r>
      <w:r w:rsidRPr="004E4FCB">
        <w:rPr>
          <w:rFonts w:ascii="Segoe UI" w:eastAsia="Times New Roman" w:hAnsi="Segoe UI" w:cs="Segoe UI"/>
          <w:color w:val="000000"/>
          <w:lang w:eastAsia="en-GB"/>
        </w:rPr>
        <w:t>) l'86% dei millennial</w:t>
      </w:r>
      <w:r w:rsidR="0061458A" w:rsidRPr="004E4FCB">
        <w:rPr>
          <w:rFonts w:ascii="Segoe UI" w:eastAsia="Times New Roman" w:hAnsi="Segoe UI" w:cs="Segoe UI"/>
          <w:color w:val="000000"/>
          <w:lang w:eastAsia="en-GB"/>
        </w:rPr>
        <w:t xml:space="preserve">s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(</w:t>
      </w:r>
      <w:r w:rsidR="0061458A" w:rsidRPr="004E4FCB">
        <w:rPr>
          <w:rFonts w:ascii="Segoe UI" w:eastAsia="Times New Roman" w:hAnsi="Segoe UI" w:cs="Segoe UI"/>
          <w:color w:val="000000"/>
          <w:lang w:eastAsia="en-GB"/>
        </w:rPr>
        <w:t xml:space="preserve">di </w:t>
      </w:r>
      <w:r w:rsidR="00AA2B17" w:rsidRPr="004E4FCB">
        <w:rPr>
          <w:rFonts w:ascii="Segoe UI" w:eastAsia="Times New Roman" w:hAnsi="Segoe UI" w:cs="Segoe UI"/>
          <w:color w:val="000000"/>
          <w:lang w:eastAsia="en-GB"/>
        </w:rPr>
        <w:t>e</w:t>
      </w:r>
      <w:r w:rsidR="0061458A" w:rsidRPr="004E4FCB">
        <w:rPr>
          <w:rFonts w:ascii="Segoe UI" w:eastAsia="Times New Roman" w:hAnsi="Segoe UI" w:cs="Segoe UI"/>
          <w:color w:val="000000"/>
          <w:lang w:eastAsia="en-GB"/>
        </w:rPr>
        <w:t>tà compresa</w:t>
      </w:r>
      <w:r w:rsidRPr="004E4FCB">
        <w:rPr>
          <w:rFonts w:ascii="Segoe UI" w:eastAsia="Times New Roman" w:hAnsi="Segoe UI" w:cs="Segoe UI"/>
          <w:color w:val="000000"/>
          <w:lang w:eastAsia="en-GB"/>
        </w:rPr>
        <w:t xml:space="preserve"> tra 18 e 34 anni) in Europa sono utenti di denaro mobile. Il 92% </w:t>
      </w:r>
      <w:r w:rsidR="0061458A" w:rsidRPr="004E4FCB">
        <w:rPr>
          <w:rFonts w:ascii="Segoe UI" w:eastAsia="Times New Roman" w:hAnsi="Segoe UI" w:cs="Segoe UI"/>
          <w:color w:val="000000"/>
          <w:lang w:eastAsia="en-GB"/>
        </w:rPr>
        <w:t xml:space="preserve">dei partecipanti all’indagine </w:t>
      </w:r>
      <w:r w:rsidRPr="004E4FCB">
        <w:rPr>
          <w:rFonts w:ascii="Segoe UI" w:eastAsia="Times New Roman" w:hAnsi="Segoe UI" w:cs="Segoe UI"/>
          <w:color w:val="000000"/>
          <w:lang w:eastAsia="en-GB"/>
        </w:rPr>
        <w:t>conferma che prevede di eseguire quasi tutti i pagamenti tramite dispositivi mobili entro il 2020.</w:t>
      </w:r>
    </w:p>
    <w:p w14:paraId="0343405E" w14:textId="77777777" w:rsidR="00AD5D5F" w:rsidRPr="004E4FCB" w:rsidRDefault="00AD5D5F" w:rsidP="00CB6551">
      <w:pPr>
        <w:spacing w:after="240" w:line="330" w:lineRule="atLeast"/>
        <w:jc w:val="center"/>
        <w:rPr>
          <w:rFonts w:ascii="Segoe UI" w:eastAsia="Times New Roman" w:hAnsi="Segoe UI" w:cs="Segoe UI"/>
          <w:lang w:eastAsia="en-GB"/>
        </w:rPr>
      </w:pPr>
      <w:r w:rsidRPr="004E4FCB">
        <w:rPr>
          <w:rFonts w:ascii="Segoe UI" w:eastAsia="Times New Roman" w:hAnsi="Segoe UI" w:cs="Segoe UI"/>
          <w:lang w:eastAsia="en-GB"/>
        </w:rPr>
        <w:t># # #</w:t>
      </w:r>
    </w:p>
    <w:p w14:paraId="61B50877" w14:textId="787B1A2B" w:rsidR="00AD5D5F" w:rsidRPr="004E4FCB" w:rsidRDefault="0088547E" w:rsidP="00AD5D5F">
      <w:pPr>
        <w:spacing w:line="238" w:lineRule="atLeast"/>
        <w:jc w:val="both"/>
        <w:rPr>
          <w:rFonts w:ascii="Segoe UI" w:eastAsia="Times New Roman" w:hAnsi="Segoe UI" w:cs="Segoe UI"/>
          <w:color w:val="000000"/>
          <w:lang w:eastAsia="en-GB"/>
        </w:rPr>
      </w:pPr>
      <w:r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 xml:space="preserve"> </w:t>
      </w:r>
      <w:r w:rsidR="00AD5D5F"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>(</w:t>
      </w:r>
      <w:r w:rsidR="00F75D37"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>*</w:t>
      </w:r>
      <w:r w:rsidR="00AD5D5F"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>):</w:t>
      </w:r>
      <w:r w:rsidR="00AD5D5F" w:rsidRPr="004E4FCB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="00AD5D5F"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>Digital Payments</w:t>
      </w:r>
      <w:r w:rsidR="00AD5D5F" w:rsidRPr="004E4FCB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="0061458A" w:rsidRPr="004E4FCB">
        <w:rPr>
          <w:rFonts w:ascii="Segoe UI" w:eastAsia="Times New Roman" w:hAnsi="Segoe UI" w:cs="Segoe UI"/>
          <w:color w:val="000000"/>
          <w:lang w:eastAsia="en-GB"/>
        </w:rPr>
        <w:t xml:space="preserve">Study </w:t>
      </w:r>
      <w:r w:rsidR="0061458A"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>commissionato da</w:t>
      </w:r>
      <w:r w:rsidR="00AD5D5F"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 xml:space="preserve"> Visa.</w:t>
      </w:r>
      <w:r w:rsidR="00AD5D5F" w:rsidRPr="004E4FCB">
        <w:rPr>
          <w:rFonts w:ascii="Segoe UI" w:eastAsia="Times New Roman" w:hAnsi="Segoe UI" w:cs="Segoe UI"/>
          <w:color w:val="000000"/>
          <w:lang w:eastAsia="en-GB"/>
        </w:rPr>
        <w:t xml:space="preserve"> </w:t>
      </w:r>
      <w:r w:rsidR="00AD5D5F" w:rsidRPr="004E4FCB">
        <w:rPr>
          <w:rFonts w:ascii="Segoe UI" w:eastAsia="Times New Roman" w:hAnsi="Segoe UI" w:cs="Segoe UI"/>
          <w:i/>
          <w:iCs/>
          <w:color w:val="000000"/>
          <w:lang w:eastAsia="en-GB"/>
        </w:rPr>
        <w:t>Jun-Jul 2017</w:t>
      </w:r>
    </w:p>
    <w:p w14:paraId="2E34E1BF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b/>
          <w:color w:val="212121"/>
          <w:shd w:val="clear" w:color="auto" w:fill="FFFFFF"/>
        </w:rPr>
      </w:pPr>
      <w:r w:rsidRPr="004E4FCB">
        <w:rPr>
          <w:rFonts w:ascii="Segoe UI" w:hAnsi="Segoe UI" w:cs="Segoe UI"/>
          <w:b/>
          <w:color w:val="212121"/>
          <w:shd w:val="clear" w:color="auto" w:fill="FFFFFF"/>
        </w:rPr>
        <w:t>Metodologia</w:t>
      </w:r>
    </w:p>
    <w:p w14:paraId="3DC53687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Regioni incluse nello studio:</w:t>
      </w:r>
    </w:p>
    <w:p w14:paraId="51C9A039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APAC: Australia, Cina, Hong Kong, India, Indonesia, Giappone, Corea, Malesia, Nuova Zelanda, Singapore, Taiwan, Tailandia, Vietnam</w:t>
      </w:r>
    </w:p>
    <w:p w14:paraId="3F1499FA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lastRenderedPageBreak/>
        <w:t>Europa: Francia, Germania, Regno Unito, Russia, Ucraina</w:t>
      </w:r>
    </w:p>
    <w:p w14:paraId="1463DB8C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MEA: Egitto, Kuwait, Arabia Saudita, Sudafrica, Emirati Arabi Uniti</w:t>
      </w:r>
    </w:p>
    <w:p w14:paraId="55EA4786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Americhe: Brasile, Canada, Messico, Stati Uniti</w:t>
      </w:r>
    </w:p>
    <w:p w14:paraId="17C6CC54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0997487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I dati si basano su 500 interviste in ciascuno dei 27 mercati ad eccezione di India, Cina, Australia e Nuova Zelanda, dove sono state condotte 1000 interviste.</w:t>
      </w:r>
    </w:p>
    <w:p w14:paraId="5A1839DB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Le interviste online sono state condotte tra giugno e luglio 2017, in tutti i mercati, ad eccezione di Egitto, Kuwait e Arabia Saudita; dove le interviste sono state fatte faccia a faccia con l'assistenza di computer portatili.</w:t>
      </w:r>
    </w:p>
    <w:p w14:paraId="6E706617" w14:textId="77777777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7912A082" w14:textId="2A3CFACD" w:rsidR="00B307DD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Questo studio è stato condotto anche nel 2013 e 2015. Ove possibile, vengono mostrate le tendenze.</w:t>
      </w:r>
    </w:p>
    <w:p w14:paraId="006E5CC0" w14:textId="2DFB8DDC" w:rsidR="000A1859" w:rsidRPr="004E4FCB" w:rsidRDefault="000A1859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267DEA52" w14:textId="206D6FD1" w:rsidR="00F57389" w:rsidRPr="004E4FCB" w:rsidRDefault="00E7603D" w:rsidP="000A1859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Gli importi</w:t>
      </w:r>
      <w:r w:rsidR="00F57389" w:rsidRPr="004E4FCB">
        <w:rPr>
          <w:rFonts w:ascii="Segoe UI" w:hAnsi="Segoe UI" w:cs="Segoe UI"/>
          <w:color w:val="212121"/>
          <w:shd w:val="clear" w:color="auto" w:fill="FFFFFF"/>
        </w:rPr>
        <w:t xml:space="preserve"> originari erano in dollari</w:t>
      </w:r>
      <w:r w:rsidR="00813488" w:rsidRPr="004E4FCB">
        <w:rPr>
          <w:rFonts w:ascii="Segoe UI" w:hAnsi="Segoe UI" w:cs="Segoe UI"/>
          <w:color w:val="212121"/>
          <w:shd w:val="clear" w:color="auto" w:fill="FFFFFF"/>
        </w:rPr>
        <w:t xml:space="preserve"> USA</w:t>
      </w:r>
      <w:r w:rsidR="00F57389" w:rsidRPr="004E4FCB">
        <w:rPr>
          <w:rFonts w:ascii="Segoe UI" w:hAnsi="Segoe UI" w:cs="Segoe UI"/>
          <w:color w:val="212121"/>
          <w:shd w:val="clear" w:color="auto" w:fill="FFFFFF"/>
        </w:rPr>
        <w:t>. Tasso di cambio (EUR/USD) 1.23225 al 21/2/2018</w:t>
      </w:r>
    </w:p>
    <w:p w14:paraId="5A985A9E" w14:textId="77777777" w:rsidR="00F57389" w:rsidRPr="004E4FCB" w:rsidRDefault="00F57389" w:rsidP="000F5964">
      <w:pPr>
        <w:spacing w:after="0" w:line="240" w:lineRule="auto"/>
        <w:jc w:val="center"/>
        <w:rPr>
          <w:rFonts w:ascii="Segoe UI" w:hAnsi="Segoe UI" w:cs="Segoe UI"/>
          <w:color w:val="212121"/>
          <w:shd w:val="clear" w:color="auto" w:fill="FFFFFF"/>
        </w:rPr>
      </w:pPr>
    </w:p>
    <w:p w14:paraId="5AA48EEA" w14:textId="185D9E8E" w:rsidR="00B307DD" w:rsidRPr="004E4FCB" w:rsidRDefault="000F5964" w:rsidP="000F5964">
      <w:pPr>
        <w:spacing w:after="0" w:line="240" w:lineRule="auto"/>
        <w:jc w:val="center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***********</w:t>
      </w:r>
    </w:p>
    <w:p w14:paraId="760B923A" w14:textId="77777777" w:rsidR="00B307DD" w:rsidRPr="004E4FCB" w:rsidRDefault="00B307DD" w:rsidP="00B07095">
      <w:pPr>
        <w:spacing w:after="0" w:line="240" w:lineRule="auto"/>
        <w:jc w:val="both"/>
        <w:rPr>
          <w:rFonts w:ascii="Segoe UI" w:hAnsi="Segoe UI" w:cs="Segoe UI"/>
          <w:b/>
          <w:color w:val="212121"/>
          <w:shd w:val="clear" w:color="auto" w:fill="FFFFFF"/>
        </w:rPr>
      </w:pPr>
    </w:p>
    <w:p w14:paraId="34F5B880" w14:textId="77777777" w:rsidR="00B07095" w:rsidRPr="004E4FCB" w:rsidRDefault="00B07095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  <w:t>Visa</w:t>
      </w:r>
      <w:r w:rsidRPr="004E4FCB">
        <w:rPr>
          <w:rFonts w:ascii="Segoe UI" w:hAnsi="Segoe UI" w:cs="Segoe UI"/>
          <w:b/>
          <w:color w:val="212121"/>
          <w:sz w:val="24"/>
          <w:szCs w:val="24"/>
          <w:shd w:val="clear" w:color="auto" w:fill="FFFFFF"/>
        </w:rPr>
        <w:br/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Visa Inc. (NYSE: V) è leader mondiale 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n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ei pagamenti digitali. La nostra missione è quella di connettere il mondo attraverso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>un</w:t>
      </w:r>
      <w:r w:rsidRPr="004E4FCB">
        <w:rPr>
          <w:rFonts w:ascii="Segoe UI" w:hAnsi="Segoe UI" w:cs="Segoe UI"/>
          <w:color w:val="212121"/>
          <w:shd w:val="clear" w:color="auto" w:fill="FFFFFF"/>
        </w:rPr>
        <w:t>a rete di pagamento innovativa, affidabile e sicura, c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he c</w:t>
      </w:r>
      <w:r w:rsidRPr="004E4FCB">
        <w:rPr>
          <w:rFonts w:ascii="Segoe UI" w:hAnsi="Segoe UI" w:cs="Segoe UI"/>
          <w:color w:val="212121"/>
          <w:shd w:val="clear" w:color="auto" w:fill="FFFFFF"/>
        </w:rPr>
        <w:t>onsent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a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 a privati, aziende ed economie di prosperare. 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Il nostro avanzato sistema di ela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</w:t>
      </w:r>
      <w:r w:rsidR="00606F7C" w:rsidRPr="004E4FCB">
        <w:rPr>
          <w:rFonts w:ascii="Segoe UI" w:hAnsi="Segoe UI" w:cs="Segoe UI"/>
          <w:color w:val="212121"/>
          <w:shd w:val="clear" w:color="auto" w:fill="FFFFFF"/>
        </w:rPr>
        <w:t>tipo di device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 e una forza trainante dietro il sogno di un futuro senza contanti per tutti, ovunque. Mentre il mondo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>si muove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 dall'analogico al digitale, Visa sta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 xml:space="preserve">dedicando 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il </w:t>
      </w:r>
      <w:r w:rsidR="000B7CB2" w:rsidRPr="004E4FCB">
        <w:rPr>
          <w:rFonts w:ascii="Segoe UI" w:hAnsi="Segoe UI" w:cs="Segoe UI"/>
          <w:color w:val="212121"/>
          <w:shd w:val="clear" w:color="auto" w:fill="FFFFFF"/>
        </w:rPr>
        <w:t>brand</w:t>
      </w:r>
      <w:r w:rsidRPr="004E4FCB">
        <w:rPr>
          <w:rFonts w:ascii="Segoe UI" w:hAnsi="Segoe UI" w:cs="Segoe UI"/>
          <w:color w:val="212121"/>
          <w:shd w:val="clear" w:color="auto" w:fill="FFFFFF"/>
        </w:rPr>
        <w:t xml:space="preserve">, i prodotti, le persone, la rete e le dimensioni per rimodellare il futuro del commercio. Per </w:t>
      </w:r>
      <w:r w:rsidR="00321E6A" w:rsidRPr="004E4FCB">
        <w:rPr>
          <w:rFonts w:ascii="Segoe UI" w:hAnsi="Segoe UI" w:cs="Segoe UI"/>
          <w:color w:val="212121"/>
          <w:shd w:val="clear" w:color="auto" w:fill="FFFFFF"/>
        </w:rPr>
        <w:t>maggior</w:t>
      </w:r>
      <w:r w:rsidRPr="004E4FCB">
        <w:rPr>
          <w:rFonts w:ascii="Segoe UI" w:hAnsi="Segoe UI" w:cs="Segoe UI"/>
          <w:color w:val="212121"/>
          <w:shd w:val="clear" w:color="auto" w:fill="FFFFFF"/>
        </w:rPr>
        <w:t>i informazioni, visita (</w:t>
      </w:r>
      <w:hyperlink r:id="rId8" w:history="1">
        <w:r w:rsidR="004E46DA" w:rsidRPr="004E4FCB">
          <w:rPr>
            <w:rStyle w:val="Collegamentoipertestuale"/>
            <w:rFonts w:ascii="Segoe UI" w:hAnsi="Segoe UI" w:cs="Segoe UI"/>
            <w:shd w:val="clear" w:color="auto" w:fill="FFFFFF"/>
          </w:rPr>
          <w:t>http://www.visaeurope.com</w:t>
        </w:r>
      </w:hyperlink>
      <w:r w:rsidRPr="004E4FCB">
        <w:rPr>
          <w:rFonts w:ascii="Segoe UI" w:hAnsi="Segoe UI" w:cs="Segoe UI"/>
          <w:color w:val="212121"/>
          <w:shd w:val="clear" w:color="auto" w:fill="FFFFFF"/>
        </w:rPr>
        <w:t>), il blog Visa Vision (</w:t>
      </w:r>
      <w:hyperlink r:id="rId9" w:history="1">
        <w:r w:rsidRPr="004E4FCB">
          <w:rPr>
            <w:rStyle w:val="Collegamentoipertestuale"/>
            <w:rFonts w:ascii="Segoe UI" w:hAnsi="Segoe UI" w:cs="Segoe UI"/>
            <w:shd w:val="clear" w:color="auto" w:fill="FFFFFF"/>
          </w:rPr>
          <w:t>vision.visaeurope.com</w:t>
        </w:r>
      </w:hyperlink>
      <w:r w:rsidRPr="004E4FCB">
        <w:rPr>
          <w:rFonts w:ascii="Segoe UI" w:hAnsi="Segoe UI" w:cs="Segoe UI"/>
          <w:color w:val="212121"/>
          <w:shd w:val="clear" w:color="auto" w:fill="FFFFFF"/>
        </w:rPr>
        <w:t xml:space="preserve">) e </w:t>
      </w:r>
      <w:hyperlink r:id="rId10" w:history="1">
        <w:r w:rsidRPr="004E4FCB">
          <w:rPr>
            <w:rStyle w:val="Collegamentoipertestuale"/>
            <w:rFonts w:ascii="Segoe UI" w:hAnsi="Segoe UI" w:cs="Segoe UI"/>
            <w:shd w:val="clear" w:color="auto" w:fill="FFFFFF"/>
          </w:rPr>
          <w:t>@</w:t>
        </w:r>
        <w:proofErr w:type="spellStart"/>
        <w:r w:rsidRPr="004E4FCB">
          <w:rPr>
            <w:rStyle w:val="Collegamentoipertestuale"/>
            <w:rFonts w:ascii="Segoe UI" w:hAnsi="Segoe UI" w:cs="Segoe UI"/>
            <w:shd w:val="clear" w:color="auto" w:fill="FFFFFF"/>
          </w:rPr>
          <w:t>VisaInEurope</w:t>
        </w:r>
        <w:proofErr w:type="spellEnd"/>
      </w:hyperlink>
    </w:p>
    <w:p w14:paraId="51B3E309" w14:textId="77777777" w:rsidR="00B07095" w:rsidRPr="004E4FCB" w:rsidRDefault="00B07095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3F5447F" w14:textId="77777777" w:rsidR="00F9353C" w:rsidRDefault="00F9353C" w:rsidP="000F5964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7D19B69E" w14:textId="681D37DF" w:rsidR="000F5964" w:rsidRPr="004E4FCB" w:rsidRDefault="000F5964" w:rsidP="000F5964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Contatti stampa Visa Italia:</w:t>
      </w:r>
    </w:p>
    <w:p w14:paraId="5E7FD03F" w14:textId="1BE2D54A" w:rsidR="000F5964" w:rsidRPr="004E4FCB" w:rsidRDefault="00F9353C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Silvia Asperges</w:t>
      </w:r>
      <w:r w:rsidR="000F5964" w:rsidRPr="004E4FCB">
        <w:rPr>
          <w:rFonts w:ascii="Segoe UI" w:hAnsi="Segoe UI" w:cs="Segoe UI"/>
          <w:color w:val="212121"/>
          <w:shd w:val="clear" w:color="auto" w:fill="FFFFFF"/>
        </w:rPr>
        <w:tab/>
        <w:t>Email: s</w:t>
      </w:r>
      <w:r>
        <w:rPr>
          <w:rFonts w:ascii="Segoe UI" w:hAnsi="Segoe UI" w:cs="Segoe UI"/>
          <w:color w:val="212121"/>
          <w:shd w:val="clear" w:color="auto" w:fill="FFFFFF"/>
        </w:rPr>
        <w:t>asperges</w:t>
      </w:r>
      <w:r w:rsidR="000F5964" w:rsidRPr="004E4FCB">
        <w:rPr>
          <w:rFonts w:ascii="Segoe UI" w:hAnsi="Segoe UI" w:cs="Segoe UI"/>
          <w:color w:val="212121"/>
          <w:shd w:val="clear" w:color="auto" w:fill="FFFFFF"/>
        </w:rPr>
        <w:t>@dagcom.com</w:t>
      </w:r>
      <w:r w:rsidR="000F5964" w:rsidRPr="004E4FCB">
        <w:rPr>
          <w:rFonts w:ascii="Segoe UI" w:hAnsi="Segoe UI" w:cs="Segoe UI"/>
          <w:color w:val="212121"/>
          <w:shd w:val="clear" w:color="auto" w:fill="FFFFFF"/>
        </w:rPr>
        <w:tab/>
        <w:t>Tel: +39 02 8905416</w:t>
      </w:r>
      <w:r>
        <w:rPr>
          <w:rFonts w:ascii="Segoe UI" w:hAnsi="Segoe UI" w:cs="Segoe UI"/>
          <w:color w:val="212121"/>
          <w:shd w:val="clear" w:color="auto" w:fill="FFFFFF"/>
        </w:rPr>
        <w:t>9</w:t>
      </w:r>
    </w:p>
    <w:p w14:paraId="6864DCAC" w14:textId="77777777" w:rsidR="000F5964" w:rsidRPr="004E4FCB" w:rsidRDefault="000F5964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  <w:r w:rsidRPr="004E4FCB">
        <w:rPr>
          <w:rFonts w:ascii="Segoe UI" w:hAnsi="Segoe UI" w:cs="Segoe UI"/>
          <w:color w:val="212121"/>
          <w:shd w:val="clear" w:color="auto" w:fill="FFFFFF"/>
        </w:rPr>
        <w:t>Barbara D’Incecco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  <w:t>Email: bdincecco@dagcom.com</w:t>
      </w:r>
      <w:r w:rsidRPr="004E4FCB">
        <w:rPr>
          <w:rFonts w:ascii="Segoe UI" w:hAnsi="Segoe UI" w:cs="Segoe UI"/>
          <w:color w:val="212121"/>
          <w:shd w:val="clear" w:color="auto" w:fill="FFFFFF"/>
        </w:rPr>
        <w:tab/>
        <w:t>Tel: +39 02 89054160</w:t>
      </w:r>
    </w:p>
    <w:p w14:paraId="00729FE2" w14:textId="77777777" w:rsidR="00B07095" w:rsidRPr="004E4FCB" w:rsidRDefault="00B07095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86C5C12" w14:textId="4A4984A4" w:rsidR="000F5964" w:rsidRPr="004E4FCB" w:rsidRDefault="000F5964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017255A8" w14:textId="1A4CCBDA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0F35180E" w14:textId="02E8965C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2FDD0B45" w14:textId="4E062EF8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5E44D192" w14:textId="1128BEBC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6329ECF7" w14:textId="5A74A22F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477ED8D7" w14:textId="68517BEE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90C52C6" w14:textId="08D02C55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35416769" w14:textId="2928F945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23EF828B" w14:textId="366FC3FF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78BEDBA2" w14:textId="4CFCD96D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p w14:paraId="1B2E02F1" w14:textId="4F3390F2" w:rsidR="00D80706" w:rsidRPr="004E4FCB" w:rsidRDefault="00D80706" w:rsidP="00B07095">
      <w:pPr>
        <w:spacing w:after="0" w:line="240" w:lineRule="auto"/>
        <w:jc w:val="both"/>
        <w:rPr>
          <w:rFonts w:ascii="Segoe UI" w:hAnsi="Segoe UI" w:cs="Segoe UI"/>
          <w:color w:val="212121"/>
          <w:shd w:val="clear" w:color="auto" w:fill="FFFFFF"/>
        </w:rPr>
      </w:pPr>
    </w:p>
    <w:sectPr w:rsidR="00D80706" w:rsidRPr="004E4FCB" w:rsidSect="00025348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C5341" w14:textId="77777777" w:rsidR="00736DF5" w:rsidRDefault="00736DF5" w:rsidP="00736DF5">
      <w:pPr>
        <w:spacing w:after="0" w:line="240" w:lineRule="auto"/>
      </w:pPr>
      <w:r>
        <w:separator/>
      </w:r>
    </w:p>
  </w:endnote>
  <w:endnote w:type="continuationSeparator" w:id="0">
    <w:p w14:paraId="2E73F894" w14:textId="77777777" w:rsidR="00736DF5" w:rsidRDefault="00736DF5" w:rsidP="00736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9B955" w14:textId="77777777" w:rsidR="00736DF5" w:rsidRDefault="00736DF5" w:rsidP="00736DF5">
      <w:pPr>
        <w:spacing w:after="0" w:line="240" w:lineRule="auto"/>
      </w:pPr>
      <w:r>
        <w:separator/>
      </w:r>
    </w:p>
  </w:footnote>
  <w:footnote w:type="continuationSeparator" w:id="0">
    <w:p w14:paraId="252FDA23" w14:textId="77777777" w:rsidR="00736DF5" w:rsidRDefault="00736DF5" w:rsidP="00736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E17FA" w14:textId="77777777" w:rsidR="00736DF5" w:rsidRDefault="00736DF5">
    <w:pPr>
      <w:pStyle w:val="Intestazione"/>
    </w:pPr>
    <w:r w:rsidRPr="00F81309">
      <w:rPr>
        <w:rFonts w:cs="Segoe UI"/>
        <w:noProof/>
        <w:color w:val="1A1F71"/>
        <w:lang w:val="fr-FR" w:eastAsia="fr-FR"/>
      </w:rPr>
      <w:drawing>
        <wp:anchor distT="0" distB="0" distL="114300" distR="114300" simplePos="0" relativeHeight="251659264" behindDoc="0" locked="0" layoutInCell="1" allowOverlap="1" wp14:anchorId="7E37DF11" wp14:editId="40757886">
          <wp:simplePos x="0" y="0"/>
          <wp:positionH relativeFrom="page">
            <wp:posOffset>5806440</wp:posOffset>
          </wp:positionH>
          <wp:positionV relativeFrom="page">
            <wp:posOffset>306070</wp:posOffset>
          </wp:positionV>
          <wp:extent cx="1481328" cy="832104"/>
          <wp:effectExtent l="0" t="0" r="5080" b="6350"/>
          <wp:wrapNone/>
          <wp:docPr id="3" name="Picture 1" descr="C:\Users\mordoyne\Desktop\templates\forms_vb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mordoyne\Desktop\templates\forms_vb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832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AAD3C" w14:textId="77777777" w:rsidR="00736DF5" w:rsidRDefault="00736DF5">
    <w:pPr>
      <w:pStyle w:val="Intestazione"/>
    </w:pPr>
  </w:p>
  <w:p w14:paraId="4484A15A" w14:textId="77777777" w:rsidR="00736DF5" w:rsidRDefault="00736DF5">
    <w:pPr>
      <w:pStyle w:val="Intestazione"/>
    </w:pPr>
  </w:p>
  <w:p w14:paraId="2F2EC945" w14:textId="77777777" w:rsidR="005E477B" w:rsidRDefault="005E477B">
    <w:pPr>
      <w:pStyle w:val="Intestazione"/>
    </w:pPr>
  </w:p>
  <w:p w14:paraId="30EC3229" w14:textId="77777777" w:rsidR="00736DF5" w:rsidRDefault="00736D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62408"/>
    <w:multiLevelType w:val="hybridMultilevel"/>
    <w:tmpl w:val="FECA1BA2"/>
    <w:lvl w:ilvl="0" w:tplc="6332EAF4">
      <w:start w:val="1"/>
      <w:numFmt w:val="bullet"/>
      <w:pStyle w:val="VisaHeadLevel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4F0"/>
    <w:multiLevelType w:val="hybridMultilevel"/>
    <w:tmpl w:val="D9DA2E96"/>
    <w:lvl w:ilvl="0" w:tplc="BA144A9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7217C"/>
    <w:multiLevelType w:val="hybridMultilevel"/>
    <w:tmpl w:val="9DE28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4E0"/>
    <w:multiLevelType w:val="hybridMultilevel"/>
    <w:tmpl w:val="325C3978"/>
    <w:lvl w:ilvl="0" w:tplc="126C1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49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24B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87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8F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AD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CAB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1A9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FEA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A06A5F"/>
    <w:multiLevelType w:val="hybridMultilevel"/>
    <w:tmpl w:val="F522D944"/>
    <w:lvl w:ilvl="0" w:tplc="BE765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8FF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9A1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C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A9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0D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FCF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2AB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AF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884F7C"/>
    <w:multiLevelType w:val="hybridMultilevel"/>
    <w:tmpl w:val="32B0D68C"/>
    <w:lvl w:ilvl="0" w:tplc="42288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680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946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70E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340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03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C29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A3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E49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C6E13CA"/>
    <w:multiLevelType w:val="hybridMultilevel"/>
    <w:tmpl w:val="D598C486"/>
    <w:lvl w:ilvl="0" w:tplc="AAA2AA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7E8A"/>
    <w:multiLevelType w:val="hybridMultilevel"/>
    <w:tmpl w:val="7B1C5778"/>
    <w:lvl w:ilvl="0" w:tplc="19B6A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661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C7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CB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2A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A2C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A3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4B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D21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D63ED1"/>
    <w:multiLevelType w:val="hybridMultilevel"/>
    <w:tmpl w:val="25522E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3A37CC"/>
    <w:multiLevelType w:val="hybridMultilevel"/>
    <w:tmpl w:val="E26035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B743D2"/>
    <w:multiLevelType w:val="hybridMultilevel"/>
    <w:tmpl w:val="41E679E6"/>
    <w:lvl w:ilvl="0" w:tplc="95B0F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44EC6"/>
    <w:multiLevelType w:val="hybridMultilevel"/>
    <w:tmpl w:val="F42A8C18"/>
    <w:lvl w:ilvl="0" w:tplc="E0826CCA">
      <w:start w:val="1"/>
      <w:numFmt w:val="bullet"/>
      <w:pStyle w:val="SecondLevel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3149"/>
    <w:multiLevelType w:val="multilevel"/>
    <w:tmpl w:val="F270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32"/>
    <w:rsid w:val="00025348"/>
    <w:rsid w:val="000519FD"/>
    <w:rsid w:val="00053437"/>
    <w:rsid w:val="000662D0"/>
    <w:rsid w:val="0007318C"/>
    <w:rsid w:val="00073BFE"/>
    <w:rsid w:val="000746B1"/>
    <w:rsid w:val="0008447F"/>
    <w:rsid w:val="00090088"/>
    <w:rsid w:val="000A1859"/>
    <w:rsid w:val="000B0307"/>
    <w:rsid w:val="000B19D8"/>
    <w:rsid w:val="000B7B11"/>
    <w:rsid w:val="000B7CB2"/>
    <w:rsid w:val="000C17D7"/>
    <w:rsid w:val="000D2FB1"/>
    <w:rsid w:val="000F5964"/>
    <w:rsid w:val="000F75C0"/>
    <w:rsid w:val="0010602B"/>
    <w:rsid w:val="00115076"/>
    <w:rsid w:val="001264E2"/>
    <w:rsid w:val="001339CE"/>
    <w:rsid w:val="00171A9D"/>
    <w:rsid w:val="00175FD8"/>
    <w:rsid w:val="0017749F"/>
    <w:rsid w:val="001827C5"/>
    <w:rsid w:val="001941A6"/>
    <w:rsid w:val="001E2189"/>
    <w:rsid w:val="001E2D58"/>
    <w:rsid w:val="0024551F"/>
    <w:rsid w:val="002455F3"/>
    <w:rsid w:val="002658C2"/>
    <w:rsid w:val="002A3F38"/>
    <w:rsid w:val="002A4AEF"/>
    <w:rsid w:val="002D07D2"/>
    <w:rsid w:val="002F1BDB"/>
    <w:rsid w:val="002F72CB"/>
    <w:rsid w:val="002F7E72"/>
    <w:rsid w:val="00306C02"/>
    <w:rsid w:val="00321E6A"/>
    <w:rsid w:val="00362196"/>
    <w:rsid w:val="003955E6"/>
    <w:rsid w:val="003A0A4A"/>
    <w:rsid w:val="003A0B07"/>
    <w:rsid w:val="003B599A"/>
    <w:rsid w:val="003D7E1C"/>
    <w:rsid w:val="003E15EE"/>
    <w:rsid w:val="003F4FFE"/>
    <w:rsid w:val="003F6515"/>
    <w:rsid w:val="003F7538"/>
    <w:rsid w:val="004070CC"/>
    <w:rsid w:val="00407925"/>
    <w:rsid w:val="0042242B"/>
    <w:rsid w:val="004247DC"/>
    <w:rsid w:val="00430616"/>
    <w:rsid w:val="00445885"/>
    <w:rsid w:val="004512D0"/>
    <w:rsid w:val="00466AE3"/>
    <w:rsid w:val="00466F71"/>
    <w:rsid w:val="004704ED"/>
    <w:rsid w:val="004816BF"/>
    <w:rsid w:val="00482F04"/>
    <w:rsid w:val="004A7365"/>
    <w:rsid w:val="004A7EE1"/>
    <w:rsid w:val="004B5E79"/>
    <w:rsid w:val="004C4E52"/>
    <w:rsid w:val="004D5EED"/>
    <w:rsid w:val="004E1F6B"/>
    <w:rsid w:val="004E286E"/>
    <w:rsid w:val="004E46DA"/>
    <w:rsid w:val="004E4FCB"/>
    <w:rsid w:val="004E7312"/>
    <w:rsid w:val="00554CB9"/>
    <w:rsid w:val="00562A63"/>
    <w:rsid w:val="005726C9"/>
    <w:rsid w:val="005737E0"/>
    <w:rsid w:val="005A142F"/>
    <w:rsid w:val="005A32BD"/>
    <w:rsid w:val="005C1CBE"/>
    <w:rsid w:val="005E477B"/>
    <w:rsid w:val="00601F32"/>
    <w:rsid w:val="00606F7C"/>
    <w:rsid w:val="0061458A"/>
    <w:rsid w:val="00624713"/>
    <w:rsid w:val="00631DC3"/>
    <w:rsid w:val="00631DD0"/>
    <w:rsid w:val="00633389"/>
    <w:rsid w:val="00650199"/>
    <w:rsid w:val="006813D3"/>
    <w:rsid w:val="006B1AF7"/>
    <w:rsid w:val="006C7C14"/>
    <w:rsid w:val="006D0AD5"/>
    <w:rsid w:val="006D67E2"/>
    <w:rsid w:val="006F383E"/>
    <w:rsid w:val="0071214F"/>
    <w:rsid w:val="007177E3"/>
    <w:rsid w:val="00725B56"/>
    <w:rsid w:val="0073278A"/>
    <w:rsid w:val="00736DF5"/>
    <w:rsid w:val="007575FD"/>
    <w:rsid w:val="00763E7D"/>
    <w:rsid w:val="007A0BEA"/>
    <w:rsid w:val="007A1808"/>
    <w:rsid w:val="007A3762"/>
    <w:rsid w:val="007E0F71"/>
    <w:rsid w:val="007F19A4"/>
    <w:rsid w:val="00813488"/>
    <w:rsid w:val="0083155D"/>
    <w:rsid w:val="00860C43"/>
    <w:rsid w:val="00874969"/>
    <w:rsid w:val="0088547E"/>
    <w:rsid w:val="008E7477"/>
    <w:rsid w:val="009070A9"/>
    <w:rsid w:val="00910556"/>
    <w:rsid w:val="009202B5"/>
    <w:rsid w:val="0092392B"/>
    <w:rsid w:val="00943F72"/>
    <w:rsid w:val="00950F80"/>
    <w:rsid w:val="00960636"/>
    <w:rsid w:val="00960CA3"/>
    <w:rsid w:val="00960EB8"/>
    <w:rsid w:val="0096148A"/>
    <w:rsid w:val="009829CB"/>
    <w:rsid w:val="00986F6C"/>
    <w:rsid w:val="009A29C3"/>
    <w:rsid w:val="009B17B1"/>
    <w:rsid w:val="009D1514"/>
    <w:rsid w:val="009E7BBC"/>
    <w:rsid w:val="009F0344"/>
    <w:rsid w:val="009F16FB"/>
    <w:rsid w:val="009F209A"/>
    <w:rsid w:val="00A16BC0"/>
    <w:rsid w:val="00A41035"/>
    <w:rsid w:val="00A65B0E"/>
    <w:rsid w:val="00A70D35"/>
    <w:rsid w:val="00A842AD"/>
    <w:rsid w:val="00A93212"/>
    <w:rsid w:val="00AA2B17"/>
    <w:rsid w:val="00AB61A1"/>
    <w:rsid w:val="00AC04F1"/>
    <w:rsid w:val="00AC306D"/>
    <w:rsid w:val="00AD5D5F"/>
    <w:rsid w:val="00AD70D6"/>
    <w:rsid w:val="00B0155A"/>
    <w:rsid w:val="00B03DD5"/>
    <w:rsid w:val="00B07095"/>
    <w:rsid w:val="00B307DD"/>
    <w:rsid w:val="00B408FD"/>
    <w:rsid w:val="00B60E2B"/>
    <w:rsid w:val="00B742F5"/>
    <w:rsid w:val="00B76218"/>
    <w:rsid w:val="00BA0968"/>
    <w:rsid w:val="00BA1A98"/>
    <w:rsid w:val="00BC0F18"/>
    <w:rsid w:val="00BC1D76"/>
    <w:rsid w:val="00BC4BE6"/>
    <w:rsid w:val="00BD0D87"/>
    <w:rsid w:val="00BE4AF5"/>
    <w:rsid w:val="00BE7491"/>
    <w:rsid w:val="00BF1E8F"/>
    <w:rsid w:val="00C013E8"/>
    <w:rsid w:val="00C03E5D"/>
    <w:rsid w:val="00C054C3"/>
    <w:rsid w:val="00C31DB8"/>
    <w:rsid w:val="00C3325C"/>
    <w:rsid w:val="00C37581"/>
    <w:rsid w:val="00C618ED"/>
    <w:rsid w:val="00C7201B"/>
    <w:rsid w:val="00C76B5E"/>
    <w:rsid w:val="00CA6DD8"/>
    <w:rsid w:val="00CB6551"/>
    <w:rsid w:val="00CD0A53"/>
    <w:rsid w:val="00CD2F19"/>
    <w:rsid w:val="00CF0D2A"/>
    <w:rsid w:val="00D17E96"/>
    <w:rsid w:val="00D23025"/>
    <w:rsid w:val="00D26A14"/>
    <w:rsid w:val="00D44F8B"/>
    <w:rsid w:val="00D471A1"/>
    <w:rsid w:val="00D66DE0"/>
    <w:rsid w:val="00D80706"/>
    <w:rsid w:val="00D913AC"/>
    <w:rsid w:val="00D92381"/>
    <w:rsid w:val="00DC4E4A"/>
    <w:rsid w:val="00DE4585"/>
    <w:rsid w:val="00E128B7"/>
    <w:rsid w:val="00E131C4"/>
    <w:rsid w:val="00E17CEB"/>
    <w:rsid w:val="00E32165"/>
    <w:rsid w:val="00E47052"/>
    <w:rsid w:val="00E47F0C"/>
    <w:rsid w:val="00E56D0C"/>
    <w:rsid w:val="00E628E4"/>
    <w:rsid w:val="00E62E87"/>
    <w:rsid w:val="00E74F4A"/>
    <w:rsid w:val="00E7534A"/>
    <w:rsid w:val="00E7603D"/>
    <w:rsid w:val="00E91A1A"/>
    <w:rsid w:val="00EA7862"/>
    <w:rsid w:val="00EB645B"/>
    <w:rsid w:val="00EB7061"/>
    <w:rsid w:val="00ED398E"/>
    <w:rsid w:val="00EE2ABB"/>
    <w:rsid w:val="00EE78E3"/>
    <w:rsid w:val="00F057C3"/>
    <w:rsid w:val="00F170B4"/>
    <w:rsid w:val="00F20CA0"/>
    <w:rsid w:val="00F30D44"/>
    <w:rsid w:val="00F34416"/>
    <w:rsid w:val="00F424F9"/>
    <w:rsid w:val="00F57389"/>
    <w:rsid w:val="00F75D37"/>
    <w:rsid w:val="00F772A1"/>
    <w:rsid w:val="00F81B5B"/>
    <w:rsid w:val="00F9353C"/>
    <w:rsid w:val="00FB499A"/>
    <w:rsid w:val="00F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0FD4"/>
  <w15:docId w15:val="{20CA3509-6C6D-41C8-B596-A2549F7D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253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747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6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6DF5"/>
  </w:style>
  <w:style w:type="paragraph" w:styleId="Pidipagina">
    <w:name w:val="footer"/>
    <w:basedOn w:val="Normale"/>
    <w:link w:val="PidipaginaCarattere"/>
    <w:uiPriority w:val="99"/>
    <w:unhideWhenUsed/>
    <w:rsid w:val="00736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6DF5"/>
  </w:style>
  <w:style w:type="paragraph" w:customStyle="1" w:styleId="VisaHeadLevelOne">
    <w:name w:val="Visa Head Level One"/>
    <w:autoRedefine/>
    <w:rsid w:val="00736DF5"/>
    <w:pPr>
      <w:numPr>
        <w:numId w:val="4"/>
      </w:numPr>
      <w:spacing w:before="120" w:after="0" w:line="240" w:lineRule="auto"/>
    </w:pPr>
    <w:rPr>
      <w:rFonts w:ascii="Segoe UI" w:eastAsia="Times New Roman" w:hAnsi="Segoe UI" w:cs="Times New Roman"/>
      <w:b/>
      <w:color w:val="000000" w:themeColor="text1"/>
      <w:sz w:val="24"/>
      <w:szCs w:val="26"/>
      <w:lang w:val="en-US"/>
    </w:rPr>
  </w:style>
  <w:style w:type="paragraph" w:customStyle="1" w:styleId="VisaDocumentname">
    <w:name w:val="Visa Document name"/>
    <w:rsid w:val="00736DF5"/>
    <w:pPr>
      <w:spacing w:after="120" w:line="240" w:lineRule="exact"/>
    </w:pPr>
    <w:rPr>
      <w:rFonts w:ascii="Segoe UI" w:eastAsia="Times New Roman" w:hAnsi="Segoe UI" w:cs="Times New Roman"/>
      <w:b/>
      <w:caps/>
      <w:color w:val="1F497D" w:themeColor="text2"/>
      <w:spacing w:val="36"/>
      <w:sz w:val="19"/>
      <w:szCs w:val="20"/>
      <w:lang w:val="en-US"/>
    </w:rPr>
  </w:style>
  <w:style w:type="paragraph" w:customStyle="1" w:styleId="VisaHeadline">
    <w:name w:val="Visa Headline"/>
    <w:rsid w:val="00736DF5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F596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5964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9202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02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02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02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02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2B5"/>
    <w:rPr>
      <w:rFonts w:ascii="Segoe UI" w:hAnsi="Segoe UI" w:cs="Segoe UI"/>
      <w:sz w:val="18"/>
      <w:szCs w:val="18"/>
    </w:rPr>
  </w:style>
  <w:style w:type="paragraph" w:customStyle="1" w:styleId="SecondLevelText">
    <w:name w:val="Second Level Text"/>
    <w:basedOn w:val="Normale"/>
    <w:rsid w:val="0083155D"/>
    <w:pPr>
      <w:numPr>
        <w:numId w:val="12"/>
      </w:numPr>
      <w:spacing w:after="160" w:line="280" w:lineRule="exact"/>
    </w:pPr>
    <w:rPr>
      <w:rFonts w:ascii="Segoe UI" w:eastAsia="Times New Roman" w:hAnsi="Segoe UI" w:cs="Arial"/>
      <w:color w:val="75787B"/>
      <w:lang w:val="en-US"/>
    </w:rPr>
  </w:style>
  <w:style w:type="paragraph" w:customStyle="1" w:styleId="StyleSecondLevelTextBold">
    <w:name w:val="Style Second Level Text + Bold"/>
    <w:basedOn w:val="SecondLevelText"/>
    <w:rsid w:val="0083155D"/>
    <w:rPr>
      <w:b/>
      <w:bCs/>
    </w:rPr>
  </w:style>
  <w:style w:type="character" w:styleId="Enfasicorsivo">
    <w:name w:val="Emphasis"/>
    <w:basedOn w:val="Carpredefinitoparagrafo"/>
    <w:uiPriority w:val="20"/>
    <w:qFormat/>
    <w:rsid w:val="001941A6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738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738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73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2569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5148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324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318">
          <w:marLeft w:val="288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@VisaInEurop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AGSERVER-HP\fileserver\archivio\clienti\Visa\Comunicati\Dragon%20Pass\vision.visaeurop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668E-EDAB-49B5-A8A0-1777413D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Silvia Asperges</cp:lastModifiedBy>
  <cp:revision>5</cp:revision>
  <cp:lastPrinted>2018-01-18T09:45:00Z</cp:lastPrinted>
  <dcterms:created xsi:type="dcterms:W3CDTF">2018-03-12T08:00:00Z</dcterms:created>
  <dcterms:modified xsi:type="dcterms:W3CDTF">2018-03-12T10:21:00Z</dcterms:modified>
</cp:coreProperties>
</file>