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876" w:rsidRPr="00BE5876" w:rsidRDefault="00BE5876" w:rsidP="00060A94">
      <w:pPr>
        <w:spacing w:line="280" w:lineRule="exact"/>
        <w:rPr>
          <w:rFonts w:ascii="Arial" w:hAnsi="Arial" w:cs="Arial"/>
          <w:b/>
        </w:rPr>
      </w:pPr>
      <w:bookmarkStart w:id="0" w:name="_GoBack"/>
      <w:bookmarkEnd w:id="0"/>
      <w:r w:rsidRPr="00BE5876">
        <w:rPr>
          <w:rFonts w:ascii="Arial" w:hAnsi="Arial" w:cs="Arial"/>
          <w:b/>
        </w:rPr>
        <w:t>Anzahl der Baumärkte steigt wieder</w:t>
      </w:r>
    </w:p>
    <w:p w:rsidR="00BE5876" w:rsidRPr="00BE5876" w:rsidRDefault="00BE5876" w:rsidP="00060A94">
      <w:pPr>
        <w:spacing w:line="280" w:lineRule="exact"/>
        <w:rPr>
          <w:rFonts w:ascii="Arial" w:hAnsi="Arial" w:cs="Arial"/>
          <w:sz w:val="20"/>
          <w:szCs w:val="20"/>
        </w:rPr>
      </w:pPr>
      <w:r>
        <w:rPr>
          <w:rFonts w:ascii="Arial" w:hAnsi="Arial" w:cs="Arial"/>
          <w:sz w:val="20"/>
          <w:szCs w:val="20"/>
        </w:rPr>
        <w:t xml:space="preserve">Köln, 9. Februar 2016 – </w:t>
      </w:r>
      <w:r w:rsidRPr="00BE5876">
        <w:rPr>
          <w:rFonts w:ascii="Arial" w:hAnsi="Arial" w:cs="Arial"/>
          <w:sz w:val="20"/>
          <w:szCs w:val="20"/>
        </w:rPr>
        <w:t xml:space="preserve">Erstmals seit 15 Jahren ist die Anzahl der Baumärkte in Deutschland im vergangenen Jahr wieder gestiegen. Jeder zehnte Markt schon hat mehr als 10.000 Quadratmeter. Insgesamt </w:t>
      </w:r>
      <w:r w:rsidR="00C463B7">
        <w:rPr>
          <w:rFonts w:ascii="Arial" w:hAnsi="Arial" w:cs="Arial"/>
          <w:sz w:val="20"/>
          <w:szCs w:val="20"/>
        </w:rPr>
        <w:t xml:space="preserve">gibt es </w:t>
      </w:r>
      <w:r w:rsidRPr="00BE5876">
        <w:rPr>
          <w:rFonts w:ascii="Arial" w:hAnsi="Arial" w:cs="Arial"/>
          <w:sz w:val="20"/>
          <w:szCs w:val="20"/>
        </w:rPr>
        <w:t xml:space="preserve">12 Millionen Quadratmeter Verkaufsfläche. Dies berichtet </w:t>
      </w:r>
      <w:r w:rsidR="00036EA0">
        <w:rPr>
          <w:rFonts w:ascii="Arial" w:hAnsi="Arial" w:cs="Arial"/>
          <w:sz w:val="20"/>
          <w:szCs w:val="20"/>
        </w:rPr>
        <w:t>das Magazin</w:t>
      </w:r>
      <w:r w:rsidRPr="00BE5876">
        <w:rPr>
          <w:rFonts w:ascii="Arial" w:hAnsi="Arial" w:cs="Arial"/>
          <w:sz w:val="20"/>
          <w:szCs w:val="20"/>
        </w:rPr>
        <w:t xml:space="preserve"> baumarktmanager in seiner Februar-Ausgabe.</w:t>
      </w:r>
    </w:p>
    <w:p w:rsidR="00BE5876" w:rsidRDefault="00BE5876" w:rsidP="00060A94">
      <w:pPr>
        <w:spacing w:line="280" w:lineRule="exact"/>
        <w:rPr>
          <w:rFonts w:ascii="Arial" w:hAnsi="Arial" w:cs="Arial"/>
          <w:sz w:val="20"/>
          <w:szCs w:val="20"/>
        </w:rPr>
      </w:pPr>
      <w:r w:rsidRPr="00BE5876">
        <w:rPr>
          <w:rFonts w:ascii="Arial" w:hAnsi="Arial" w:cs="Arial"/>
          <w:sz w:val="20"/>
          <w:szCs w:val="20"/>
        </w:rPr>
        <w:t>Insgesamt gibt es hierzulande zum Jahresbeginn 2016 genau 2134 Baumärkte mit mehr als 1000 Quadratmetern Verkaufsfläche.  Zum Jahresanfang  2015 waren es noch 2118 Märkte. Dies bedeutet einen Anstieg von 0,7% Prozent.</w:t>
      </w:r>
    </w:p>
    <w:p w:rsidR="00BE5876" w:rsidRDefault="00BE5876" w:rsidP="00060A94">
      <w:pPr>
        <w:spacing w:line="280" w:lineRule="exact"/>
        <w:rPr>
          <w:rFonts w:ascii="Arial" w:hAnsi="Arial" w:cs="Arial"/>
          <w:sz w:val="20"/>
          <w:szCs w:val="20"/>
        </w:rPr>
      </w:pPr>
      <w:r w:rsidRPr="00BE5876">
        <w:rPr>
          <w:rFonts w:ascii="Arial" w:hAnsi="Arial" w:cs="Arial"/>
          <w:sz w:val="20"/>
          <w:szCs w:val="20"/>
        </w:rPr>
        <w:t>Diese Zahlen hat das Branchenmagazin baumarktmanager (Verlag Siegfried Rohn, Köln) gemeinsam mit dem Unternehmen für Standortanalysen gemaba (Lev</w:t>
      </w:r>
      <w:r w:rsidR="006D34D9">
        <w:rPr>
          <w:rFonts w:ascii="Arial" w:hAnsi="Arial" w:cs="Arial"/>
          <w:sz w:val="20"/>
          <w:szCs w:val="20"/>
        </w:rPr>
        <w:t>erkusen</w:t>
      </w:r>
      <w:r w:rsidRPr="00BE5876">
        <w:rPr>
          <w:rFonts w:ascii="Arial" w:hAnsi="Arial" w:cs="Arial"/>
          <w:sz w:val="20"/>
          <w:szCs w:val="20"/>
        </w:rPr>
        <w:t>-Hitdorf) recherchiert. Dabei wurden Märkte nach der branchenüblichen Definition mit mindestens 1000 Quadratmetern Verkaufsfläche innen und einem breiten Sortimentsangebot bei Bau-, Heimwerken- und Gartensortimenten betrachtet.</w:t>
      </w:r>
    </w:p>
    <w:p w:rsidR="00BE5876" w:rsidRPr="00BE5876" w:rsidRDefault="00BE5876" w:rsidP="00060A94">
      <w:pPr>
        <w:spacing w:line="280" w:lineRule="exact"/>
        <w:rPr>
          <w:rFonts w:ascii="Arial" w:hAnsi="Arial" w:cs="Arial"/>
          <w:sz w:val="20"/>
          <w:szCs w:val="20"/>
        </w:rPr>
      </w:pPr>
      <w:r w:rsidRPr="00BE5876">
        <w:rPr>
          <w:rFonts w:ascii="Arial" w:hAnsi="Arial" w:cs="Arial"/>
          <w:sz w:val="20"/>
          <w:szCs w:val="20"/>
        </w:rPr>
        <w:t>Die positive Entwicklung bei den Baumärkten zeigt, dass sich die Branche langsam von den jüngsten Schocks erholt. Im Jahr 2013 war die Baumarktkette Praktiker / Max Bahr Pleite gegangen und im vergangenen Jahr wurden die österreichischen Baumax-Märkte wegen wirtsch</w:t>
      </w:r>
      <w:r w:rsidR="00C463B7">
        <w:rPr>
          <w:rFonts w:ascii="Arial" w:hAnsi="Arial" w:cs="Arial"/>
          <w:sz w:val="20"/>
          <w:szCs w:val="20"/>
        </w:rPr>
        <w:t xml:space="preserve">aftlicher Schieflage verkauft. </w:t>
      </w:r>
      <w:r w:rsidRPr="00BE5876">
        <w:rPr>
          <w:rFonts w:ascii="Arial" w:hAnsi="Arial" w:cs="Arial"/>
          <w:sz w:val="20"/>
          <w:szCs w:val="20"/>
        </w:rPr>
        <w:t xml:space="preserve">Die höchste Zahl an Baumärkten hierzulande gab es 2001 mit 2609 Märkten. Nach der </w:t>
      </w:r>
      <w:r w:rsidR="004F6650" w:rsidRPr="00BE5876">
        <w:rPr>
          <w:rFonts w:ascii="Arial" w:hAnsi="Arial" w:cs="Arial"/>
          <w:sz w:val="20"/>
          <w:szCs w:val="20"/>
        </w:rPr>
        <w:t>Praktiker</w:t>
      </w:r>
      <w:r w:rsidR="004F6650">
        <w:rPr>
          <w:rFonts w:ascii="Arial" w:hAnsi="Arial" w:cs="Arial"/>
          <w:sz w:val="20"/>
          <w:szCs w:val="20"/>
        </w:rPr>
        <w:t>-P</w:t>
      </w:r>
      <w:r w:rsidR="004F6650" w:rsidRPr="00BE5876">
        <w:rPr>
          <w:rFonts w:ascii="Arial" w:hAnsi="Arial" w:cs="Arial"/>
          <w:sz w:val="20"/>
          <w:szCs w:val="20"/>
        </w:rPr>
        <w:t>leite</w:t>
      </w:r>
      <w:r w:rsidRPr="00BE5876">
        <w:rPr>
          <w:rFonts w:ascii="Arial" w:hAnsi="Arial" w:cs="Arial"/>
          <w:sz w:val="20"/>
          <w:szCs w:val="20"/>
        </w:rPr>
        <w:t xml:space="preserve"> waren dann zum 1.1.2015 nur noch 2118 am Netz. Übernahmen und Neueröffnungen ließen die Zahlen wieder steigen. </w:t>
      </w:r>
      <w:r w:rsidRPr="00BE5876">
        <w:rPr>
          <w:rFonts w:ascii="Arial" w:hAnsi="Arial" w:cs="Arial"/>
          <w:sz w:val="20"/>
          <w:szCs w:val="20"/>
        </w:rPr>
        <w:br/>
      </w:r>
      <w:r w:rsidRPr="00BE5876">
        <w:rPr>
          <w:rFonts w:ascii="Arial" w:hAnsi="Arial" w:cs="Arial"/>
          <w:sz w:val="20"/>
          <w:szCs w:val="20"/>
        </w:rPr>
        <w:br/>
        <w:t xml:space="preserve">Bei den Neueröffnungen ist der Trend zur Großfläche weiter intakt. Noch nie gab es so viele so große Baumärkte. Schon verfügt fast ein Drittel der Märkte </w:t>
      </w:r>
      <w:r w:rsidR="00C463B7">
        <w:rPr>
          <w:rFonts w:ascii="Arial" w:hAnsi="Arial" w:cs="Arial"/>
          <w:sz w:val="20"/>
          <w:szCs w:val="20"/>
        </w:rPr>
        <w:br/>
      </w:r>
      <w:r w:rsidRPr="00BE5876">
        <w:rPr>
          <w:rFonts w:ascii="Arial" w:hAnsi="Arial" w:cs="Arial"/>
          <w:sz w:val="20"/>
          <w:szCs w:val="20"/>
        </w:rPr>
        <w:t xml:space="preserve">(29 Prozent bzw. 611 Märkte) über </w:t>
      </w:r>
      <w:r w:rsidR="00C463B7">
        <w:rPr>
          <w:rFonts w:ascii="Arial" w:hAnsi="Arial" w:cs="Arial"/>
          <w:sz w:val="20"/>
          <w:szCs w:val="20"/>
        </w:rPr>
        <w:t xml:space="preserve">eine </w:t>
      </w:r>
      <w:r w:rsidRPr="00BE5876">
        <w:rPr>
          <w:rFonts w:ascii="Arial" w:hAnsi="Arial" w:cs="Arial"/>
          <w:sz w:val="20"/>
          <w:szCs w:val="20"/>
        </w:rPr>
        <w:t>Verkaufsfläche innen von mehr als 7500 Quadratmetern (2015: 27 Prozent). Jeder zehnte Markt (11 Prozent) weist Flächen jenseits der 10.000 Quadratmeter aus. Kleinere Märkte zwischen 1000 und 5000 Quadratmeter haben dagegen leicht abgenommen. Ein klassischer deutscher Baumarkt verfügt im Schnitt nun über eine Innen-Verkaufsfläche von 5620 Quadratmetern (2015: 5500).</w:t>
      </w:r>
    </w:p>
    <w:p w:rsidR="00BE5876" w:rsidRPr="00BE5876" w:rsidRDefault="00BE5876" w:rsidP="00060A94">
      <w:pPr>
        <w:spacing w:line="280" w:lineRule="exact"/>
        <w:rPr>
          <w:rFonts w:ascii="Arial" w:hAnsi="Arial" w:cs="Arial"/>
          <w:sz w:val="20"/>
          <w:szCs w:val="20"/>
        </w:rPr>
      </w:pPr>
      <w:r w:rsidRPr="00BE5876">
        <w:rPr>
          <w:rFonts w:ascii="Arial" w:hAnsi="Arial" w:cs="Arial"/>
          <w:sz w:val="20"/>
          <w:szCs w:val="20"/>
        </w:rPr>
        <w:lastRenderedPageBreak/>
        <w:t xml:space="preserve">Rechnet man alle Verkaufsflächen innen zusammen steigt die Summe zum Jahresbeginn 2016 um 250.000 Quadratmetern auf knapp über 12 Millionen Quadratmeter (Vorjahr: 11,755 Mio.). Dies entspricht einem Zuwachs von gut zwei Prozent. Damit verfügt der Baumarkthandel in etwa wieder über die Verkaufsfläche vom Beginn des Jahres 2014. </w:t>
      </w:r>
    </w:p>
    <w:p w:rsidR="00BE5876" w:rsidRPr="00042686" w:rsidRDefault="00BE5876" w:rsidP="00060A94">
      <w:pPr>
        <w:spacing w:line="280" w:lineRule="exact"/>
        <w:rPr>
          <w:rFonts w:ascii="Arial" w:hAnsi="Arial" w:cs="Arial"/>
          <w:sz w:val="20"/>
          <w:szCs w:val="20"/>
        </w:rPr>
      </w:pPr>
      <w:r w:rsidRPr="00BE5876">
        <w:rPr>
          <w:rFonts w:ascii="Arial" w:hAnsi="Arial" w:cs="Arial"/>
          <w:sz w:val="20"/>
          <w:szCs w:val="20"/>
        </w:rPr>
        <w:t xml:space="preserve">Die vollständige Analyse erscheint in der Februar-Ausgabe des Branchenmagazins baumarktmanager und im Internet auf </w:t>
      </w:r>
      <w:hyperlink r:id="rId9" w:history="1">
        <w:r w:rsidRPr="00042686">
          <w:rPr>
            <w:rStyle w:val="Hyperlink"/>
            <w:rFonts w:ascii="Arial" w:hAnsi="Arial" w:cs="Arial"/>
            <w:color w:val="auto"/>
            <w:sz w:val="20"/>
            <w:szCs w:val="20"/>
            <w:u w:val="none"/>
          </w:rPr>
          <w:t>www.baumarktmanager.de</w:t>
        </w:r>
      </w:hyperlink>
      <w:r w:rsidRPr="00042686">
        <w:rPr>
          <w:rFonts w:ascii="Arial" w:hAnsi="Arial" w:cs="Arial"/>
          <w:sz w:val="20"/>
          <w:szCs w:val="20"/>
        </w:rPr>
        <w:t>.</w:t>
      </w:r>
    </w:p>
    <w:p w:rsidR="00BE5876" w:rsidRPr="00E004FD" w:rsidRDefault="00BE5876" w:rsidP="00E06136">
      <w:pPr>
        <w:spacing w:line="280" w:lineRule="exact"/>
        <w:rPr>
          <w:rFonts w:ascii="Arial" w:hAnsi="Arial" w:cs="Arial"/>
          <w:b/>
          <w:sz w:val="20"/>
          <w:szCs w:val="20"/>
        </w:rPr>
      </w:pPr>
      <w:r w:rsidRPr="00E004FD">
        <w:rPr>
          <w:rFonts w:ascii="Arial" w:hAnsi="Arial" w:cs="Arial"/>
          <w:b/>
          <w:sz w:val="20"/>
          <w:szCs w:val="20"/>
        </w:rPr>
        <w:t>Entwicklung der Anzahl der Bau- und Heimwerkermärkte in Deutschland</w:t>
      </w:r>
    </w:p>
    <w:tbl>
      <w:tblPr>
        <w:tblStyle w:val="Tabellenraster"/>
        <w:tblW w:w="0" w:type="auto"/>
        <w:tblLook w:val="04A0" w:firstRow="1" w:lastRow="0" w:firstColumn="1" w:lastColumn="0" w:noHBand="0" w:noVBand="1"/>
      </w:tblPr>
      <w:tblGrid>
        <w:gridCol w:w="2369"/>
        <w:gridCol w:w="2409"/>
        <w:gridCol w:w="2694"/>
      </w:tblGrid>
      <w:tr w:rsidR="00BE5876" w:rsidRPr="008832E6" w:rsidTr="00A32B02">
        <w:trPr>
          <w:trHeight w:val="283"/>
        </w:trPr>
        <w:tc>
          <w:tcPr>
            <w:tcW w:w="3070" w:type="dxa"/>
          </w:tcPr>
          <w:p w:rsidR="00BE5876" w:rsidRPr="00BE5876" w:rsidRDefault="00BE5876" w:rsidP="004321D4">
            <w:pPr>
              <w:spacing w:after="0"/>
              <w:rPr>
                <w:b/>
              </w:rPr>
            </w:pPr>
            <w:r w:rsidRPr="00BE5876">
              <w:rPr>
                <w:b/>
              </w:rPr>
              <w:t>Jahr*</w:t>
            </w:r>
          </w:p>
        </w:tc>
        <w:tc>
          <w:tcPr>
            <w:tcW w:w="3071" w:type="dxa"/>
          </w:tcPr>
          <w:p w:rsidR="00BE5876" w:rsidRPr="00BE5876" w:rsidRDefault="00BE5876" w:rsidP="004321D4">
            <w:pPr>
              <w:spacing w:after="0"/>
              <w:rPr>
                <w:b/>
              </w:rPr>
            </w:pPr>
            <w:r w:rsidRPr="00BE5876">
              <w:rPr>
                <w:b/>
              </w:rPr>
              <w:t>Anzahl</w:t>
            </w:r>
          </w:p>
        </w:tc>
        <w:tc>
          <w:tcPr>
            <w:tcW w:w="3071" w:type="dxa"/>
          </w:tcPr>
          <w:p w:rsidR="00BE5876" w:rsidRPr="00BE5876" w:rsidRDefault="00BE5876" w:rsidP="004321D4">
            <w:pPr>
              <w:spacing w:after="0"/>
              <w:rPr>
                <w:b/>
              </w:rPr>
            </w:pPr>
            <w:r w:rsidRPr="00BE5876">
              <w:rPr>
                <w:b/>
              </w:rPr>
              <w:t>Verkaufsfläche**</w:t>
            </w:r>
          </w:p>
        </w:tc>
      </w:tr>
      <w:tr w:rsidR="00BE5876" w:rsidRPr="008832E6" w:rsidTr="00A32B02">
        <w:trPr>
          <w:trHeight w:val="283"/>
        </w:trPr>
        <w:tc>
          <w:tcPr>
            <w:tcW w:w="3070" w:type="dxa"/>
          </w:tcPr>
          <w:p w:rsidR="00BE5876" w:rsidRPr="008832E6" w:rsidRDefault="00BE5876" w:rsidP="004321D4">
            <w:pPr>
              <w:spacing w:after="0"/>
            </w:pPr>
            <w:r w:rsidRPr="008832E6">
              <w:t>1986</w:t>
            </w:r>
          </w:p>
        </w:tc>
        <w:tc>
          <w:tcPr>
            <w:tcW w:w="3071" w:type="dxa"/>
          </w:tcPr>
          <w:p w:rsidR="00BE5876" w:rsidRPr="008832E6" w:rsidRDefault="00BE5876" w:rsidP="004321D4">
            <w:pPr>
              <w:spacing w:after="0"/>
            </w:pPr>
            <w:r w:rsidRPr="008832E6">
              <w:t>1075</w:t>
            </w:r>
          </w:p>
        </w:tc>
        <w:tc>
          <w:tcPr>
            <w:tcW w:w="3071" w:type="dxa"/>
          </w:tcPr>
          <w:p w:rsidR="00BE5876" w:rsidRPr="008832E6" w:rsidRDefault="00BE5876" w:rsidP="004321D4">
            <w:pPr>
              <w:tabs>
                <w:tab w:val="center" w:pos="1239"/>
              </w:tabs>
              <w:spacing w:after="0"/>
            </w:pPr>
            <w:r w:rsidRPr="008832E6">
              <w:t>2,075</w:t>
            </w:r>
            <w:r w:rsidR="006247E7">
              <w:tab/>
            </w:r>
          </w:p>
        </w:tc>
      </w:tr>
      <w:tr w:rsidR="00BE5876" w:rsidRPr="008832E6" w:rsidTr="00A32B02">
        <w:trPr>
          <w:trHeight w:val="283"/>
        </w:trPr>
        <w:tc>
          <w:tcPr>
            <w:tcW w:w="3070" w:type="dxa"/>
          </w:tcPr>
          <w:p w:rsidR="00BE5876" w:rsidRPr="008832E6" w:rsidRDefault="00BE5876" w:rsidP="004321D4">
            <w:pPr>
              <w:spacing w:after="0"/>
            </w:pPr>
            <w:r w:rsidRPr="008832E6">
              <w:t>1996</w:t>
            </w:r>
          </w:p>
        </w:tc>
        <w:tc>
          <w:tcPr>
            <w:tcW w:w="3071" w:type="dxa"/>
          </w:tcPr>
          <w:p w:rsidR="00BE5876" w:rsidRPr="008832E6" w:rsidRDefault="00BE5876" w:rsidP="004321D4">
            <w:pPr>
              <w:spacing w:after="0"/>
            </w:pPr>
            <w:r w:rsidRPr="008832E6">
              <w:t>2450</w:t>
            </w:r>
          </w:p>
        </w:tc>
        <w:tc>
          <w:tcPr>
            <w:tcW w:w="3071" w:type="dxa"/>
          </w:tcPr>
          <w:p w:rsidR="00BE5876" w:rsidRPr="008832E6" w:rsidRDefault="00BE5876" w:rsidP="004321D4">
            <w:pPr>
              <w:spacing w:after="0"/>
            </w:pPr>
            <w:r w:rsidRPr="008832E6">
              <w:t>8,224</w:t>
            </w:r>
          </w:p>
        </w:tc>
      </w:tr>
      <w:tr w:rsidR="00BE5876" w:rsidRPr="008832E6" w:rsidTr="00A32B02">
        <w:trPr>
          <w:trHeight w:val="283"/>
        </w:trPr>
        <w:tc>
          <w:tcPr>
            <w:tcW w:w="3070" w:type="dxa"/>
          </w:tcPr>
          <w:p w:rsidR="00BE5876" w:rsidRPr="008832E6" w:rsidRDefault="00BE5876" w:rsidP="004321D4">
            <w:pPr>
              <w:spacing w:after="0"/>
            </w:pPr>
            <w:r w:rsidRPr="008832E6">
              <w:t>2001</w:t>
            </w:r>
          </w:p>
        </w:tc>
        <w:tc>
          <w:tcPr>
            <w:tcW w:w="3071" w:type="dxa"/>
          </w:tcPr>
          <w:p w:rsidR="00BE5876" w:rsidRPr="008832E6" w:rsidRDefault="00BE5876" w:rsidP="004321D4">
            <w:pPr>
              <w:spacing w:after="0"/>
            </w:pPr>
            <w:r w:rsidRPr="008832E6">
              <w:t>2609</w:t>
            </w:r>
          </w:p>
        </w:tc>
        <w:tc>
          <w:tcPr>
            <w:tcW w:w="3071" w:type="dxa"/>
          </w:tcPr>
          <w:p w:rsidR="00BE5876" w:rsidRPr="008832E6" w:rsidRDefault="00BE5876" w:rsidP="004321D4">
            <w:pPr>
              <w:tabs>
                <w:tab w:val="center" w:pos="1239"/>
              </w:tabs>
              <w:spacing w:after="0"/>
            </w:pPr>
            <w:r w:rsidRPr="008832E6">
              <w:t>11,038</w:t>
            </w:r>
            <w:r w:rsidR="006247E7">
              <w:tab/>
            </w:r>
          </w:p>
        </w:tc>
      </w:tr>
      <w:tr w:rsidR="00BE5876" w:rsidRPr="008832E6" w:rsidTr="00A32B02">
        <w:trPr>
          <w:trHeight w:val="283"/>
        </w:trPr>
        <w:tc>
          <w:tcPr>
            <w:tcW w:w="3070" w:type="dxa"/>
          </w:tcPr>
          <w:p w:rsidR="00BE5876" w:rsidRPr="008832E6" w:rsidRDefault="00BE5876" w:rsidP="004321D4">
            <w:pPr>
              <w:spacing w:after="0"/>
            </w:pPr>
            <w:r w:rsidRPr="008832E6">
              <w:t>2012</w:t>
            </w:r>
          </w:p>
        </w:tc>
        <w:tc>
          <w:tcPr>
            <w:tcW w:w="3071" w:type="dxa"/>
          </w:tcPr>
          <w:p w:rsidR="00BE5876" w:rsidRPr="008832E6" w:rsidRDefault="00BE5876" w:rsidP="004321D4">
            <w:pPr>
              <w:spacing w:after="0"/>
            </w:pPr>
            <w:r w:rsidRPr="008832E6">
              <w:t>2381</w:t>
            </w:r>
          </w:p>
        </w:tc>
        <w:tc>
          <w:tcPr>
            <w:tcW w:w="3071" w:type="dxa"/>
          </w:tcPr>
          <w:p w:rsidR="00BE5876" w:rsidRPr="008832E6" w:rsidRDefault="00BE5876" w:rsidP="004321D4">
            <w:pPr>
              <w:spacing w:after="0"/>
            </w:pPr>
            <w:r w:rsidRPr="008832E6">
              <w:t>12,771</w:t>
            </w:r>
          </w:p>
        </w:tc>
      </w:tr>
      <w:tr w:rsidR="00BE5876" w:rsidRPr="008832E6" w:rsidTr="00A32B02">
        <w:trPr>
          <w:trHeight w:val="283"/>
        </w:trPr>
        <w:tc>
          <w:tcPr>
            <w:tcW w:w="3070" w:type="dxa"/>
          </w:tcPr>
          <w:p w:rsidR="00BE5876" w:rsidRPr="008832E6" w:rsidRDefault="00BE5876" w:rsidP="004321D4">
            <w:pPr>
              <w:spacing w:after="0"/>
            </w:pPr>
            <w:r w:rsidRPr="008832E6">
              <w:t>2013</w:t>
            </w:r>
          </w:p>
        </w:tc>
        <w:tc>
          <w:tcPr>
            <w:tcW w:w="3071" w:type="dxa"/>
          </w:tcPr>
          <w:p w:rsidR="00BE5876" w:rsidRPr="008832E6" w:rsidRDefault="00BE5876" w:rsidP="004321D4">
            <w:pPr>
              <w:spacing w:after="0"/>
            </w:pPr>
            <w:r w:rsidRPr="008832E6">
              <w:t>2380</w:t>
            </w:r>
          </w:p>
        </w:tc>
        <w:tc>
          <w:tcPr>
            <w:tcW w:w="3071" w:type="dxa"/>
          </w:tcPr>
          <w:p w:rsidR="00BE5876" w:rsidRPr="008832E6" w:rsidRDefault="00BE5876" w:rsidP="004321D4">
            <w:pPr>
              <w:spacing w:after="0"/>
            </w:pPr>
            <w:r w:rsidRPr="008832E6">
              <w:t>12,927</w:t>
            </w:r>
          </w:p>
        </w:tc>
      </w:tr>
      <w:tr w:rsidR="00BE5876" w:rsidRPr="008832E6" w:rsidTr="00A32B02">
        <w:trPr>
          <w:trHeight w:val="283"/>
        </w:trPr>
        <w:tc>
          <w:tcPr>
            <w:tcW w:w="3070" w:type="dxa"/>
          </w:tcPr>
          <w:p w:rsidR="00BE5876" w:rsidRPr="008832E6" w:rsidRDefault="00BE5876" w:rsidP="004321D4">
            <w:pPr>
              <w:spacing w:after="0"/>
            </w:pPr>
            <w:r w:rsidRPr="008832E6">
              <w:t>2014</w:t>
            </w:r>
          </w:p>
        </w:tc>
        <w:tc>
          <w:tcPr>
            <w:tcW w:w="3071" w:type="dxa"/>
          </w:tcPr>
          <w:p w:rsidR="00BE5876" w:rsidRPr="008832E6" w:rsidRDefault="00BE5876" w:rsidP="004321D4">
            <w:pPr>
              <w:spacing w:after="0"/>
            </w:pPr>
            <w:r w:rsidRPr="008832E6">
              <w:t>2198</w:t>
            </w:r>
          </w:p>
        </w:tc>
        <w:tc>
          <w:tcPr>
            <w:tcW w:w="3071" w:type="dxa"/>
          </w:tcPr>
          <w:p w:rsidR="00BE5876" w:rsidRPr="008832E6" w:rsidRDefault="00BE5876" w:rsidP="004321D4">
            <w:pPr>
              <w:spacing w:after="0"/>
            </w:pPr>
            <w:r w:rsidRPr="008832E6">
              <w:t>12,017</w:t>
            </w:r>
          </w:p>
        </w:tc>
      </w:tr>
      <w:tr w:rsidR="00BE5876" w:rsidRPr="008832E6" w:rsidTr="00A32B02">
        <w:trPr>
          <w:trHeight w:val="283"/>
        </w:trPr>
        <w:tc>
          <w:tcPr>
            <w:tcW w:w="3070" w:type="dxa"/>
          </w:tcPr>
          <w:p w:rsidR="00BE5876" w:rsidRPr="008832E6" w:rsidRDefault="00BE5876" w:rsidP="004321D4">
            <w:pPr>
              <w:spacing w:after="0"/>
            </w:pPr>
            <w:r w:rsidRPr="008832E6">
              <w:t>2015</w:t>
            </w:r>
          </w:p>
        </w:tc>
        <w:tc>
          <w:tcPr>
            <w:tcW w:w="3071" w:type="dxa"/>
          </w:tcPr>
          <w:p w:rsidR="00BE5876" w:rsidRPr="008832E6" w:rsidRDefault="00BE5876" w:rsidP="004321D4">
            <w:pPr>
              <w:spacing w:after="0"/>
            </w:pPr>
            <w:r w:rsidRPr="008832E6">
              <w:t>2118</w:t>
            </w:r>
          </w:p>
        </w:tc>
        <w:tc>
          <w:tcPr>
            <w:tcW w:w="3071" w:type="dxa"/>
          </w:tcPr>
          <w:p w:rsidR="00BE5876" w:rsidRPr="008832E6" w:rsidRDefault="00BE5876" w:rsidP="004321D4">
            <w:pPr>
              <w:spacing w:after="0"/>
            </w:pPr>
            <w:r w:rsidRPr="008832E6">
              <w:t>11,754</w:t>
            </w:r>
          </w:p>
        </w:tc>
      </w:tr>
      <w:tr w:rsidR="00BE5876" w:rsidRPr="008832E6" w:rsidTr="00A32B02">
        <w:trPr>
          <w:trHeight w:val="283"/>
        </w:trPr>
        <w:tc>
          <w:tcPr>
            <w:tcW w:w="3070" w:type="dxa"/>
          </w:tcPr>
          <w:p w:rsidR="00BE5876" w:rsidRPr="008832E6" w:rsidRDefault="00BE5876" w:rsidP="004321D4">
            <w:pPr>
              <w:spacing w:after="0"/>
            </w:pPr>
            <w:r w:rsidRPr="008832E6">
              <w:t>2016</w:t>
            </w:r>
          </w:p>
        </w:tc>
        <w:tc>
          <w:tcPr>
            <w:tcW w:w="3071" w:type="dxa"/>
          </w:tcPr>
          <w:p w:rsidR="00BE5876" w:rsidRPr="008832E6" w:rsidRDefault="00BE5876" w:rsidP="004321D4">
            <w:pPr>
              <w:spacing w:after="0"/>
            </w:pPr>
            <w:r w:rsidRPr="008832E6">
              <w:t>2134</w:t>
            </w:r>
          </w:p>
        </w:tc>
        <w:tc>
          <w:tcPr>
            <w:tcW w:w="3071" w:type="dxa"/>
          </w:tcPr>
          <w:p w:rsidR="00BE5876" w:rsidRPr="006247E7" w:rsidRDefault="00BE5876" w:rsidP="004321D4">
            <w:pPr>
              <w:spacing w:after="0"/>
              <w:rPr>
                <w:rStyle w:val="Fett"/>
              </w:rPr>
            </w:pPr>
            <w:r w:rsidRPr="008832E6">
              <w:t>12,001</w:t>
            </w:r>
          </w:p>
        </w:tc>
      </w:tr>
    </w:tbl>
    <w:p w:rsidR="00BE5876" w:rsidRPr="008832E6" w:rsidRDefault="00D23258" w:rsidP="004321D4">
      <w:pPr>
        <w:spacing w:line="240" w:lineRule="exact"/>
        <w:ind w:left="357"/>
      </w:pPr>
      <w:r>
        <w:t>*jeweils zum 1.1. des Jahres;</w:t>
      </w:r>
      <w:r w:rsidR="00BE5876" w:rsidRPr="008832E6">
        <w:t xml:space="preserve"> </w:t>
      </w:r>
      <w:r w:rsidR="00CB068E">
        <w:br/>
      </w:r>
      <w:r w:rsidR="00BE5876" w:rsidRPr="008832E6">
        <w:t>**</w:t>
      </w:r>
      <w:r w:rsidR="00BE5876">
        <w:t xml:space="preserve">innen, </w:t>
      </w:r>
      <w:r w:rsidR="00BE5876" w:rsidRPr="008832E6">
        <w:t>in Mio. qm</w:t>
      </w:r>
      <w:r w:rsidR="00BE5876">
        <w:t>, für Baumärkte ab 1000 qm Verkaufsfläche innen</w:t>
      </w:r>
      <w:r w:rsidR="00BE5876" w:rsidRPr="008832E6">
        <w:t>; Quelle: baumarktmanager (Köln)/gemaba (Lev</w:t>
      </w:r>
      <w:r w:rsidR="006D34D9">
        <w:t>erkusen</w:t>
      </w:r>
      <w:r w:rsidR="00BE5876" w:rsidRPr="008832E6">
        <w:t>-Hitdorf)</w:t>
      </w:r>
    </w:p>
    <w:p w:rsidR="006F452F" w:rsidRPr="002E2FBB" w:rsidRDefault="006F452F" w:rsidP="004321D4">
      <w:pPr>
        <w:spacing w:line="240" w:lineRule="auto"/>
        <w:rPr>
          <w:sz w:val="20"/>
          <w:szCs w:val="20"/>
        </w:rPr>
      </w:pPr>
      <w:r w:rsidRPr="002E2FBB">
        <w:rPr>
          <w:sz w:val="20"/>
          <w:szCs w:val="20"/>
        </w:rPr>
        <w:t>Kontakt: Holger Externbrink, Geschäftsführung Verlag Siegfried Rohn,</w:t>
      </w:r>
      <w:r w:rsidRPr="002E2FBB">
        <w:rPr>
          <w:sz w:val="20"/>
          <w:szCs w:val="20"/>
        </w:rPr>
        <w:br/>
        <w:t xml:space="preserve">Telefon: 0221-5497-328, E-Mail: </w:t>
      </w:r>
      <w:hyperlink r:id="rId10" w:history="1">
        <w:r w:rsidRPr="002E2FBB">
          <w:rPr>
            <w:sz w:val="20"/>
            <w:szCs w:val="20"/>
          </w:rPr>
          <w:t>h.externbrink@rohn.de</w:t>
        </w:r>
      </w:hyperlink>
      <w:r w:rsidR="00DD5ECD">
        <w:rPr>
          <w:sz w:val="20"/>
          <w:szCs w:val="20"/>
        </w:rPr>
        <w:t>.</w:t>
      </w:r>
    </w:p>
    <w:p w:rsidR="00BE5876" w:rsidRPr="004321D4" w:rsidRDefault="00BE5876" w:rsidP="004321D4">
      <w:pPr>
        <w:spacing w:line="240" w:lineRule="auto"/>
        <w:rPr>
          <w:sz w:val="20"/>
          <w:szCs w:val="20"/>
        </w:rPr>
      </w:pPr>
      <w:r w:rsidRPr="003432A7">
        <w:rPr>
          <w:sz w:val="20"/>
          <w:szCs w:val="20"/>
        </w:rPr>
        <w:t xml:space="preserve">baumarktmanager ist das führende Entscheidermagazin der Baumarktbranche </w:t>
      </w:r>
      <w:r w:rsidR="004F6650">
        <w:rPr>
          <w:sz w:val="20"/>
          <w:szCs w:val="20"/>
        </w:rPr>
        <w:t>–</w:t>
      </w:r>
      <w:r w:rsidRPr="003432A7">
        <w:rPr>
          <w:sz w:val="20"/>
          <w:szCs w:val="20"/>
        </w:rPr>
        <w:t xml:space="preserve"> print, online, mobile. Die Publikationen lesen Geschäftsführer und Manager von Handelskonzernen der Bereiche Bau/Baustoffe, Heimwerken, Garten, der DIY-Lieferanten und -Dienstleister sowie selbständige und angestellte Marktleiter. Sie informieren sich im gedruckten und digitalen Monatsmagazin in exklusiv recherchierten Nutzwerttexten und Reportagen über Trends im stationären wie elektronischen Handel, Führung von Märkten, Sortimentsinnovationen der Hersteller. In Internet und Apps finden Nutzer täglich alle branchenrelevanten News zeitnah und exklusiv sowie Marktübersichten zu DIY-relevanten Sortimenten. Die Auflage beträgt 6.500 Exemplare, die Onlinereichweite 48.000 PIs (IVW, 11/2015</w:t>
      </w:r>
      <w:r>
        <w:rPr>
          <w:sz w:val="20"/>
          <w:szCs w:val="20"/>
        </w:rPr>
        <w:t>).</w:t>
      </w:r>
    </w:p>
    <w:sectPr w:rsidR="00BE5876" w:rsidRPr="004321D4" w:rsidSect="004321D4">
      <w:headerReference w:type="default" r:id="rId11"/>
      <w:footerReference w:type="default" r:id="rId12"/>
      <w:headerReference w:type="first" r:id="rId13"/>
      <w:footerReference w:type="first" r:id="rId14"/>
      <w:pgSz w:w="11906" w:h="16838" w:code="9"/>
      <w:pgMar w:top="1985" w:right="3119" w:bottom="1985"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06" w:rsidRDefault="00663A06">
      <w:r>
        <w:separator/>
      </w:r>
    </w:p>
  </w:endnote>
  <w:endnote w:type="continuationSeparator" w:id="0">
    <w:p w:rsidR="00663A06" w:rsidRDefault="0066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Pro-MediumCn">
    <w:panose1 w:val="00000000000000000000"/>
    <w:charset w:val="00"/>
    <w:family w:val="auto"/>
    <w:notTrueType/>
    <w:pitch w:val="default"/>
    <w:sig w:usb0="00000003" w:usb1="00000000" w:usb2="00000000" w:usb3="00000000" w:csb0="00000001" w:csb1="00000000"/>
  </w:font>
  <w:font w:name="TheSans-B5Plai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06" w:rsidRDefault="00663A06">
      <w:r>
        <w:separator/>
      </w:r>
    </w:p>
  </w:footnote>
  <w:footnote w:type="continuationSeparator" w:id="0">
    <w:p w:rsidR="00663A06" w:rsidRDefault="00663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663A06">
      <w:rPr>
        <w:sz w:val="20"/>
        <w:szCs w:val="20"/>
      </w:rPr>
      <w:instrText>@OhneErsteSeite@2101</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6D34D9" w:rsidRDefault="00CD641C" w:rsidP="005D1F20">
    <w:pPr>
      <w:pStyle w:val="Kopfzeile"/>
      <w:tabs>
        <w:tab w:val="left" w:pos="0"/>
      </w:tabs>
      <w:rPr>
        <w:rStyle w:val="Seitenzahl"/>
        <w:rFonts w:ascii="Arial" w:hAnsi="Arial" w:cs="Arial"/>
        <w:sz w:val="20"/>
        <w:szCs w:val="20"/>
      </w:rPr>
    </w:pPr>
    <w:r w:rsidRPr="00D55CEE">
      <w:rPr>
        <w:rStyle w:val="Seitenzahl"/>
        <w:rFonts w:ascii="Arial" w:hAnsi="Arial" w:cs="Arial"/>
        <w:sz w:val="20"/>
        <w:szCs w:val="20"/>
      </w:rPr>
      <w:fldChar w:fldCharType="begin"/>
    </w:r>
    <w:r w:rsidRPr="00D55CEE">
      <w:rPr>
        <w:rStyle w:val="Seitenzahl"/>
        <w:rFonts w:ascii="Arial" w:hAnsi="Arial" w:cs="Arial"/>
        <w:sz w:val="20"/>
        <w:szCs w:val="20"/>
      </w:rPr>
      <w:instrText xml:space="preserve"> PAGE </w:instrText>
    </w:r>
    <w:r w:rsidRPr="00D55CEE">
      <w:rPr>
        <w:rStyle w:val="Seitenzahl"/>
        <w:rFonts w:ascii="Arial" w:hAnsi="Arial" w:cs="Arial"/>
        <w:sz w:val="20"/>
        <w:szCs w:val="20"/>
      </w:rPr>
      <w:fldChar w:fldCharType="separate"/>
    </w:r>
    <w:r w:rsidR="008C7E94">
      <w:rPr>
        <w:rStyle w:val="Seitenzahl"/>
        <w:rFonts w:ascii="Arial" w:hAnsi="Arial" w:cs="Arial"/>
        <w:noProof/>
        <w:sz w:val="20"/>
        <w:szCs w:val="20"/>
      </w:rPr>
      <w:t>2</w:t>
    </w:r>
    <w:r w:rsidRPr="00D55CEE">
      <w:rPr>
        <w:rStyle w:val="Seitenzahl"/>
        <w:rFonts w:ascii="Arial" w:hAnsi="Arial" w:cs="Arial"/>
        <w:sz w:val="20"/>
        <w:szCs w:val="20"/>
      </w:rPr>
      <w:fldChar w:fldCharType="end"/>
    </w:r>
    <w:bookmarkStart w:id="3" w:name="DatumFolgeSeite"/>
    <w:bookmarkEnd w:id="2"/>
    <w:r w:rsidR="006D34D9">
      <w:rPr>
        <w:rStyle w:val="Seitenzahl"/>
        <w:rFonts w:ascii="Arial" w:hAnsi="Arial" w:cs="Arial"/>
        <w:sz w:val="20"/>
        <w:szCs w:val="20"/>
      </w:rPr>
      <w:br/>
    </w:r>
    <w:r w:rsidRPr="00D55CEE">
      <w:rPr>
        <w:rStyle w:val="Seitenzahl"/>
        <w:rFonts w:ascii="Arial" w:hAnsi="Arial" w:cs="Arial"/>
        <w:sz w:val="20"/>
        <w:szCs w:val="20"/>
      </w:rPr>
      <w:fldChar w:fldCharType="begin"/>
    </w:r>
    <w:r w:rsidRPr="00D55CEE">
      <w:rPr>
        <w:rStyle w:val="Seitenzahl"/>
        <w:rFonts w:ascii="Arial" w:hAnsi="Arial" w:cs="Arial"/>
        <w:sz w:val="20"/>
        <w:szCs w:val="20"/>
      </w:rPr>
      <w:instrText xml:space="preserve"> DATE  \@ "d. MMMM yyyy" </w:instrText>
    </w:r>
    <w:r w:rsidRPr="00D55CEE">
      <w:rPr>
        <w:rStyle w:val="Seitenzahl"/>
        <w:rFonts w:ascii="Arial" w:hAnsi="Arial" w:cs="Arial"/>
        <w:sz w:val="20"/>
        <w:szCs w:val="20"/>
      </w:rPr>
      <w:fldChar w:fldCharType="separate"/>
    </w:r>
    <w:r w:rsidR="008C7E94">
      <w:rPr>
        <w:rStyle w:val="Seitenzahl"/>
        <w:rFonts w:ascii="Arial" w:hAnsi="Arial" w:cs="Arial"/>
        <w:noProof/>
        <w:sz w:val="20"/>
        <w:szCs w:val="20"/>
      </w:rPr>
      <w:t>9. Februar 2016</w:t>
    </w:r>
    <w:r w:rsidRPr="00D55CEE">
      <w:rPr>
        <w:rStyle w:val="Seitenzahl"/>
        <w:rFonts w:ascii="Arial" w:hAnsi="Arial" w:cs="Aria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5" w:name="AusgabeArt"/>
    <w:r w:rsidR="00663A06">
      <w:rPr>
        <w:sz w:val="20"/>
        <w:szCs w:val="20"/>
      </w:rPr>
      <w:instrText>@Ausgabeart@1</w:instrText>
    </w:r>
    <w:bookmarkEnd w:id="5"/>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6" w:name="PrintCode1"/>
    <w:r w:rsidR="00663A06">
      <w:rPr>
        <w:sz w:val="20"/>
        <w:szCs w:val="20"/>
      </w:rPr>
      <w:instrText>@ErsteSeite@2018</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7" w:name="PrintCode2"/>
    <w:r w:rsidR="00663A06">
      <w:rPr>
        <w:sz w:val="20"/>
        <w:szCs w:val="20"/>
      </w:rPr>
      <w:instrText>@FolgeSeiten@2101</w:instrText>
    </w:r>
    <w:bookmarkEnd w:id="7"/>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478"/>
    <w:multiLevelType w:val="hybridMultilevel"/>
    <w:tmpl w:val="38DCD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CB00EB0"/>
    <w:multiLevelType w:val="hybridMultilevel"/>
    <w:tmpl w:val="119627DE"/>
    <w:lvl w:ilvl="0" w:tplc="DB0AC598">
      <w:numFmt w:val="bullet"/>
      <w:lvlText w:val="-"/>
      <w:lvlJc w:val="left"/>
      <w:pPr>
        <w:ind w:left="720" w:hanging="360"/>
      </w:pPr>
      <w:rPr>
        <w:rFonts w:ascii="Cambria" w:eastAsiaTheme="minorHAnsi" w:hAnsi="Cambria" w:cs="MinionPro-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06"/>
    <w:rsid w:val="00002E96"/>
    <w:rsid w:val="00004D6A"/>
    <w:rsid w:val="000300D7"/>
    <w:rsid w:val="00030E40"/>
    <w:rsid w:val="00036EA0"/>
    <w:rsid w:val="00042686"/>
    <w:rsid w:val="00043C76"/>
    <w:rsid w:val="00057623"/>
    <w:rsid w:val="00060A94"/>
    <w:rsid w:val="00062A1D"/>
    <w:rsid w:val="00062F0D"/>
    <w:rsid w:val="00063805"/>
    <w:rsid w:val="00071DFA"/>
    <w:rsid w:val="000855CC"/>
    <w:rsid w:val="00087E2C"/>
    <w:rsid w:val="00092ADE"/>
    <w:rsid w:val="0009794B"/>
    <w:rsid w:val="000A3F3A"/>
    <w:rsid w:val="000A5500"/>
    <w:rsid w:val="000A642A"/>
    <w:rsid w:val="000B4790"/>
    <w:rsid w:val="000C5459"/>
    <w:rsid w:val="000C696C"/>
    <w:rsid w:val="000F6438"/>
    <w:rsid w:val="000F6BF1"/>
    <w:rsid w:val="00112C42"/>
    <w:rsid w:val="00115E63"/>
    <w:rsid w:val="00126C4F"/>
    <w:rsid w:val="0012797F"/>
    <w:rsid w:val="00152B62"/>
    <w:rsid w:val="00167FCF"/>
    <w:rsid w:val="001727BF"/>
    <w:rsid w:val="00172EFC"/>
    <w:rsid w:val="001752A0"/>
    <w:rsid w:val="00183C64"/>
    <w:rsid w:val="00183F3F"/>
    <w:rsid w:val="00186A36"/>
    <w:rsid w:val="00186F00"/>
    <w:rsid w:val="00187764"/>
    <w:rsid w:val="00193CBE"/>
    <w:rsid w:val="00194E54"/>
    <w:rsid w:val="001A6FB0"/>
    <w:rsid w:val="001C5F81"/>
    <w:rsid w:val="001C6F23"/>
    <w:rsid w:val="001D508E"/>
    <w:rsid w:val="001E0B69"/>
    <w:rsid w:val="001E3055"/>
    <w:rsid w:val="001F3D8B"/>
    <w:rsid w:val="001F3EC3"/>
    <w:rsid w:val="001F57F2"/>
    <w:rsid w:val="00200047"/>
    <w:rsid w:val="00204574"/>
    <w:rsid w:val="00214521"/>
    <w:rsid w:val="0021464A"/>
    <w:rsid w:val="002254F4"/>
    <w:rsid w:val="00231913"/>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2FBB"/>
    <w:rsid w:val="002E533C"/>
    <w:rsid w:val="002E6313"/>
    <w:rsid w:val="00306B8D"/>
    <w:rsid w:val="00310D69"/>
    <w:rsid w:val="00336EFF"/>
    <w:rsid w:val="00346DAC"/>
    <w:rsid w:val="00354AA1"/>
    <w:rsid w:val="003565A6"/>
    <w:rsid w:val="003640FE"/>
    <w:rsid w:val="00367D33"/>
    <w:rsid w:val="00375158"/>
    <w:rsid w:val="00376AC3"/>
    <w:rsid w:val="00386BCA"/>
    <w:rsid w:val="00393947"/>
    <w:rsid w:val="003A5068"/>
    <w:rsid w:val="003A7276"/>
    <w:rsid w:val="003A773F"/>
    <w:rsid w:val="003C1F13"/>
    <w:rsid w:val="003C374B"/>
    <w:rsid w:val="003C6890"/>
    <w:rsid w:val="003D7740"/>
    <w:rsid w:val="003E2265"/>
    <w:rsid w:val="003F2F81"/>
    <w:rsid w:val="00412F17"/>
    <w:rsid w:val="0042793A"/>
    <w:rsid w:val="004321D4"/>
    <w:rsid w:val="0043435B"/>
    <w:rsid w:val="00491E1F"/>
    <w:rsid w:val="004C0EF8"/>
    <w:rsid w:val="004D0735"/>
    <w:rsid w:val="004D1764"/>
    <w:rsid w:val="004E05E6"/>
    <w:rsid w:val="004E408A"/>
    <w:rsid w:val="004F6650"/>
    <w:rsid w:val="00506FD3"/>
    <w:rsid w:val="00517005"/>
    <w:rsid w:val="005469B0"/>
    <w:rsid w:val="00547163"/>
    <w:rsid w:val="00550631"/>
    <w:rsid w:val="00567576"/>
    <w:rsid w:val="00570498"/>
    <w:rsid w:val="005747B8"/>
    <w:rsid w:val="005826E2"/>
    <w:rsid w:val="005A54E5"/>
    <w:rsid w:val="005A7821"/>
    <w:rsid w:val="005B7AEB"/>
    <w:rsid w:val="005C1A82"/>
    <w:rsid w:val="005D1F20"/>
    <w:rsid w:val="005D6B76"/>
    <w:rsid w:val="005E1B1A"/>
    <w:rsid w:val="005F62CD"/>
    <w:rsid w:val="005F6E9F"/>
    <w:rsid w:val="006068D8"/>
    <w:rsid w:val="00621DEC"/>
    <w:rsid w:val="006247E7"/>
    <w:rsid w:val="00635601"/>
    <w:rsid w:val="0065651E"/>
    <w:rsid w:val="00663A06"/>
    <w:rsid w:val="00664272"/>
    <w:rsid w:val="00670744"/>
    <w:rsid w:val="00672395"/>
    <w:rsid w:val="0068297B"/>
    <w:rsid w:val="0068625E"/>
    <w:rsid w:val="006C22BC"/>
    <w:rsid w:val="006C293A"/>
    <w:rsid w:val="006C503C"/>
    <w:rsid w:val="006D2467"/>
    <w:rsid w:val="006D34D9"/>
    <w:rsid w:val="006F37E8"/>
    <w:rsid w:val="006F452F"/>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C194E"/>
    <w:rsid w:val="007D0A9A"/>
    <w:rsid w:val="007F53D0"/>
    <w:rsid w:val="007F65D2"/>
    <w:rsid w:val="008139B9"/>
    <w:rsid w:val="00817C44"/>
    <w:rsid w:val="0082344B"/>
    <w:rsid w:val="0084341A"/>
    <w:rsid w:val="00896027"/>
    <w:rsid w:val="008B3C13"/>
    <w:rsid w:val="008B5052"/>
    <w:rsid w:val="008B7D3B"/>
    <w:rsid w:val="008C2E3C"/>
    <w:rsid w:val="008C7E94"/>
    <w:rsid w:val="008E2873"/>
    <w:rsid w:val="008E6B07"/>
    <w:rsid w:val="008F088D"/>
    <w:rsid w:val="008F1316"/>
    <w:rsid w:val="008F3E83"/>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32B02"/>
    <w:rsid w:val="00A5354D"/>
    <w:rsid w:val="00A537C1"/>
    <w:rsid w:val="00A61D0E"/>
    <w:rsid w:val="00A77551"/>
    <w:rsid w:val="00A8534E"/>
    <w:rsid w:val="00A862EF"/>
    <w:rsid w:val="00A86773"/>
    <w:rsid w:val="00AA04AB"/>
    <w:rsid w:val="00AA0FB5"/>
    <w:rsid w:val="00AA48EF"/>
    <w:rsid w:val="00AB1756"/>
    <w:rsid w:val="00AB3E77"/>
    <w:rsid w:val="00B25492"/>
    <w:rsid w:val="00B34EA7"/>
    <w:rsid w:val="00B47D6F"/>
    <w:rsid w:val="00B57E64"/>
    <w:rsid w:val="00B62AFE"/>
    <w:rsid w:val="00B70F6F"/>
    <w:rsid w:val="00B7587D"/>
    <w:rsid w:val="00B80925"/>
    <w:rsid w:val="00B82A38"/>
    <w:rsid w:val="00B83BCA"/>
    <w:rsid w:val="00B90739"/>
    <w:rsid w:val="00BA4CD6"/>
    <w:rsid w:val="00BA5AF4"/>
    <w:rsid w:val="00BC3444"/>
    <w:rsid w:val="00BC4CD5"/>
    <w:rsid w:val="00BE5876"/>
    <w:rsid w:val="00BE6EBC"/>
    <w:rsid w:val="00BE6F21"/>
    <w:rsid w:val="00BF0BF7"/>
    <w:rsid w:val="00C014D3"/>
    <w:rsid w:val="00C02720"/>
    <w:rsid w:val="00C34BEE"/>
    <w:rsid w:val="00C45A53"/>
    <w:rsid w:val="00C463B7"/>
    <w:rsid w:val="00C46658"/>
    <w:rsid w:val="00C5103B"/>
    <w:rsid w:val="00C64634"/>
    <w:rsid w:val="00C64DB9"/>
    <w:rsid w:val="00C76364"/>
    <w:rsid w:val="00C837FB"/>
    <w:rsid w:val="00C95AB5"/>
    <w:rsid w:val="00CA0D94"/>
    <w:rsid w:val="00CB068E"/>
    <w:rsid w:val="00CB07CB"/>
    <w:rsid w:val="00CC12BD"/>
    <w:rsid w:val="00CD641C"/>
    <w:rsid w:val="00CF2169"/>
    <w:rsid w:val="00D04046"/>
    <w:rsid w:val="00D23258"/>
    <w:rsid w:val="00D30700"/>
    <w:rsid w:val="00D54509"/>
    <w:rsid w:val="00D55CEE"/>
    <w:rsid w:val="00D65240"/>
    <w:rsid w:val="00D71C09"/>
    <w:rsid w:val="00D87882"/>
    <w:rsid w:val="00D91E06"/>
    <w:rsid w:val="00D9705A"/>
    <w:rsid w:val="00DA7952"/>
    <w:rsid w:val="00DD5ECD"/>
    <w:rsid w:val="00DE736D"/>
    <w:rsid w:val="00E004FD"/>
    <w:rsid w:val="00E01D72"/>
    <w:rsid w:val="00E06136"/>
    <w:rsid w:val="00E1611B"/>
    <w:rsid w:val="00E209CD"/>
    <w:rsid w:val="00E35216"/>
    <w:rsid w:val="00E5370C"/>
    <w:rsid w:val="00E570A1"/>
    <w:rsid w:val="00E603C0"/>
    <w:rsid w:val="00E60574"/>
    <w:rsid w:val="00E6122A"/>
    <w:rsid w:val="00E675C0"/>
    <w:rsid w:val="00E718BA"/>
    <w:rsid w:val="00E73CF5"/>
    <w:rsid w:val="00E73E85"/>
    <w:rsid w:val="00E83240"/>
    <w:rsid w:val="00E945C1"/>
    <w:rsid w:val="00EA0738"/>
    <w:rsid w:val="00EA60B5"/>
    <w:rsid w:val="00EA75F5"/>
    <w:rsid w:val="00EC252C"/>
    <w:rsid w:val="00EC55F2"/>
    <w:rsid w:val="00ED1C78"/>
    <w:rsid w:val="00ED2317"/>
    <w:rsid w:val="00ED4D1B"/>
    <w:rsid w:val="00EE3FF9"/>
    <w:rsid w:val="00EE492F"/>
    <w:rsid w:val="00F04D6D"/>
    <w:rsid w:val="00F056D7"/>
    <w:rsid w:val="00F240BD"/>
    <w:rsid w:val="00F36B5F"/>
    <w:rsid w:val="00F5512D"/>
    <w:rsid w:val="00F62CF1"/>
    <w:rsid w:val="00F667F9"/>
    <w:rsid w:val="00FA5B5E"/>
    <w:rsid w:val="00FA6173"/>
    <w:rsid w:val="00FC02E8"/>
    <w:rsid w:val="00FC1825"/>
    <w:rsid w:val="00FC2425"/>
    <w:rsid w:val="00FE2E4C"/>
    <w:rsid w:val="00FF76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 w:type="table" w:styleId="Tabellenraster">
    <w:name w:val="Table Grid"/>
    <w:basedOn w:val="NormaleTabelle"/>
    <w:uiPriority w:val="59"/>
    <w:rsid w:val="00BE587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qFormat/>
    <w:rsid w:val="006247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 w:type="table" w:styleId="Tabellenraster">
    <w:name w:val="Table Grid"/>
    <w:basedOn w:val="NormaleTabelle"/>
    <w:uiPriority w:val="59"/>
    <w:rsid w:val="00BE587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qFormat/>
    <w:rsid w:val="00624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externbrink@rohn.de" TargetMode="External"/><Relationship Id="rId4" Type="http://schemas.microsoft.com/office/2007/relationships/stylesWithEffects" Target="stylesWithEffects.xml"/><Relationship Id="rId9" Type="http://schemas.openxmlformats.org/officeDocument/2006/relationships/hyperlink" Target="http://www.baumarktmanager.d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D5101-D9BA-4F69-BB55-F3783EAB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RMVorlage_S.dotx</Template>
  <TotalTime>0</TotalTime>
  <Pages>2</Pages>
  <Words>494</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2016-02-09T11:42:00Z</cp:lastPrinted>
  <dcterms:created xsi:type="dcterms:W3CDTF">2016-02-09T12:14:00Z</dcterms:created>
  <dcterms:modified xsi:type="dcterms:W3CDTF">2016-02-09T12:14:00Z</dcterms:modified>
</cp:coreProperties>
</file>