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3BCB3" w14:textId="37A298E1" w:rsidR="00D83C6B" w:rsidRDefault="00FF615E" w:rsidP="00FB4407">
      <w:pPr>
        <w:pStyle w:val="Brdtext"/>
        <w:rPr>
          <w:b/>
          <w:sz w:val="24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3389CF12" wp14:editId="48D9C29A">
            <wp:extent cx="1757724" cy="1022996"/>
            <wp:effectExtent l="0" t="0" r="0" b="5715"/>
            <wp:docPr id="9" name="Bildobjekt 8">
              <a:extLst xmlns:a="http://schemas.openxmlformats.org/drawingml/2006/main">
                <a:ext uri="{FF2B5EF4-FFF2-40B4-BE49-F238E27FC236}">
                  <a16:creationId xmlns:a16="http://schemas.microsoft.com/office/drawing/2014/main" id="{3DE1B978-EE23-6845-97C2-8E255C1122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8">
                      <a:extLst>
                        <a:ext uri="{FF2B5EF4-FFF2-40B4-BE49-F238E27FC236}">
                          <a16:creationId xmlns:a16="http://schemas.microsoft.com/office/drawing/2014/main" id="{3DE1B978-EE23-6845-97C2-8E255C1122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724" cy="102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49">
        <w:rPr>
          <w:b/>
          <w:sz w:val="24"/>
        </w:rPr>
        <w:tab/>
      </w:r>
      <w:r w:rsidR="002072E5" w:rsidRPr="008631CC">
        <w:rPr>
          <w:noProof/>
        </w:rPr>
        <w:drawing>
          <wp:inline distT="0" distB="0" distL="0" distR="0" wp14:anchorId="73CFBFFC" wp14:editId="040514FF">
            <wp:extent cx="2005299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1603" cy="105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49">
        <w:rPr>
          <w:b/>
          <w:sz w:val="24"/>
        </w:rPr>
        <w:tab/>
      </w:r>
      <w:r w:rsidR="00BD5E49">
        <w:rPr>
          <w:b/>
          <w:sz w:val="24"/>
        </w:rPr>
        <w:tab/>
      </w:r>
      <w:r w:rsidR="00BD5E49">
        <w:rPr>
          <w:b/>
          <w:sz w:val="24"/>
        </w:rPr>
        <w:tab/>
      </w:r>
    </w:p>
    <w:p w14:paraId="3133C897" w14:textId="77777777" w:rsidR="00D83C6B" w:rsidRDefault="00D83C6B" w:rsidP="00FB4407">
      <w:pPr>
        <w:pStyle w:val="Brdtext"/>
        <w:rPr>
          <w:b/>
          <w:sz w:val="24"/>
        </w:rPr>
      </w:pPr>
    </w:p>
    <w:p w14:paraId="73313AB0" w14:textId="4F58447D" w:rsidR="00B60E94" w:rsidRPr="003A3B8B" w:rsidRDefault="0086344D" w:rsidP="00FB4407">
      <w:pPr>
        <w:pStyle w:val="Brdtext"/>
        <w:rPr>
          <w:b/>
          <w:sz w:val="24"/>
        </w:rPr>
      </w:pPr>
      <w:r>
        <w:rPr>
          <w:b/>
          <w:sz w:val="24"/>
        </w:rPr>
        <w:t>21</w:t>
      </w:r>
      <w:r w:rsidR="002072E5" w:rsidRPr="003A3B8B">
        <w:rPr>
          <w:b/>
          <w:sz w:val="24"/>
        </w:rPr>
        <w:t xml:space="preserve"> augusti </w:t>
      </w:r>
      <w:r w:rsidR="00B60E94" w:rsidRPr="003A3B8B">
        <w:rPr>
          <w:b/>
          <w:sz w:val="24"/>
        </w:rPr>
        <w:t>2019</w:t>
      </w:r>
    </w:p>
    <w:p w14:paraId="42A56CF8" w14:textId="77777777" w:rsidR="00B60E94" w:rsidRPr="003A3B8B" w:rsidRDefault="00B60E94" w:rsidP="00FB4407">
      <w:pPr>
        <w:pStyle w:val="Brdtext"/>
        <w:rPr>
          <w:b/>
          <w:sz w:val="24"/>
        </w:rPr>
      </w:pPr>
    </w:p>
    <w:p w14:paraId="036172C0" w14:textId="63E9247F" w:rsidR="004A54A1" w:rsidRPr="002072E5" w:rsidRDefault="002072E5" w:rsidP="00FB4407">
      <w:pPr>
        <w:pStyle w:val="Brdtext"/>
        <w:rPr>
          <w:b/>
          <w:sz w:val="24"/>
        </w:rPr>
      </w:pPr>
      <w:r w:rsidRPr="002072E5">
        <w:rPr>
          <w:b/>
          <w:sz w:val="24"/>
        </w:rPr>
        <w:t>Alivia</w:t>
      </w:r>
      <w:r w:rsidR="00B71103">
        <w:rPr>
          <w:b/>
          <w:sz w:val="24"/>
        </w:rPr>
        <w:t>s kunder</w:t>
      </w:r>
      <w:r w:rsidRPr="002072E5">
        <w:rPr>
          <w:b/>
          <w:sz w:val="24"/>
        </w:rPr>
        <w:t xml:space="preserve"> </w:t>
      </w:r>
      <w:r>
        <w:rPr>
          <w:b/>
          <w:sz w:val="24"/>
        </w:rPr>
        <w:t xml:space="preserve">får tillgång till </w:t>
      </w:r>
      <w:r w:rsidR="00FC75AB">
        <w:rPr>
          <w:b/>
          <w:sz w:val="24"/>
        </w:rPr>
        <w:t>cancervård</w:t>
      </w:r>
      <w:r>
        <w:rPr>
          <w:b/>
          <w:sz w:val="24"/>
        </w:rPr>
        <w:t xml:space="preserve"> </w:t>
      </w:r>
      <w:r w:rsidR="00B71103">
        <w:rPr>
          <w:b/>
          <w:sz w:val="24"/>
        </w:rPr>
        <w:t xml:space="preserve">i England </w:t>
      </w:r>
      <w:r>
        <w:rPr>
          <w:b/>
          <w:sz w:val="24"/>
        </w:rPr>
        <w:t xml:space="preserve">genom </w:t>
      </w:r>
      <w:r w:rsidRPr="002072E5">
        <w:rPr>
          <w:b/>
          <w:sz w:val="24"/>
        </w:rPr>
        <w:t xml:space="preserve">samarbetsavtal med </w:t>
      </w:r>
      <w:r>
        <w:rPr>
          <w:b/>
          <w:sz w:val="24"/>
        </w:rPr>
        <w:t>HCA Healthcare UK</w:t>
      </w:r>
    </w:p>
    <w:p w14:paraId="0518E3F9" w14:textId="77777777" w:rsidR="0099076F" w:rsidRPr="002072E5" w:rsidRDefault="0099076F" w:rsidP="00FB4407">
      <w:pPr>
        <w:pStyle w:val="Brdtext"/>
        <w:rPr>
          <w:i/>
        </w:rPr>
      </w:pPr>
    </w:p>
    <w:p w14:paraId="4C7BEE2A" w14:textId="5254FAE6" w:rsidR="00212268" w:rsidRPr="001664D6" w:rsidRDefault="002072E5" w:rsidP="00FB4407">
      <w:pPr>
        <w:pStyle w:val="Brdtext"/>
        <w:rPr>
          <w:i/>
        </w:rPr>
      </w:pPr>
      <w:r>
        <w:rPr>
          <w:i/>
        </w:rPr>
        <w:t xml:space="preserve">Alivia ingår samarbetsavtal med HCA Healthcare UK, som driver prisbelönta sjukhus i världsklass i Storbritannien. </w:t>
      </w:r>
    </w:p>
    <w:p w14:paraId="496CA6DC" w14:textId="77777777" w:rsidR="00212268" w:rsidRDefault="00212268" w:rsidP="00FB4407">
      <w:pPr>
        <w:pStyle w:val="Brdtext"/>
      </w:pPr>
    </w:p>
    <w:p w14:paraId="6074AF0F" w14:textId="71B29690" w:rsidR="0099076F" w:rsidRDefault="002072E5" w:rsidP="0099076F">
      <w:pPr>
        <w:pStyle w:val="Brdtext"/>
      </w:pPr>
      <w:r w:rsidRPr="002072E5">
        <w:t>HCA Healthcare UK (HCA)</w:t>
      </w:r>
      <w:r>
        <w:t xml:space="preserve"> </w:t>
      </w:r>
      <w:r w:rsidR="00FC75AB">
        <w:t>är ledande inom onkologibehandling</w:t>
      </w:r>
      <w:r w:rsidR="00FC75AB" w:rsidRPr="002072E5">
        <w:t xml:space="preserve"> </w:t>
      </w:r>
      <w:r w:rsidR="00FC75AB">
        <w:t xml:space="preserve">och </w:t>
      </w:r>
      <w:r w:rsidRPr="002072E5">
        <w:t xml:space="preserve">driver </w:t>
      </w:r>
      <w:r>
        <w:t xml:space="preserve">ett antal prisbelönta sjukhus i världsklass </w:t>
      </w:r>
      <w:r w:rsidR="003A3B8B">
        <w:t>som till exempel</w:t>
      </w:r>
      <w:r w:rsidR="00B71103">
        <w:t xml:space="preserve"> </w:t>
      </w:r>
      <w:r w:rsidR="00B71103" w:rsidRPr="00B71103">
        <w:t>LOC</w:t>
      </w:r>
      <w:r w:rsidR="00022829">
        <w:t xml:space="preserve">, </w:t>
      </w:r>
      <w:proofErr w:type="spellStart"/>
      <w:r w:rsidR="00B71103" w:rsidRPr="00B71103">
        <w:t>Leaders</w:t>
      </w:r>
      <w:proofErr w:type="spellEnd"/>
      <w:r w:rsidR="00B71103" w:rsidRPr="00B71103">
        <w:t xml:space="preserve"> in </w:t>
      </w:r>
      <w:proofErr w:type="spellStart"/>
      <w:r w:rsidR="00B71103" w:rsidRPr="00B71103">
        <w:t>Oncology</w:t>
      </w:r>
      <w:proofErr w:type="spellEnd"/>
      <w:r w:rsidR="00B71103" w:rsidRPr="00B71103">
        <w:t xml:space="preserve"> Care</w:t>
      </w:r>
      <w:r w:rsidR="00022829">
        <w:t>,</w:t>
      </w:r>
      <w:r w:rsidR="00B71103">
        <w:t xml:space="preserve"> och</w:t>
      </w:r>
      <w:r w:rsidR="004373D1">
        <w:t xml:space="preserve"> </w:t>
      </w:r>
      <w:r>
        <w:t xml:space="preserve">Harley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. </w:t>
      </w:r>
      <w:r w:rsidR="00490A95">
        <w:t xml:space="preserve">Samarbetsavtalet mellan HCA och </w:t>
      </w:r>
      <w:r w:rsidRPr="002072E5">
        <w:t>Alivia Nordic AB (Alivia)</w:t>
      </w:r>
      <w:r>
        <w:t xml:space="preserve">, som är först i Skandinavien med att </w:t>
      </w:r>
      <w:r w:rsidR="00490A95">
        <w:t xml:space="preserve">tillhandahålla </w:t>
      </w:r>
      <w:r>
        <w:t>cancervårdsförsäkring,</w:t>
      </w:r>
      <w:r w:rsidR="00490A95">
        <w:t xml:space="preserve"> ger Alivias kunder tillgång till internationellt erkända cancercenter och ledande </w:t>
      </w:r>
      <w:r w:rsidR="00B71103">
        <w:t>cancerspecialister</w:t>
      </w:r>
      <w:r w:rsidR="00490A95">
        <w:t>.</w:t>
      </w:r>
    </w:p>
    <w:p w14:paraId="22A99B8F" w14:textId="6181B88E" w:rsidR="0099076F" w:rsidRDefault="0099076F" w:rsidP="0099076F">
      <w:pPr>
        <w:pStyle w:val="Brdtext"/>
      </w:pPr>
    </w:p>
    <w:p w14:paraId="48921D04" w14:textId="1FBEEE29" w:rsidR="00490A95" w:rsidRDefault="00490A95" w:rsidP="0099076F">
      <w:pPr>
        <w:pStyle w:val="Brdtext"/>
      </w:pPr>
      <w:r>
        <w:t xml:space="preserve">HCA specialiserar sig på komplex och akut sjukvård och tillhandahåller den senaste cancerbehandlingen i sitt nätverk, som inkluderar sex fristående sjukhus, </w:t>
      </w:r>
      <w:r w:rsidR="00FC75AB">
        <w:t xml:space="preserve">polikliniker </w:t>
      </w:r>
      <w:r>
        <w:t xml:space="preserve">och expertlaboratorier. HCA tillhandahåller de senaste cancerterapierna och behandlingsteknik inom </w:t>
      </w:r>
      <w:proofErr w:type="spellStart"/>
      <w:r>
        <w:t>screeening</w:t>
      </w:r>
      <w:proofErr w:type="spellEnd"/>
      <w:r>
        <w:t>, im</w:t>
      </w:r>
      <w:r w:rsidR="00B71103">
        <w:t>m</w:t>
      </w:r>
      <w:r>
        <w:t xml:space="preserve">unterapi, </w:t>
      </w:r>
      <w:proofErr w:type="spellStart"/>
      <w:r>
        <w:t>haemato</w:t>
      </w:r>
      <w:proofErr w:type="spellEnd"/>
      <w:r>
        <w:t xml:space="preserve">-onkologi, avancerad cellterapi, radioterapi och kliniska studier. </w:t>
      </w:r>
    </w:p>
    <w:p w14:paraId="21DDF8DF" w14:textId="77777777" w:rsidR="002A4ACB" w:rsidRPr="002072E5" w:rsidRDefault="002A4ACB" w:rsidP="0099076F">
      <w:pPr>
        <w:pStyle w:val="Brdtext"/>
      </w:pPr>
    </w:p>
    <w:p w14:paraId="2DC667EA" w14:textId="57FF32FE" w:rsidR="0099076F" w:rsidRDefault="003A3B8B" w:rsidP="0099076F">
      <w:pPr>
        <w:pStyle w:val="Brdtext"/>
        <w:numPr>
          <w:ilvl w:val="0"/>
          <w:numId w:val="14"/>
        </w:numPr>
      </w:pPr>
      <w:r>
        <w:t xml:space="preserve">Samarbetsavtalet säkrar tillgången till de senaste cancerterapierna och behandlingsteknikerna för våra kunder </w:t>
      </w:r>
      <w:r w:rsidR="00671620">
        <w:t>när de behöver det</w:t>
      </w:r>
      <w:r w:rsidR="0099076F">
        <w:t>, säger Kent Andersson som är en av grundarna till Alivia Cancervårdsförsäkring.</w:t>
      </w:r>
    </w:p>
    <w:p w14:paraId="255E0DAB" w14:textId="77777777" w:rsidR="0099076F" w:rsidRDefault="0099076F" w:rsidP="0099076F">
      <w:pPr>
        <w:pStyle w:val="Brdtext"/>
        <w:ind w:left="720"/>
      </w:pPr>
    </w:p>
    <w:p w14:paraId="08C8B574" w14:textId="21E294AD" w:rsidR="0099076F" w:rsidRDefault="00490A95" w:rsidP="00BC0EAC">
      <w:pPr>
        <w:pStyle w:val="Brdtext"/>
      </w:pPr>
      <w:r w:rsidRPr="00490A95">
        <w:t>Alivia tillhandahåller en hel</w:t>
      </w:r>
      <w:r>
        <w:t>t ny försäkringsprodukt i Skandinavien</w:t>
      </w:r>
      <w:r w:rsidR="002A4ACB">
        <w:t xml:space="preserve">, </w:t>
      </w:r>
      <w:r>
        <w:t xml:space="preserve">en cancervårdsförsäkring. Försäkringen ger skydd i samband med en cancerdiagnos och kompletterar </w:t>
      </w:r>
      <w:r w:rsidR="002A4ACB">
        <w:t>den offentliga cancer</w:t>
      </w:r>
      <w:r>
        <w:t>vård</w:t>
      </w:r>
      <w:r w:rsidR="002A4ACB">
        <w:t>en</w:t>
      </w:r>
      <w:r>
        <w:t xml:space="preserve">. </w:t>
      </w:r>
      <w:r w:rsidRPr="00490A95">
        <w:t xml:space="preserve">Försäkringen ger rätt till en </w:t>
      </w:r>
      <w:r w:rsidR="002072E5" w:rsidRPr="00490A95">
        <w:t xml:space="preserve">second opinion </w:t>
      </w:r>
      <w:r w:rsidRPr="00490A95">
        <w:t xml:space="preserve">på diagnos och föreslagen behandling som genomförs av </w:t>
      </w:r>
      <w:r w:rsidR="002A4ACB">
        <w:t xml:space="preserve">framstående nationella </w:t>
      </w:r>
      <w:r w:rsidRPr="00490A95">
        <w:t>och internationell</w:t>
      </w:r>
      <w:r w:rsidR="002A4ACB">
        <w:t>a</w:t>
      </w:r>
      <w:r w:rsidRPr="00490A95">
        <w:t xml:space="preserve"> cancerexperter lik</w:t>
      </w:r>
      <w:r>
        <w:t>som tillgång till avancerad diagnostik och privat vård inom EU om den offentliga vården inte kan tillhandahålla den i</w:t>
      </w:r>
      <w:r w:rsidR="002A4ACB">
        <w:t>nom garanterad</w:t>
      </w:r>
      <w:r>
        <w:t xml:space="preserve"> tid. </w:t>
      </w:r>
    </w:p>
    <w:p w14:paraId="05642F4A" w14:textId="77777777" w:rsidR="002A4ACB" w:rsidRDefault="002A4ACB" w:rsidP="00702115">
      <w:pPr>
        <w:pStyle w:val="Brdtext"/>
        <w:rPr>
          <w:b/>
        </w:rPr>
      </w:pPr>
    </w:p>
    <w:p w14:paraId="7455027A" w14:textId="0C6E7AA8" w:rsidR="00702115" w:rsidRPr="00C91750" w:rsidRDefault="00702115" w:rsidP="00702115">
      <w:pPr>
        <w:pStyle w:val="Brdtext"/>
        <w:rPr>
          <w:b/>
        </w:rPr>
      </w:pPr>
      <w:r>
        <w:rPr>
          <w:b/>
        </w:rPr>
        <w:t>Kontakt</w:t>
      </w:r>
    </w:p>
    <w:p w14:paraId="09D2B9DD" w14:textId="31CCEA94" w:rsidR="00702115" w:rsidRPr="00702115" w:rsidRDefault="00702115" w:rsidP="00702115">
      <w:pPr>
        <w:pStyle w:val="Brdtext"/>
      </w:pPr>
      <w:r>
        <w:t>För frågor</w:t>
      </w:r>
      <w:r w:rsidR="002A4ACB">
        <w:t>,</w:t>
      </w:r>
      <w:r>
        <w:t xml:space="preserve"> vänligen kontakta:</w:t>
      </w:r>
      <w:r w:rsidR="000C7C79">
        <w:t xml:space="preserve"> </w:t>
      </w:r>
      <w:r w:rsidRPr="00702115">
        <w:t>Kent Andersson, vd Alivia, 0732801868.</w:t>
      </w:r>
    </w:p>
    <w:p w14:paraId="377A2FDA" w14:textId="63EC4F91" w:rsidR="00702115" w:rsidRDefault="00702115" w:rsidP="00702115">
      <w:pPr>
        <w:pStyle w:val="Brdtext"/>
        <w:rPr>
          <w:b/>
        </w:rPr>
      </w:pPr>
    </w:p>
    <w:p w14:paraId="79F1C628" w14:textId="4449D4BB" w:rsidR="002A4ACB" w:rsidRPr="003A3B8B" w:rsidRDefault="002A4ACB" w:rsidP="002A4ACB">
      <w:pPr>
        <w:pStyle w:val="Brdtext"/>
        <w:rPr>
          <w:b/>
        </w:rPr>
      </w:pPr>
      <w:r w:rsidRPr="003A3B8B">
        <w:rPr>
          <w:b/>
        </w:rPr>
        <w:lastRenderedPageBreak/>
        <w:t>Om HCA Healthcare UK</w:t>
      </w:r>
    </w:p>
    <w:p w14:paraId="4B4BF0C8" w14:textId="74541F20" w:rsidR="002A4ACB" w:rsidRPr="00022829" w:rsidRDefault="0006323B" w:rsidP="002A4ACB">
      <w:pPr>
        <w:pStyle w:val="Brdtext"/>
        <w:rPr>
          <w:lang w:val="en-US"/>
        </w:rPr>
      </w:pPr>
      <w:r w:rsidRPr="0006323B">
        <w:t>HCA Healthcare UK är Sto</w:t>
      </w:r>
      <w:r>
        <w:t>rbritanniens största operatör av privatfinansierad sjukvård, med över 800 000 patientbesök varje år. Från komplex och brådskande vård till primär</w:t>
      </w:r>
      <w:r w:rsidR="003304A2">
        <w:t>-, öppen- och dag</w:t>
      </w:r>
      <w:r>
        <w:t>vård</w:t>
      </w:r>
      <w:r w:rsidR="003304A2">
        <w:t>.</w:t>
      </w:r>
      <w:r>
        <w:t xml:space="preserve"> HCA </w:t>
      </w:r>
      <w:r w:rsidR="003304A2">
        <w:t xml:space="preserve">ger vård vid </w:t>
      </w:r>
      <w:r>
        <w:t xml:space="preserve">ett närverk av </w:t>
      </w:r>
      <w:r w:rsidR="003304A2">
        <w:t xml:space="preserve">anläggningar </w:t>
      </w:r>
      <w:r>
        <w:t xml:space="preserve">i London och Manchester. </w:t>
      </w:r>
      <w:r w:rsidRPr="00604930">
        <w:rPr>
          <w:lang w:val="en-US"/>
        </w:rPr>
        <w:t xml:space="preserve">HCA </w:t>
      </w:r>
      <w:proofErr w:type="spellStart"/>
      <w:r w:rsidRPr="00604930">
        <w:rPr>
          <w:lang w:val="en-US"/>
        </w:rPr>
        <w:t>inkluderar</w:t>
      </w:r>
      <w:proofErr w:type="spellEnd"/>
      <w:r w:rsidRPr="00604930">
        <w:rPr>
          <w:lang w:val="en-US"/>
        </w:rPr>
        <w:t xml:space="preserve"> London Bridge Hospital, Portland </w:t>
      </w:r>
      <w:r w:rsidR="00604930" w:rsidRPr="00604930">
        <w:rPr>
          <w:lang w:val="en-US"/>
        </w:rPr>
        <w:t>H</w:t>
      </w:r>
      <w:r w:rsidRPr="00604930">
        <w:rPr>
          <w:lang w:val="en-US"/>
        </w:rPr>
        <w:t>ospital, Harl</w:t>
      </w:r>
      <w:r w:rsidR="00B71103">
        <w:rPr>
          <w:lang w:val="en-US"/>
        </w:rPr>
        <w:t>e</w:t>
      </w:r>
      <w:r w:rsidRPr="00604930">
        <w:rPr>
          <w:lang w:val="en-US"/>
        </w:rPr>
        <w:t>y Street Clinic, Lister Hospital, Princess Grace Hospital, Wellington Hospital</w:t>
      </w:r>
      <w:r w:rsidR="003304A2" w:rsidRPr="00604930">
        <w:rPr>
          <w:lang w:val="en-US"/>
        </w:rPr>
        <w:t xml:space="preserve"> och </w:t>
      </w:r>
      <w:proofErr w:type="spellStart"/>
      <w:r w:rsidR="003304A2" w:rsidRPr="00604930">
        <w:rPr>
          <w:lang w:val="en-US"/>
        </w:rPr>
        <w:t>primärvård</w:t>
      </w:r>
      <w:r w:rsidR="00604930" w:rsidRPr="00604930">
        <w:rPr>
          <w:lang w:val="en-US"/>
        </w:rPr>
        <w:t>en</w:t>
      </w:r>
      <w:proofErr w:type="spellEnd"/>
      <w:r w:rsidR="00604930" w:rsidRPr="00604930">
        <w:rPr>
          <w:lang w:val="en-US"/>
        </w:rPr>
        <w:t xml:space="preserve"> </w:t>
      </w:r>
      <w:proofErr w:type="spellStart"/>
      <w:r w:rsidR="00604930" w:rsidRPr="00604930">
        <w:rPr>
          <w:lang w:val="en-US"/>
        </w:rPr>
        <w:t>på</w:t>
      </w:r>
      <w:proofErr w:type="spellEnd"/>
      <w:r w:rsidR="00604930" w:rsidRPr="00604930">
        <w:rPr>
          <w:lang w:val="en-US"/>
        </w:rPr>
        <w:t xml:space="preserve"> HCA UK</w:t>
      </w:r>
      <w:r w:rsidR="003304A2" w:rsidRPr="00604930">
        <w:rPr>
          <w:lang w:val="en-US"/>
        </w:rPr>
        <w:t xml:space="preserve">. </w:t>
      </w:r>
    </w:p>
    <w:p w14:paraId="0DBFB792" w14:textId="77777777" w:rsidR="003304A2" w:rsidRPr="00022829" w:rsidRDefault="003304A2" w:rsidP="00702115">
      <w:pPr>
        <w:pStyle w:val="Brdtext"/>
        <w:rPr>
          <w:b/>
          <w:lang w:val="en-US"/>
        </w:rPr>
      </w:pPr>
    </w:p>
    <w:p w14:paraId="3D92C8C1" w14:textId="5DAFAC84" w:rsidR="00212268" w:rsidRPr="00212268" w:rsidRDefault="00212268" w:rsidP="00702115">
      <w:pPr>
        <w:pStyle w:val="Brdtext"/>
        <w:rPr>
          <w:b/>
        </w:rPr>
      </w:pPr>
      <w:r w:rsidRPr="00212268">
        <w:rPr>
          <w:b/>
        </w:rPr>
        <w:t xml:space="preserve">Om </w:t>
      </w:r>
      <w:proofErr w:type="spellStart"/>
      <w:r w:rsidRPr="00212268">
        <w:rPr>
          <w:b/>
        </w:rPr>
        <w:t>Alivia</w:t>
      </w:r>
      <w:proofErr w:type="spellEnd"/>
      <w:r w:rsidR="00BC0EAC">
        <w:rPr>
          <w:b/>
        </w:rPr>
        <w:t xml:space="preserve"> Nordic AB</w:t>
      </w:r>
    </w:p>
    <w:p w14:paraId="7ED546A2" w14:textId="58F3A0E5" w:rsidR="00A534DB" w:rsidRDefault="00A534DB" w:rsidP="00FB4407">
      <w:pPr>
        <w:pStyle w:val="Brdtext"/>
      </w:pPr>
      <w:r>
        <w:t xml:space="preserve">Alivia lanserar en helt ny försäkring i Sverige, en cancersjukvårdsförsäkring. Försäkringen ger rätt till vård och stöd vid en cancerdiagnos. Vår </w:t>
      </w:r>
      <w:r w:rsidRPr="001B4F98">
        <w:t xml:space="preserve">vision är att alla ska ges möjlighet att få tillgång till den bästa kunskapen som finns inom cancervård och på detta sätt öka möjligheterna till ett långt liv med </w:t>
      </w:r>
      <w:r>
        <w:t xml:space="preserve">bra </w:t>
      </w:r>
      <w:r w:rsidRPr="001B4F98">
        <w:t xml:space="preserve">kvalitet. </w:t>
      </w:r>
      <w:r w:rsidR="00C66933">
        <w:t>Du kan läsa mer om företaget på alivia.se.</w:t>
      </w:r>
    </w:p>
    <w:sectPr w:rsidR="00A5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5042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C80C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A9549B06"/>
    <w:lvl w:ilvl="0">
      <w:start w:val="1"/>
      <w:numFmt w:val="decimal"/>
      <w:pStyle w:val="Rubrik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14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21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2880" w:hanging="720"/>
      </w:pPr>
    </w:lvl>
  </w:abstractNum>
  <w:abstractNum w:abstractNumId="3" w15:restartNumberingAfterBreak="0">
    <w:nsid w:val="0530227A"/>
    <w:multiLevelType w:val="multilevel"/>
    <w:tmpl w:val="6E72761C"/>
    <w:lvl w:ilvl="0">
      <w:start w:val="1"/>
      <w:numFmt w:val="bullet"/>
      <w:pStyle w:val="Punktlista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5617B22"/>
    <w:multiLevelType w:val="multilevel"/>
    <w:tmpl w:val="3084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9A5844"/>
    <w:multiLevelType w:val="hybridMultilevel"/>
    <w:tmpl w:val="B2B68344"/>
    <w:lvl w:ilvl="0" w:tplc="A0A0AD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71E0"/>
    <w:multiLevelType w:val="hybridMultilevel"/>
    <w:tmpl w:val="011C05FC"/>
    <w:lvl w:ilvl="0" w:tplc="FD8A222A">
      <w:start w:val="2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534EE"/>
    <w:multiLevelType w:val="hybridMultilevel"/>
    <w:tmpl w:val="5D8C34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67453"/>
    <w:multiLevelType w:val="multilevel"/>
    <w:tmpl w:val="2214AFA6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A136BBF"/>
    <w:multiLevelType w:val="hybridMultilevel"/>
    <w:tmpl w:val="935C9A00"/>
    <w:lvl w:ilvl="0" w:tplc="A358EB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7"/>
  </w:num>
  <w:num w:numId="13">
    <w:abstractNumId w:val="9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8"/>
    <w:rsid w:val="00022829"/>
    <w:rsid w:val="000613E8"/>
    <w:rsid w:val="0006323B"/>
    <w:rsid w:val="00070DDC"/>
    <w:rsid w:val="000B373B"/>
    <w:rsid w:val="000B4158"/>
    <w:rsid w:val="000C7C79"/>
    <w:rsid w:val="001664D6"/>
    <w:rsid w:val="00186572"/>
    <w:rsid w:val="001E4CA7"/>
    <w:rsid w:val="002072E5"/>
    <w:rsid w:val="00212268"/>
    <w:rsid w:val="002208AC"/>
    <w:rsid w:val="002248D1"/>
    <w:rsid w:val="00266B91"/>
    <w:rsid w:val="002A4ACB"/>
    <w:rsid w:val="002F615F"/>
    <w:rsid w:val="00314BBB"/>
    <w:rsid w:val="003304A2"/>
    <w:rsid w:val="003A3B8B"/>
    <w:rsid w:val="003B73AC"/>
    <w:rsid w:val="004373D1"/>
    <w:rsid w:val="00490A95"/>
    <w:rsid w:val="004934E0"/>
    <w:rsid w:val="004968BB"/>
    <w:rsid w:val="004A54A1"/>
    <w:rsid w:val="004A79A4"/>
    <w:rsid w:val="004B0BB4"/>
    <w:rsid w:val="00500DEC"/>
    <w:rsid w:val="00514167"/>
    <w:rsid w:val="005329AC"/>
    <w:rsid w:val="0055371C"/>
    <w:rsid w:val="005B248D"/>
    <w:rsid w:val="00604930"/>
    <w:rsid w:val="00635312"/>
    <w:rsid w:val="00671620"/>
    <w:rsid w:val="00683858"/>
    <w:rsid w:val="006B64DE"/>
    <w:rsid w:val="006C3E34"/>
    <w:rsid w:val="006E46D5"/>
    <w:rsid w:val="00702115"/>
    <w:rsid w:val="007A569A"/>
    <w:rsid w:val="00857D35"/>
    <w:rsid w:val="00862995"/>
    <w:rsid w:val="0086344D"/>
    <w:rsid w:val="008C13C1"/>
    <w:rsid w:val="0099076F"/>
    <w:rsid w:val="009B5698"/>
    <w:rsid w:val="009E07F3"/>
    <w:rsid w:val="00A35B2C"/>
    <w:rsid w:val="00A534DB"/>
    <w:rsid w:val="00A67CBD"/>
    <w:rsid w:val="00B60E94"/>
    <w:rsid w:val="00B71103"/>
    <w:rsid w:val="00B8383C"/>
    <w:rsid w:val="00B840D6"/>
    <w:rsid w:val="00B935D8"/>
    <w:rsid w:val="00B97ADB"/>
    <w:rsid w:val="00BC0EAC"/>
    <w:rsid w:val="00BD5E49"/>
    <w:rsid w:val="00C0229A"/>
    <w:rsid w:val="00C60F3C"/>
    <w:rsid w:val="00C66933"/>
    <w:rsid w:val="00C719B5"/>
    <w:rsid w:val="00C7549A"/>
    <w:rsid w:val="00C91750"/>
    <w:rsid w:val="00CD459D"/>
    <w:rsid w:val="00D83C6B"/>
    <w:rsid w:val="00E6123D"/>
    <w:rsid w:val="00E66299"/>
    <w:rsid w:val="00EF5A68"/>
    <w:rsid w:val="00F26F98"/>
    <w:rsid w:val="00F37D15"/>
    <w:rsid w:val="00FB4407"/>
    <w:rsid w:val="00FC75AB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B03D25"/>
  <w15:chartTrackingRefBased/>
  <w15:docId w15:val="{8627D215-9D31-4535-A8E7-3B5D2AD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29AC"/>
    <w:pPr>
      <w:keepNext/>
      <w:keepLines/>
      <w:numPr>
        <w:numId w:val="10"/>
      </w:numPr>
      <w:spacing w:before="480" w:after="40" w:line="280" w:lineRule="atLeas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329AC"/>
    <w:pPr>
      <w:keepNext/>
      <w:keepLines/>
      <w:numPr>
        <w:ilvl w:val="1"/>
        <w:numId w:val="9"/>
      </w:numPr>
      <w:spacing w:before="240" w:after="40" w:line="28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5329AC"/>
    <w:pPr>
      <w:keepNext/>
      <w:keepLines/>
      <w:numPr>
        <w:ilvl w:val="2"/>
        <w:numId w:val="10"/>
      </w:numPr>
      <w:spacing w:before="240" w:after="0" w:line="280" w:lineRule="atLeast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5329AC"/>
    <w:pPr>
      <w:keepNext/>
      <w:keepLines/>
      <w:numPr>
        <w:ilvl w:val="3"/>
        <w:numId w:val="10"/>
      </w:numPr>
      <w:spacing w:before="240" w:after="0" w:line="280" w:lineRule="atLeas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rsid w:val="005329AC"/>
    <w:pPr>
      <w:keepNext/>
      <w:keepLines/>
      <w:numPr>
        <w:ilvl w:val="4"/>
        <w:numId w:val="10"/>
      </w:numPr>
      <w:spacing w:before="240" w:after="0" w:line="280" w:lineRule="atLeast"/>
      <w:outlineLvl w:val="4"/>
    </w:pPr>
    <w:rPr>
      <w:rFonts w:asciiTheme="majorHAnsi" w:eastAsiaTheme="majorEastAsia" w:hAnsiTheme="majorHAnsi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B4407"/>
    <w:pPr>
      <w:spacing w:after="120" w:line="280" w:lineRule="atLeast"/>
    </w:pPr>
    <w:rPr>
      <w:rFonts w:eastAsiaTheme="minorEastAsia"/>
    </w:rPr>
  </w:style>
  <w:style w:type="character" w:customStyle="1" w:styleId="BrdtextChar">
    <w:name w:val="Brödtext Char"/>
    <w:basedOn w:val="Standardstycketeckensnitt"/>
    <w:link w:val="Brdtext"/>
    <w:rsid w:val="00FB4407"/>
    <w:rPr>
      <w:rFonts w:eastAsiaTheme="minorEastAsia"/>
    </w:rPr>
  </w:style>
  <w:style w:type="paragraph" w:styleId="Innehll1">
    <w:name w:val="toc 1"/>
    <w:basedOn w:val="Normal"/>
    <w:next w:val="Normal"/>
    <w:uiPriority w:val="39"/>
    <w:semiHidden/>
    <w:rsid w:val="00FB4407"/>
    <w:pPr>
      <w:spacing w:after="0" w:line="360" w:lineRule="atLeast"/>
    </w:pPr>
    <w:rPr>
      <w:rFonts w:eastAsiaTheme="minorEastAsia"/>
    </w:rPr>
  </w:style>
  <w:style w:type="paragraph" w:styleId="Innehll2">
    <w:name w:val="toc 2"/>
    <w:basedOn w:val="Normal"/>
    <w:next w:val="Normal"/>
    <w:uiPriority w:val="39"/>
    <w:semiHidden/>
    <w:rsid w:val="00FB4407"/>
    <w:pPr>
      <w:spacing w:after="0" w:line="360" w:lineRule="atLeast"/>
      <w:ind w:left="221"/>
    </w:pPr>
    <w:rPr>
      <w:rFonts w:eastAsiaTheme="minorEastAsia"/>
    </w:rPr>
  </w:style>
  <w:style w:type="paragraph" w:styleId="Innehll3">
    <w:name w:val="toc 3"/>
    <w:basedOn w:val="Normal"/>
    <w:next w:val="Normal"/>
    <w:uiPriority w:val="39"/>
    <w:semiHidden/>
    <w:rsid w:val="00FB4407"/>
    <w:pPr>
      <w:spacing w:after="100" w:line="280" w:lineRule="atLeast"/>
      <w:ind w:left="440"/>
    </w:pPr>
    <w:rPr>
      <w:rFonts w:eastAsiaTheme="minorEastAsia"/>
    </w:rPr>
  </w:style>
  <w:style w:type="paragraph" w:customStyle="1" w:styleId="Ledtext">
    <w:name w:val="Ledtext"/>
    <w:basedOn w:val="Normal"/>
    <w:semiHidden/>
    <w:rsid w:val="00FB4407"/>
    <w:pPr>
      <w:tabs>
        <w:tab w:val="left" w:pos="1080"/>
      </w:tabs>
      <w:spacing w:before="40" w:after="0" w:line="240" w:lineRule="auto"/>
    </w:pPr>
    <w:rPr>
      <w:rFonts w:ascii="Arial" w:eastAsia="Times New Roman" w:hAnsi="Arial" w:cs="Arial"/>
      <w:caps/>
      <w:noProof/>
      <w:sz w:val="11"/>
      <w:szCs w:val="12"/>
    </w:rPr>
  </w:style>
  <w:style w:type="paragraph" w:styleId="Numreradlista">
    <w:name w:val="List Number"/>
    <w:basedOn w:val="Normal"/>
    <w:uiPriority w:val="99"/>
    <w:qFormat/>
    <w:rsid w:val="00FB4407"/>
    <w:pPr>
      <w:numPr>
        <w:numId w:val="2"/>
      </w:numPr>
      <w:spacing w:before="40" w:after="0" w:line="280" w:lineRule="atLeast"/>
    </w:pPr>
    <w:rPr>
      <w:rFonts w:eastAsiaTheme="minorEastAsia"/>
    </w:rPr>
  </w:style>
  <w:style w:type="paragraph" w:styleId="Punktlista">
    <w:name w:val="List Bullet"/>
    <w:basedOn w:val="Normal"/>
    <w:uiPriority w:val="99"/>
    <w:qFormat/>
    <w:rsid w:val="00FB4407"/>
    <w:pPr>
      <w:numPr>
        <w:numId w:val="4"/>
      </w:numPr>
      <w:tabs>
        <w:tab w:val="clear" w:pos="567"/>
        <w:tab w:val="num" w:pos="340"/>
      </w:tabs>
      <w:spacing w:before="40" w:after="0" w:line="280" w:lineRule="atLeast"/>
    </w:pPr>
    <w:rPr>
      <w:rFonts w:eastAsiaTheme="minorEastAsia"/>
    </w:rPr>
  </w:style>
  <w:style w:type="paragraph" w:styleId="Rubrik">
    <w:name w:val="Title"/>
    <w:basedOn w:val="Normal"/>
    <w:next w:val="Normal"/>
    <w:link w:val="RubrikChar"/>
    <w:uiPriority w:val="10"/>
    <w:rsid w:val="00FB4407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FB4407"/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1Char">
    <w:name w:val="Rubrik 1 Char"/>
    <w:basedOn w:val="Standardstycketeckensnitt"/>
    <w:link w:val="Rubrik1"/>
    <w:uiPriority w:val="9"/>
    <w:rsid w:val="00FB440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329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FB440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B440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FB4407"/>
    <w:rPr>
      <w:rFonts w:asciiTheme="majorHAnsi" w:eastAsiaTheme="majorEastAsia" w:hAnsiTheme="majorHAnsi" w:cstheme="majorBidi"/>
      <w:b/>
      <w:bCs/>
    </w:rPr>
  </w:style>
  <w:style w:type="paragraph" w:styleId="Liststycke">
    <w:name w:val="List Paragraph"/>
    <w:basedOn w:val="Normal"/>
    <w:uiPriority w:val="1"/>
    <w:qFormat/>
    <w:rsid w:val="001664D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6299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299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6299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299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299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2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J_tema_Ny">
  <a:themeElements>
    <a:clrScheme name="SJ">
      <a:dk1>
        <a:srgbClr val="252525"/>
      </a:dk1>
      <a:lt1>
        <a:srgbClr val="FFFFFF"/>
      </a:lt1>
      <a:dk2>
        <a:srgbClr val="696B57"/>
      </a:dk2>
      <a:lt2>
        <a:srgbClr val="E3E100"/>
      </a:lt2>
      <a:accent1>
        <a:srgbClr val="1FA845"/>
      </a:accent1>
      <a:accent2>
        <a:srgbClr val="62DB5A"/>
      </a:accent2>
      <a:accent3>
        <a:srgbClr val="00749A"/>
      </a:accent3>
      <a:accent4>
        <a:srgbClr val="DF5A00"/>
      </a:accent4>
      <a:accent5>
        <a:srgbClr val="3BCCE8"/>
      </a:accent5>
      <a:accent6>
        <a:srgbClr val="9B7400"/>
      </a:accent6>
      <a:hlink>
        <a:srgbClr val="00749A"/>
      </a:hlink>
      <a:folHlink>
        <a:srgbClr val="00749A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J_tema" id="{D9656AD0-1EE2-499F-BD31-990AFABE35B5}" vid="{EDC774D9-59A4-4CEE-A91C-6DC5998F14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SJ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Sjörin Malou</dc:creator>
  <cp:keywords/>
  <dc:description/>
  <cp:lastModifiedBy>Anders Sjörin</cp:lastModifiedBy>
  <cp:revision>3</cp:revision>
  <dcterms:created xsi:type="dcterms:W3CDTF">2019-08-20T08:30:00Z</dcterms:created>
  <dcterms:modified xsi:type="dcterms:W3CDTF">2019-08-21T10:55:00Z</dcterms:modified>
</cp:coreProperties>
</file>