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424" w:rsidRDefault="003E5918" w:rsidP="003E5918">
      <w:pPr>
        <w:pStyle w:val="VisaDocumentname"/>
        <w:rPr>
          <w:rFonts w:cs="Segoe UI"/>
          <w:color w:val="0023A0"/>
        </w:rPr>
      </w:pPr>
      <w:r w:rsidRPr="003E5918">
        <w:rPr>
          <w:rFonts w:cs="Segoe UI"/>
          <w:color w:val="0023A0"/>
        </w:rPr>
        <w:t>news release</w:t>
      </w:r>
    </w:p>
    <w:p w:rsidR="003E5918" w:rsidRPr="003E5918" w:rsidRDefault="003E5918" w:rsidP="003E5918">
      <w:pPr>
        <w:pStyle w:val="VisaDocumentname"/>
        <w:rPr>
          <w:rFonts w:cs="Segoe UI"/>
          <w:color w:val="0023A0"/>
        </w:rPr>
      </w:pPr>
      <w:r w:rsidRPr="003E5918">
        <w:rPr>
          <w:rFonts w:cs="Segoe UI"/>
          <w:noProof/>
          <w:color w:val="0023A0"/>
          <w:lang w:val="en-GB" w:eastAsia="en-GB"/>
        </w:rPr>
        <w:drawing>
          <wp:anchor distT="0" distB="0" distL="114300" distR="114300" simplePos="0" relativeHeight="251661312" behindDoc="0" locked="0" layoutInCell="1" allowOverlap="1" wp14:anchorId="78353DCD" wp14:editId="2D90D264">
            <wp:simplePos x="2057400" y="657225"/>
            <wp:positionH relativeFrom="page">
              <wp:align>right</wp:align>
            </wp:positionH>
            <wp:positionV relativeFrom="page">
              <wp:align>top</wp:align>
            </wp:positionV>
            <wp:extent cx="1481328" cy="832104"/>
            <wp:effectExtent l="0" t="0" r="5080" b="6350"/>
            <wp:wrapNone/>
            <wp:docPr id="2" name="Picture 2" descr="C:\Users\mordoyne\Desktop\templates\forms_vbm.png"/>
            <wp:cNvGraphicFramePr/>
            <a:graphic xmlns:a="http://schemas.openxmlformats.org/drawingml/2006/main">
              <a:graphicData uri="http://schemas.openxmlformats.org/drawingml/2006/picture">
                <pic:pic xmlns:pic="http://schemas.openxmlformats.org/drawingml/2006/picture">
                  <pic:nvPicPr>
                    <pic:cNvPr id="1" name="Picture 1" descr="C:\Users\mordoyne\Desktop\templates\forms_vbm.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1328" cy="83210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5FD5" w:rsidRDefault="00E2670E" w:rsidP="003D5FD5">
      <w:pPr>
        <w:pStyle w:val="VisaHeadline"/>
        <w:pBdr>
          <w:bottom w:val="single" w:sz="8" w:space="7" w:color="0023A0"/>
        </w:pBdr>
        <w:jc w:val="center"/>
        <w:rPr>
          <w:sz w:val="36"/>
          <w:szCs w:val="36"/>
        </w:rPr>
      </w:pPr>
      <w:r>
        <w:rPr>
          <w:sz w:val="36"/>
          <w:szCs w:val="36"/>
        </w:rPr>
        <w:t xml:space="preserve">Mobile </w:t>
      </w:r>
      <w:r w:rsidR="008169C3">
        <w:rPr>
          <w:sz w:val="36"/>
          <w:szCs w:val="36"/>
        </w:rPr>
        <w:t xml:space="preserve">Payments soar as Europeans embrace </w:t>
      </w:r>
    </w:p>
    <w:p w:rsidR="008169C3" w:rsidRPr="008169C3" w:rsidRDefault="008169C3" w:rsidP="003D5FD5">
      <w:pPr>
        <w:pStyle w:val="VisaHeadline"/>
        <w:pBdr>
          <w:bottom w:val="single" w:sz="8" w:space="7" w:color="0023A0"/>
        </w:pBdr>
        <w:jc w:val="center"/>
        <w:rPr>
          <w:sz w:val="36"/>
          <w:szCs w:val="36"/>
        </w:rPr>
      </w:pPr>
      <w:r>
        <w:rPr>
          <w:sz w:val="36"/>
          <w:szCs w:val="36"/>
        </w:rPr>
        <w:t>new ways to pay</w:t>
      </w:r>
    </w:p>
    <w:p w:rsidR="008169C3" w:rsidRPr="008169C3" w:rsidRDefault="008169C3" w:rsidP="008169C3">
      <w:pPr>
        <w:pStyle w:val="ListParagraph"/>
        <w:spacing w:after="0" w:line="240" w:lineRule="auto"/>
        <w:ind w:left="1080"/>
        <w:rPr>
          <w:rFonts w:ascii="Arial" w:hAnsi="Arial" w:cs="Arial"/>
          <w:b/>
          <w:bCs/>
          <w:iCs/>
          <w:sz w:val="24"/>
          <w:szCs w:val="24"/>
        </w:rPr>
      </w:pPr>
    </w:p>
    <w:p w:rsidR="00A84B07" w:rsidRPr="00A84B07" w:rsidRDefault="003D5FD5" w:rsidP="00A84B07">
      <w:pPr>
        <w:pStyle w:val="ListParagraph"/>
        <w:numPr>
          <w:ilvl w:val="0"/>
          <w:numId w:val="2"/>
        </w:numPr>
        <w:spacing w:after="0" w:line="360" w:lineRule="auto"/>
        <w:rPr>
          <w:rFonts w:ascii="Arial" w:hAnsi="Arial" w:cs="Arial"/>
          <w:b/>
          <w:bCs/>
          <w:iCs/>
          <w:sz w:val="24"/>
          <w:szCs w:val="24"/>
        </w:rPr>
      </w:pPr>
      <w:r w:rsidRPr="003D5FD5">
        <w:rPr>
          <w:rFonts w:ascii="Arial" w:hAnsi="Arial" w:cs="Arial"/>
          <w:bCs/>
          <w:iCs/>
          <w:sz w:val="24"/>
          <w:szCs w:val="24"/>
        </w:rPr>
        <w:t xml:space="preserve">The number of Europeans </w:t>
      </w:r>
      <w:r w:rsidR="009840F0">
        <w:rPr>
          <w:rFonts w:ascii="Arial" w:hAnsi="Arial" w:cs="Arial"/>
          <w:bCs/>
          <w:iCs/>
          <w:sz w:val="24"/>
          <w:szCs w:val="24"/>
        </w:rPr>
        <w:t xml:space="preserve">regularly </w:t>
      </w:r>
      <w:r w:rsidRPr="003D5FD5">
        <w:rPr>
          <w:rFonts w:ascii="Arial" w:hAnsi="Arial" w:cs="Arial"/>
          <w:bCs/>
          <w:iCs/>
          <w:sz w:val="24"/>
          <w:szCs w:val="24"/>
        </w:rPr>
        <w:t xml:space="preserve">using </w:t>
      </w:r>
      <w:r w:rsidR="00740575">
        <w:rPr>
          <w:rFonts w:ascii="Arial" w:hAnsi="Arial" w:cs="Arial"/>
          <w:bCs/>
          <w:iCs/>
          <w:sz w:val="24"/>
          <w:szCs w:val="24"/>
        </w:rPr>
        <w:t>a</w:t>
      </w:r>
      <w:r w:rsidR="00740575" w:rsidRPr="003D5FD5">
        <w:rPr>
          <w:rFonts w:ascii="Arial" w:hAnsi="Arial" w:cs="Arial"/>
          <w:bCs/>
          <w:iCs/>
          <w:sz w:val="24"/>
          <w:szCs w:val="24"/>
        </w:rPr>
        <w:t xml:space="preserve"> </w:t>
      </w:r>
      <w:r w:rsidRPr="003D5FD5">
        <w:rPr>
          <w:rFonts w:ascii="Arial" w:hAnsi="Arial" w:cs="Arial"/>
          <w:bCs/>
          <w:iCs/>
          <w:sz w:val="24"/>
          <w:szCs w:val="24"/>
        </w:rPr>
        <w:t xml:space="preserve">mobile device for payments has </w:t>
      </w:r>
      <w:r w:rsidRPr="005C5701">
        <w:rPr>
          <w:rFonts w:ascii="Arial" w:hAnsi="Arial" w:cs="Arial"/>
          <w:b/>
          <w:bCs/>
          <w:iCs/>
          <w:sz w:val="24"/>
          <w:szCs w:val="24"/>
        </w:rPr>
        <w:t>tripled since 2015</w:t>
      </w:r>
      <w:r w:rsidRPr="005C5701">
        <w:rPr>
          <w:rFonts w:ascii="Arial" w:hAnsi="Arial" w:cs="Arial"/>
          <w:bCs/>
          <w:iCs/>
          <w:sz w:val="24"/>
          <w:szCs w:val="24"/>
        </w:rPr>
        <w:t xml:space="preserve"> (</w:t>
      </w:r>
      <w:r>
        <w:rPr>
          <w:rFonts w:ascii="Arial" w:hAnsi="Arial" w:cs="Arial"/>
          <w:bCs/>
          <w:iCs/>
          <w:sz w:val="24"/>
          <w:szCs w:val="24"/>
        </w:rPr>
        <w:t>54% vs 18%)</w:t>
      </w:r>
    </w:p>
    <w:p w:rsidR="005C5701" w:rsidRPr="00A84B07" w:rsidRDefault="00853896" w:rsidP="00A84B07">
      <w:pPr>
        <w:pStyle w:val="ListParagraph"/>
        <w:numPr>
          <w:ilvl w:val="0"/>
          <w:numId w:val="2"/>
        </w:numPr>
        <w:spacing w:after="0" w:line="360" w:lineRule="auto"/>
        <w:rPr>
          <w:rFonts w:ascii="Arial" w:hAnsi="Arial" w:cs="Arial"/>
          <w:b/>
          <w:bCs/>
          <w:iCs/>
          <w:sz w:val="24"/>
          <w:szCs w:val="24"/>
        </w:rPr>
      </w:pPr>
      <w:r w:rsidRPr="00A84B07">
        <w:rPr>
          <w:rFonts w:ascii="Arial" w:hAnsi="Arial" w:cs="Arial"/>
          <w:bCs/>
          <w:iCs/>
          <w:sz w:val="24"/>
          <w:szCs w:val="24"/>
        </w:rPr>
        <w:t xml:space="preserve">74% </w:t>
      </w:r>
      <w:r w:rsidR="005C5701" w:rsidRPr="00A84B07">
        <w:rPr>
          <w:rFonts w:ascii="Arial" w:hAnsi="Arial" w:cs="Arial"/>
          <w:bCs/>
          <w:iCs/>
          <w:sz w:val="24"/>
          <w:szCs w:val="24"/>
        </w:rPr>
        <w:t xml:space="preserve">of British consumers are </w:t>
      </w:r>
      <w:r w:rsidR="007E2706" w:rsidRPr="00A84B07">
        <w:rPr>
          <w:rFonts w:ascii="Arial" w:hAnsi="Arial" w:cs="Arial"/>
          <w:bCs/>
          <w:iCs/>
          <w:sz w:val="24"/>
          <w:szCs w:val="24"/>
        </w:rPr>
        <w:t>‘</w:t>
      </w:r>
      <w:r w:rsidR="005C5701" w:rsidRPr="00A84B07">
        <w:rPr>
          <w:rFonts w:ascii="Arial" w:hAnsi="Arial" w:cs="Arial"/>
          <w:bCs/>
          <w:iCs/>
          <w:sz w:val="24"/>
          <w:szCs w:val="24"/>
        </w:rPr>
        <w:t>Mobile Payments</w:t>
      </w:r>
      <w:r w:rsidRPr="00A84B07">
        <w:rPr>
          <w:rFonts w:ascii="Arial" w:hAnsi="Arial" w:cs="Arial"/>
          <w:bCs/>
          <w:iCs/>
          <w:sz w:val="24"/>
          <w:szCs w:val="24"/>
        </w:rPr>
        <w:t xml:space="preserve"> users</w:t>
      </w:r>
      <w:r w:rsidR="007E2706" w:rsidRPr="00A84B07">
        <w:rPr>
          <w:rFonts w:ascii="Arial" w:hAnsi="Arial" w:cs="Arial"/>
          <w:bCs/>
          <w:iCs/>
          <w:sz w:val="24"/>
          <w:szCs w:val="24"/>
        </w:rPr>
        <w:t>’ – people who manage</w:t>
      </w:r>
      <w:r w:rsidRPr="00A84B07">
        <w:rPr>
          <w:rFonts w:ascii="Arial" w:hAnsi="Arial" w:cs="Arial"/>
          <w:bCs/>
          <w:iCs/>
          <w:sz w:val="24"/>
          <w:szCs w:val="24"/>
        </w:rPr>
        <w:t xml:space="preserve"> their money or mak</w:t>
      </w:r>
      <w:r w:rsidR="007E2706" w:rsidRPr="00A84B07">
        <w:rPr>
          <w:rFonts w:ascii="Arial" w:hAnsi="Arial" w:cs="Arial"/>
          <w:bCs/>
          <w:iCs/>
          <w:sz w:val="24"/>
          <w:szCs w:val="24"/>
        </w:rPr>
        <w:t>e</w:t>
      </w:r>
      <w:r w:rsidRPr="00A84B07">
        <w:rPr>
          <w:rFonts w:ascii="Arial" w:hAnsi="Arial" w:cs="Arial"/>
          <w:bCs/>
          <w:iCs/>
          <w:sz w:val="24"/>
          <w:szCs w:val="24"/>
        </w:rPr>
        <w:t xml:space="preserve"> payments using </w:t>
      </w:r>
      <w:r w:rsidR="007E2706" w:rsidRPr="00A84B07">
        <w:rPr>
          <w:rFonts w:ascii="Arial" w:hAnsi="Arial" w:cs="Arial"/>
          <w:bCs/>
          <w:iCs/>
          <w:sz w:val="24"/>
          <w:szCs w:val="24"/>
        </w:rPr>
        <w:t>a</w:t>
      </w:r>
      <w:r w:rsidRPr="00A84B07">
        <w:rPr>
          <w:rFonts w:ascii="Arial" w:hAnsi="Arial" w:cs="Arial"/>
          <w:bCs/>
          <w:iCs/>
          <w:sz w:val="24"/>
          <w:szCs w:val="24"/>
        </w:rPr>
        <w:t xml:space="preserve"> mobile device</w:t>
      </w:r>
    </w:p>
    <w:p w:rsidR="00724888" w:rsidRPr="00E33779" w:rsidRDefault="00724888" w:rsidP="00724888">
      <w:pPr>
        <w:pStyle w:val="ListParagraph"/>
        <w:numPr>
          <w:ilvl w:val="0"/>
          <w:numId w:val="2"/>
        </w:numPr>
        <w:spacing w:after="0" w:line="360" w:lineRule="auto"/>
        <w:rPr>
          <w:rFonts w:ascii="Arial" w:hAnsi="Arial" w:cs="Arial"/>
          <w:bCs/>
          <w:iCs/>
          <w:sz w:val="24"/>
          <w:szCs w:val="24"/>
        </w:rPr>
      </w:pPr>
      <w:r>
        <w:rPr>
          <w:rFonts w:ascii="Arial" w:hAnsi="Arial" w:cs="Arial"/>
          <w:bCs/>
          <w:iCs/>
          <w:sz w:val="24"/>
          <w:szCs w:val="24"/>
        </w:rPr>
        <w:t>The</w:t>
      </w:r>
      <w:r w:rsidR="007A6056">
        <w:rPr>
          <w:rFonts w:ascii="Arial" w:hAnsi="Arial" w:cs="Arial"/>
          <w:bCs/>
          <w:iCs/>
          <w:sz w:val="24"/>
          <w:szCs w:val="24"/>
        </w:rPr>
        <w:t xml:space="preserve"> </w:t>
      </w:r>
      <w:r w:rsidR="007A6056" w:rsidRPr="007A6056">
        <w:rPr>
          <w:rFonts w:ascii="Arial" w:hAnsi="Arial" w:cs="Arial"/>
          <w:b/>
          <w:bCs/>
          <w:iCs/>
          <w:sz w:val="24"/>
          <w:szCs w:val="24"/>
        </w:rPr>
        <w:t>fastest growth rate</w:t>
      </w:r>
      <w:r w:rsidR="007A6056">
        <w:rPr>
          <w:rFonts w:ascii="Arial" w:hAnsi="Arial" w:cs="Arial"/>
          <w:bCs/>
          <w:iCs/>
          <w:sz w:val="24"/>
          <w:szCs w:val="24"/>
        </w:rPr>
        <w:t xml:space="preserve"> for mobile banking adoption is with</w:t>
      </w:r>
      <w:r>
        <w:rPr>
          <w:rFonts w:ascii="Arial" w:hAnsi="Arial" w:cs="Arial"/>
          <w:bCs/>
          <w:iCs/>
          <w:sz w:val="24"/>
          <w:szCs w:val="24"/>
        </w:rPr>
        <w:t xml:space="preserve"> 55-64 year olds</w:t>
      </w:r>
      <w:r w:rsidRPr="00E33779">
        <w:rPr>
          <w:rFonts w:ascii="Arial" w:hAnsi="Arial" w:cs="Arial"/>
          <w:bCs/>
          <w:iCs/>
          <w:sz w:val="24"/>
          <w:szCs w:val="24"/>
        </w:rPr>
        <w:t xml:space="preserve"> </w:t>
      </w:r>
    </w:p>
    <w:p w:rsidR="008169C3" w:rsidRPr="003D5FD5" w:rsidRDefault="008169C3" w:rsidP="008169C3">
      <w:pPr>
        <w:pStyle w:val="ListParagraph"/>
        <w:spacing w:after="0" w:line="240" w:lineRule="auto"/>
        <w:rPr>
          <w:rFonts w:ascii="Arial" w:hAnsi="Arial" w:cs="Arial"/>
          <w:bCs/>
          <w:iCs/>
          <w:sz w:val="24"/>
          <w:szCs w:val="24"/>
        </w:rPr>
      </w:pPr>
    </w:p>
    <w:p w:rsidR="008169C3" w:rsidRPr="003D5FD5" w:rsidRDefault="008169C3" w:rsidP="00D34EE2">
      <w:pPr>
        <w:pStyle w:val="ListParagraph"/>
        <w:spacing w:after="240" w:line="360" w:lineRule="auto"/>
        <w:ind w:left="0"/>
        <w:jc w:val="both"/>
        <w:rPr>
          <w:rFonts w:ascii="Arial" w:hAnsi="Arial" w:cs="Arial"/>
          <w:bCs/>
          <w:iCs/>
          <w:sz w:val="24"/>
          <w:szCs w:val="24"/>
        </w:rPr>
      </w:pPr>
      <w:r w:rsidRPr="003D5FD5">
        <w:rPr>
          <w:rFonts w:ascii="Arial" w:hAnsi="Arial" w:cs="Arial"/>
          <w:b/>
          <w:sz w:val="24"/>
          <w:szCs w:val="24"/>
          <w:lang w:val="en-GB"/>
        </w:rPr>
        <w:t xml:space="preserve">London, </w:t>
      </w:r>
      <w:r w:rsidR="00590259">
        <w:rPr>
          <w:rFonts w:ascii="Arial" w:hAnsi="Arial" w:cs="Arial"/>
          <w:b/>
          <w:sz w:val="24"/>
          <w:szCs w:val="24"/>
          <w:lang w:val="en-GB"/>
        </w:rPr>
        <w:t>12</w:t>
      </w:r>
      <w:r w:rsidR="003D5FD5">
        <w:rPr>
          <w:rFonts w:ascii="Arial" w:hAnsi="Arial" w:cs="Arial"/>
          <w:b/>
          <w:sz w:val="24"/>
          <w:szCs w:val="24"/>
          <w:lang w:val="en-GB"/>
        </w:rPr>
        <w:t xml:space="preserve"> October</w:t>
      </w:r>
      <w:r w:rsidRPr="003D5FD5">
        <w:rPr>
          <w:rFonts w:ascii="Arial" w:hAnsi="Arial" w:cs="Arial"/>
          <w:b/>
          <w:sz w:val="24"/>
          <w:szCs w:val="24"/>
          <w:lang w:val="en-GB"/>
        </w:rPr>
        <w:t xml:space="preserve"> 2016: </w:t>
      </w:r>
      <w:r w:rsidRPr="003D5FD5">
        <w:rPr>
          <w:rFonts w:ascii="Arial" w:hAnsi="Arial" w:cs="Arial"/>
          <w:sz w:val="24"/>
          <w:szCs w:val="24"/>
          <w:lang w:val="en-GB"/>
        </w:rPr>
        <w:t>Visa Inc. (NYSE: V)</w:t>
      </w:r>
      <w:r w:rsidRPr="003D5FD5">
        <w:rPr>
          <w:rFonts w:ascii="Arial" w:hAnsi="Arial" w:cs="Arial"/>
          <w:bCs/>
          <w:iCs/>
          <w:sz w:val="24"/>
          <w:szCs w:val="24"/>
        </w:rPr>
        <w:t xml:space="preserve"> According to Visa’s </w:t>
      </w:r>
      <w:r w:rsidR="005A36E5">
        <w:rPr>
          <w:rFonts w:ascii="Arial" w:hAnsi="Arial" w:cs="Arial"/>
          <w:bCs/>
          <w:iCs/>
          <w:sz w:val="24"/>
          <w:szCs w:val="24"/>
        </w:rPr>
        <w:t xml:space="preserve">2016 </w:t>
      </w:r>
      <w:r w:rsidRPr="003D5FD5">
        <w:rPr>
          <w:rFonts w:ascii="Arial" w:hAnsi="Arial" w:cs="Arial"/>
          <w:bCs/>
          <w:iCs/>
          <w:sz w:val="24"/>
          <w:szCs w:val="24"/>
        </w:rPr>
        <w:t xml:space="preserve">Digital Payments </w:t>
      </w:r>
      <w:r w:rsidR="00C00457">
        <w:rPr>
          <w:rFonts w:ascii="Arial" w:hAnsi="Arial" w:cs="Arial"/>
          <w:bCs/>
          <w:iCs/>
          <w:sz w:val="24"/>
          <w:szCs w:val="24"/>
        </w:rPr>
        <w:t>S</w:t>
      </w:r>
      <w:r w:rsidR="003D5FD5">
        <w:rPr>
          <w:rFonts w:ascii="Arial" w:hAnsi="Arial" w:cs="Arial"/>
          <w:bCs/>
          <w:iCs/>
          <w:sz w:val="24"/>
          <w:szCs w:val="24"/>
        </w:rPr>
        <w:t>tudy</w:t>
      </w:r>
      <w:r w:rsidRPr="003D5FD5">
        <w:rPr>
          <w:rFonts w:ascii="Arial" w:hAnsi="Arial" w:cs="Arial"/>
          <w:bCs/>
          <w:iCs/>
          <w:sz w:val="24"/>
          <w:szCs w:val="24"/>
        </w:rPr>
        <w:t xml:space="preserve">, </w:t>
      </w:r>
      <w:r w:rsidR="00D34EE2">
        <w:rPr>
          <w:rFonts w:ascii="Arial" w:hAnsi="Arial" w:cs="Arial"/>
          <w:bCs/>
          <w:iCs/>
          <w:sz w:val="24"/>
          <w:szCs w:val="24"/>
        </w:rPr>
        <w:t>the</w:t>
      </w:r>
      <w:r w:rsidRPr="003D5FD5">
        <w:rPr>
          <w:rFonts w:ascii="Arial" w:hAnsi="Arial" w:cs="Arial"/>
          <w:bCs/>
          <w:iCs/>
          <w:sz w:val="24"/>
          <w:szCs w:val="24"/>
        </w:rPr>
        <w:t xml:space="preserve"> number of consumers regularly using </w:t>
      </w:r>
      <w:r w:rsidR="003D5FD5">
        <w:rPr>
          <w:rFonts w:ascii="Arial" w:hAnsi="Arial" w:cs="Arial"/>
          <w:bCs/>
          <w:iCs/>
          <w:sz w:val="24"/>
          <w:szCs w:val="24"/>
        </w:rPr>
        <w:t>a</w:t>
      </w:r>
      <w:r w:rsidR="003D5FD5" w:rsidRPr="003D5FD5">
        <w:rPr>
          <w:rFonts w:ascii="Arial" w:hAnsi="Arial" w:cs="Arial"/>
          <w:bCs/>
          <w:iCs/>
          <w:sz w:val="24"/>
          <w:szCs w:val="24"/>
        </w:rPr>
        <w:t xml:space="preserve"> </w:t>
      </w:r>
      <w:r w:rsidRPr="003D5FD5">
        <w:rPr>
          <w:rFonts w:ascii="Arial" w:hAnsi="Arial" w:cs="Arial"/>
          <w:bCs/>
          <w:iCs/>
          <w:sz w:val="24"/>
          <w:szCs w:val="24"/>
        </w:rPr>
        <w:t>mobile device</w:t>
      </w:r>
      <w:r w:rsidR="003D5FD5">
        <w:rPr>
          <w:rFonts w:ascii="Arial" w:hAnsi="Arial" w:cs="Arial"/>
          <w:bCs/>
          <w:iCs/>
          <w:sz w:val="24"/>
          <w:szCs w:val="24"/>
        </w:rPr>
        <w:t xml:space="preserve"> – whether a smartphone, tablet or wearable – </w:t>
      </w:r>
      <w:r w:rsidR="00474EC8">
        <w:rPr>
          <w:rFonts w:ascii="Arial" w:hAnsi="Arial" w:cs="Arial"/>
          <w:bCs/>
          <w:iCs/>
          <w:sz w:val="24"/>
          <w:szCs w:val="24"/>
        </w:rPr>
        <w:t>to make</w:t>
      </w:r>
      <w:r w:rsidR="00474EC8" w:rsidRPr="003D5FD5">
        <w:rPr>
          <w:rFonts w:ascii="Arial" w:hAnsi="Arial" w:cs="Arial"/>
          <w:bCs/>
          <w:iCs/>
          <w:sz w:val="24"/>
          <w:szCs w:val="24"/>
        </w:rPr>
        <w:t xml:space="preserve"> </w:t>
      </w:r>
      <w:r w:rsidRPr="003D5FD5">
        <w:rPr>
          <w:rFonts w:ascii="Arial" w:hAnsi="Arial" w:cs="Arial"/>
          <w:bCs/>
          <w:iCs/>
          <w:sz w:val="24"/>
          <w:szCs w:val="24"/>
        </w:rPr>
        <w:t xml:space="preserve">payments has tripled in the past year. Currently, 54% of consumers </w:t>
      </w:r>
      <w:r w:rsidR="00AC72BE">
        <w:rPr>
          <w:rFonts w:ascii="Arial" w:hAnsi="Arial" w:cs="Arial"/>
          <w:bCs/>
          <w:iCs/>
          <w:sz w:val="24"/>
          <w:szCs w:val="24"/>
        </w:rPr>
        <w:t xml:space="preserve">surveyed </w:t>
      </w:r>
      <w:r w:rsidR="007B1DA7">
        <w:rPr>
          <w:rFonts w:ascii="Arial" w:hAnsi="Arial" w:cs="Arial"/>
          <w:bCs/>
          <w:iCs/>
          <w:sz w:val="24"/>
          <w:szCs w:val="24"/>
        </w:rPr>
        <w:t xml:space="preserve">regularly </w:t>
      </w:r>
      <w:r w:rsidRPr="003D5FD5">
        <w:rPr>
          <w:rFonts w:ascii="Arial" w:hAnsi="Arial" w:cs="Arial"/>
          <w:bCs/>
          <w:iCs/>
          <w:sz w:val="24"/>
          <w:szCs w:val="24"/>
        </w:rPr>
        <w:t xml:space="preserve">use </w:t>
      </w:r>
      <w:r w:rsidR="008A65F8">
        <w:rPr>
          <w:rFonts w:ascii="Arial" w:hAnsi="Arial" w:cs="Arial"/>
          <w:bCs/>
          <w:iCs/>
          <w:sz w:val="24"/>
          <w:szCs w:val="24"/>
        </w:rPr>
        <w:t>a mobile device</w:t>
      </w:r>
      <w:r w:rsidRPr="003D5FD5">
        <w:rPr>
          <w:rFonts w:ascii="Arial" w:hAnsi="Arial" w:cs="Arial"/>
          <w:bCs/>
          <w:iCs/>
          <w:sz w:val="24"/>
          <w:szCs w:val="24"/>
        </w:rPr>
        <w:t xml:space="preserve"> </w:t>
      </w:r>
      <w:r w:rsidR="009B0AE4">
        <w:rPr>
          <w:rFonts w:ascii="Arial" w:hAnsi="Arial" w:cs="Arial"/>
          <w:bCs/>
          <w:iCs/>
          <w:sz w:val="24"/>
          <w:szCs w:val="24"/>
        </w:rPr>
        <w:t>to make payments</w:t>
      </w:r>
      <w:r w:rsidR="00A56AB6">
        <w:rPr>
          <w:rFonts w:ascii="Arial" w:hAnsi="Arial" w:cs="Arial"/>
          <w:bCs/>
          <w:iCs/>
          <w:sz w:val="24"/>
          <w:szCs w:val="24"/>
        </w:rPr>
        <w:t xml:space="preserve"> for a range of activities</w:t>
      </w:r>
      <w:r w:rsidRPr="003D5FD5">
        <w:rPr>
          <w:rFonts w:ascii="Arial" w:hAnsi="Arial" w:cs="Arial"/>
          <w:bCs/>
          <w:iCs/>
          <w:sz w:val="24"/>
          <w:szCs w:val="24"/>
        </w:rPr>
        <w:t>, compared to just 18%</w:t>
      </w:r>
      <w:r w:rsidR="00A56AB6">
        <w:rPr>
          <w:rFonts w:ascii="Arial" w:hAnsi="Arial" w:cs="Arial"/>
          <w:bCs/>
          <w:iCs/>
          <w:sz w:val="24"/>
          <w:szCs w:val="24"/>
        </w:rPr>
        <w:t xml:space="preserve"> </w:t>
      </w:r>
      <w:r w:rsidR="00A56AB6" w:rsidRPr="00A56AB6">
        <w:rPr>
          <w:rFonts w:ascii="Arial" w:hAnsi="Arial" w:cs="Arial"/>
          <w:bCs/>
          <w:iCs/>
          <w:sz w:val="24"/>
          <w:szCs w:val="24"/>
        </w:rPr>
        <w:t xml:space="preserve">who </w:t>
      </w:r>
      <w:r w:rsidR="005C5701">
        <w:rPr>
          <w:rFonts w:ascii="Arial" w:hAnsi="Arial" w:cs="Arial"/>
          <w:bCs/>
          <w:iCs/>
          <w:sz w:val="24"/>
          <w:szCs w:val="24"/>
        </w:rPr>
        <w:t>were asked whether they</w:t>
      </w:r>
      <w:r w:rsidR="00A56AB6" w:rsidRPr="00A56AB6">
        <w:rPr>
          <w:rFonts w:ascii="Arial" w:hAnsi="Arial" w:cs="Arial"/>
          <w:bCs/>
          <w:iCs/>
          <w:sz w:val="24"/>
          <w:szCs w:val="24"/>
        </w:rPr>
        <w:t xml:space="preserve"> use</w:t>
      </w:r>
      <w:r w:rsidR="005C5701">
        <w:rPr>
          <w:rFonts w:ascii="Arial" w:hAnsi="Arial" w:cs="Arial"/>
          <w:bCs/>
          <w:iCs/>
          <w:sz w:val="24"/>
          <w:szCs w:val="24"/>
        </w:rPr>
        <w:t>d</w:t>
      </w:r>
      <w:r w:rsidR="00A56AB6" w:rsidRPr="00A56AB6">
        <w:rPr>
          <w:rFonts w:ascii="Arial" w:hAnsi="Arial" w:cs="Arial"/>
          <w:bCs/>
          <w:iCs/>
          <w:sz w:val="24"/>
          <w:szCs w:val="24"/>
        </w:rPr>
        <w:t xml:space="preserve"> mobile payments to pay for everyday goods and services</w:t>
      </w:r>
      <w:r w:rsidRPr="003D5FD5">
        <w:rPr>
          <w:rFonts w:ascii="Arial" w:hAnsi="Arial" w:cs="Arial"/>
          <w:bCs/>
          <w:iCs/>
          <w:sz w:val="24"/>
          <w:szCs w:val="24"/>
        </w:rPr>
        <w:t xml:space="preserve"> when the same study was conducted last year. </w:t>
      </w:r>
    </w:p>
    <w:p w:rsidR="00A30A47" w:rsidRDefault="00395F5E" w:rsidP="00A30A47">
      <w:pPr>
        <w:pStyle w:val="ListParagraph"/>
        <w:spacing w:after="240" w:line="360" w:lineRule="auto"/>
        <w:ind w:left="0"/>
        <w:jc w:val="both"/>
        <w:rPr>
          <w:rFonts w:ascii="Arial" w:hAnsi="Arial" w:cs="Arial"/>
          <w:bCs/>
          <w:iCs/>
          <w:sz w:val="24"/>
          <w:szCs w:val="24"/>
        </w:rPr>
      </w:pPr>
      <w:r>
        <w:rPr>
          <w:rFonts w:ascii="Arial" w:hAnsi="Arial" w:cs="Arial"/>
          <w:bCs/>
          <w:iCs/>
          <w:sz w:val="24"/>
          <w:szCs w:val="24"/>
        </w:rPr>
        <w:t xml:space="preserve">The study, which </w:t>
      </w:r>
      <w:r w:rsidR="00A140EC">
        <w:rPr>
          <w:rFonts w:ascii="Arial" w:hAnsi="Arial" w:cs="Arial"/>
          <w:bCs/>
          <w:iCs/>
          <w:sz w:val="24"/>
          <w:szCs w:val="24"/>
        </w:rPr>
        <w:t>surveyed</w:t>
      </w:r>
      <w:r>
        <w:rPr>
          <w:rFonts w:ascii="Arial" w:hAnsi="Arial" w:cs="Arial"/>
          <w:bCs/>
          <w:iCs/>
          <w:sz w:val="24"/>
          <w:szCs w:val="24"/>
        </w:rPr>
        <w:t xml:space="preserve"> more than </w:t>
      </w:r>
      <w:r w:rsidR="00A30A47" w:rsidRPr="003D5FD5">
        <w:rPr>
          <w:rFonts w:ascii="Arial" w:hAnsi="Arial" w:cs="Arial"/>
          <w:bCs/>
          <w:iCs/>
          <w:sz w:val="24"/>
          <w:szCs w:val="24"/>
        </w:rPr>
        <w:t>3</w:t>
      </w:r>
      <w:r w:rsidR="00591818">
        <w:rPr>
          <w:rFonts w:ascii="Arial" w:hAnsi="Arial" w:cs="Arial"/>
          <w:bCs/>
          <w:iCs/>
          <w:sz w:val="24"/>
          <w:szCs w:val="24"/>
        </w:rPr>
        <w:t>6</w:t>
      </w:r>
      <w:r w:rsidR="00A30A47" w:rsidRPr="003D5FD5">
        <w:rPr>
          <w:rFonts w:ascii="Arial" w:hAnsi="Arial" w:cs="Arial"/>
          <w:bCs/>
          <w:iCs/>
          <w:sz w:val="24"/>
          <w:szCs w:val="24"/>
        </w:rPr>
        <w:t xml:space="preserve">,000 </w:t>
      </w:r>
      <w:r w:rsidR="009B0AE4">
        <w:rPr>
          <w:rFonts w:ascii="Arial" w:hAnsi="Arial" w:cs="Arial"/>
          <w:bCs/>
          <w:iCs/>
          <w:sz w:val="24"/>
          <w:szCs w:val="24"/>
        </w:rPr>
        <w:t xml:space="preserve">online </w:t>
      </w:r>
      <w:r w:rsidR="00A30A47" w:rsidRPr="003D5FD5">
        <w:rPr>
          <w:rFonts w:ascii="Arial" w:hAnsi="Arial" w:cs="Arial"/>
          <w:bCs/>
          <w:iCs/>
          <w:sz w:val="24"/>
          <w:szCs w:val="24"/>
        </w:rPr>
        <w:t>consumers in 19 European countries</w:t>
      </w:r>
      <w:r>
        <w:rPr>
          <w:rFonts w:ascii="Arial" w:hAnsi="Arial" w:cs="Arial"/>
          <w:bCs/>
          <w:iCs/>
          <w:sz w:val="24"/>
          <w:szCs w:val="24"/>
        </w:rPr>
        <w:t>,</w:t>
      </w:r>
      <w:r w:rsidR="00A30A47">
        <w:rPr>
          <w:rFonts w:ascii="Arial" w:hAnsi="Arial" w:cs="Arial"/>
          <w:bCs/>
          <w:iCs/>
          <w:sz w:val="24"/>
          <w:szCs w:val="24"/>
        </w:rPr>
        <w:t xml:space="preserve"> reveals how c</w:t>
      </w:r>
      <w:r w:rsidR="00A30A47" w:rsidRPr="003D5FD5">
        <w:rPr>
          <w:rFonts w:ascii="Arial" w:hAnsi="Arial" w:cs="Arial"/>
          <w:bCs/>
          <w:iCs/>
          <w:sz w:val="24"/>
          <w:szCs w:val="24"/>
        </w:rPr>
        <w:t xml:space="preserve">onsumer </w:t>
      </w:r>
      <w:r w:rsidR="00CC6C6D">
        <w:rPr>
          <w:rFonts w:ascii="Arial" w:hAnsi="Arial" w:cs="Arial"/>
          <w:bCs/>
          <w:iCs/>
          <w:sz w:val="24"/>
          <w:szCs w:val="24"/>
        </w:rPr>
        <w:t>adoption of</w:t>
      </w:r>
      <w:r w:rsidR="00A30A47" w:rsidRPr="003D5FD5">
        <w:rPr>
          <w:rFonts w:ascii="Arial" w:hAnsi="Arial" w:cs="Arial"/>
          <w:bCs/>
          <w:iCs/>
          <w:sz w:val="24"/>
          <w:szCs w:val="24"/>
        </w:rPr>
        <w:t xml:space="preserve"> digital payments </w:t>
      </w:r>
      <w:r w:rsidR="00605B96">
        <w:rPr>
          <w:rFonts w:ascii="Arial" w:hAnsi="Arial" w:cs="Arial"/>
          <w:bCs/>
          <w:iCs/>
          <w:sz w:val="24"/>
          <w:szCs w:val="24"/>
        </w:rPr>
        <w:t>has</w:t>
      </w:r>
      <w:r w:rsidR="00605B96" w:rsidRPr="003D5FD5">
        <w:rPr>
          <w:rFonts w:ascii="Arial" w:hAnsi="Arial" w:cs="Arial"/>
          <w:bCs/>
          <w:iCs/>
          <w:sz w:val="24"/>
          <w:szCs w:val="24"/>
        </w:rPr>
        <w:t xml:space="preserve"> </w:t>
      </w:r>
      <w:r w:rsidR="00A30A47" w:rsidRPr="003D5FD5">
        <w:rPr>
          <w:rFonts w:ascii="Arial" w:hAnsi="Arial" w:cs="Arial"/>
          <w:bCs/>
          <w:iCs/>
          <w:sz w:val="24"/>
          <w:szCs w:val="24"/>
        </w:rPr>
        <w:t>shifted dramatically</w:t>
      </w:r>
      <w:r>
        <w:rPr>
          <w:rFonts w:ascii="Arial" w:hAnsi="Arial" w:cs="Arial"/>
          <w:bCs/>
          <w:iCs/>
          <w:sz w:val="24"/>
          <w:szCs w:val="24"/>
        </w:rPr>
        <w:t xml:space="preserve"> in the last 12 months</w:t>
      </w:r>
      <w:r w:rsidR="00A30A47" w:rsidRPr="003D5FD5">
        <w:rPr>
          <w:rFonts w:ascii="Arial" w:hAnsi="Arial" w:cs="Arial"/>
          <w:bCs/>
          <w:iCs/>
          <w:sz w:val="24"/>
          <w:szCs w:val="24"/>
        </w:rPr>
        <w:t xml:space="preserve">. </w:t>
      </w:r>
      <w:r w:rsidR="00DB7AA2">
        <w:rPr>
          <w:rFonts w:ascii="Arial" w:hAnsi="Arial" w:cs="Arial"/>
          <w:bCs/>
          <w:iCs/>
          <w:sz w:val="24"/>
          <w:szCs w:val="24"/>
        </w:rPr>
        <w:t>One year ago</w:t>
      </w:r>
      <w:r w:rsidR="00A30A47">
        <w:rPr>
          <w:rFonts w:ascii="Arial" w:hAnsi="Arial" w:cs="Arial"/>
          <w:bCs/>
          <w:iCs/>
          <w:sz w:val="24"/>
          <w:szCs w:val="24"/>
        </w:rPr>
        <w:t>, 38% of the people surveyed said they had never used a mobile device</w:t>
      </w:r>
      <w:r w:rsidR="00A56AB6">
        <w:rPr>
          <w:rFonts w:ascii="Arial" w:hAnsi="Arial" w:cs="Arial"/>
          <w:bCs/>
          <w:iCs/>
          <w:sz w:val="24"/>
          <w:szCs w:val="24"/>
        </w:rPr>
        <w:t xml:space="preserve"> </w:t>
      </w:r>
      <w:r w:rsidR="00A140EC">
        <w:rPr>
          <w:rFonts w:ascii="Arial" w:hAnsi="Arial" w:cs="Arial"/>
          <w:bCs/>
          <w:iCs/>
          <w:sz w:val="24"/>
          <w:szCs w:val="24"/>
        </w:rPr>
        <w:t xml:space="preserve">to make payments </w:t>
      </w:r>
      <w:r w:rsidR="00A56AB6">
        <w:rPr>
          <w:rFonts w:ascii="Arial" w:hAnsi="Arial" w:cs="Arial"/>
          <w:bCs/>
          <w:iCs/>
          <w:sz w:val="24"/>
          <w:szCs w:val="24"/>
        </w:rPr>
        <w:t>and had no plans to do so. Today,</w:t>
      </w:r>
      <w:r w:rsidR="00A30A47">
        <w:rPr>
          <w:rFonts w:ascii="Arial" w:hAnsi="Arial" w:cs="Arial"/>
          <w:bCs/>
          <w:iCs/>
          <w:sz w:val="24"/>
          <w:szCs w:val="24"/>
        </w:rPr>
        <w:t xml:space="preserve"> </w:t>
      </w:r>
      <w:r>
        <w:rPr>
          <w:rFonts w:ascii="Arial" w:hAnsi="Arial" w:cs="Arial"/>
          <w:bCs/>
          <w:iCs/>
          <w:sz w:val="24"/>
          <w:szCs w:val="24"/>
        </w:rPr>
        <w:t xml:space="preserve">that </w:t>
      </w:r>
      <w:r w:rsidR="00A30A47">
        <w:rPr>
          <w:rFonts w:ascii="Arial" w:hAnsi="Arial" w:cs="Arial"/>
          <w:bCs/>
          <w:iCs/>
          <w:sz w:val="24"/>
          <w:szCs w:val="24"/>
        </w:rPr>
        <w:t xml:space="preserve">number </w:t>
      </w:r>
      <w:r>
        <w:rPr>
          <w:rFonts w:ascii="Arial" w:hAnsi="Arial" w:cs="Arial"/>
          <w:bCs/>
          <w:iCs/>
          <w:sz w:val="24"/>
          <w:szCs w:val="24"/>
        </w:rPr>
        <w:t xml:space="preserve">has </w:t>
      </w:r>
      <w:r w:rsidR="00A30A47">
        <w:rPr>
          <w:rFonts w:ascii="Arial" w:hAnsi="Arial" w:cs="Arial"/>
          <w:bCs/>
          <w:iCs/>
          <w:sz w:val="24"/>
          <w:szCs w:val="24"/>
        </w:rPr>
        <w:t>dropped to 12%.</w:t>
      </w:r>
      <w:r w:rsidR="00A30A47" w:rsidRPr="003D5FD5">
        <w:rPr>
          <w:rFonts w:ascii="Arial" w:hAnsi="Arial" w:cs="Arial"/>
          <w:bCs/>
          <w:iCs/>
          <w:sz w:val="24"/>
          <w:szCs w:val="24"/>
        </w:rPr>
        <w:t xml:space="preserve"> </w:t>
      </w:r>
    </w:p>
    <w:p w:rsidR="00395F5E" w:rsidRPr="005A36E5" w:rsidRDefault="00395F5E" w:rsidP="008169C3">
      <w:pPr>
        <w:pStyle w:val="ListParagraph"/>
        <w:spacing w:after="240" w:line="360" w:lineRule="auto"/>
        <w:ind w:left="0"/>
        <w:jc w:val="both"/>
        <w:rPr>
          <w:rFonts w:ascii="Arial" w:hAnsi="Arial" w:cs="Arial"/>
          <w:b/>
          <w:bCs/>
          <w:iCs/>
          <w:sz w:val="24"/>
          <w:szCs w:val="24"/>
        </w:rPr>
      </w:pPr>
      <w:r w:rsidRPr="005A36E5">
        <w:rPr>
          <w:rFonts w:ascii="Arial" w:hAnsi="Arial" w:cs="Arial"/>
          <w:b/>
          <w:bCs/>
          <w:iCs/>
          <w:sz w:val="24"/>
          <w:szCs w:val="24"/>
        </w:rPr>
        <w:t>WHO ARE THEY AND WHAT ARE THEY BUYING?</w:t>
      </w:r>
    </w:p>
    <w:p w:rsidR="00B421C1" w:rsidRDefault="00744154" w:rsidP="008169C3">
      <w:pPr>
        <w:pStyle w:val="ListParagraph"/>
        <w:spacing w:after="240" w:line="360" w:lineRule="auto"/>
        <w:ind w:left="0"/>
        <w:jc w:val="both"/>
        <w:rPr>
          <w:rFonts w:ascii="Arial" w:hAnsi="Arial" w:cs="Arial"/>
          <w:bCs/>
          <w:iCs/>
          <w:sz w:val="24"/>
          <w:szCs w:val="24"/>
          <w:highlight w:val="yellow"/>
        </w:rPr>
      </w:pPr>
      <w:r>
        <w:rPr>
          <w:rFonts w:ascii="Arial" w:hAnsi="Arial" w:cs="Arial"/>
          <w:bCs/>
          <w:iCs/>
          <w:sz w:val="24"/>
          <w:szCs w:val="24"/>
        </w:rPr>
        <w:t>When looking at the top ten countries</w:t>
      </w:r>
      <w:r w:rsidR="005A36E5">
        <w:rPr>
          <w:rFonts w:ascii="Arial" w:hAnsi="Arial" w:cs="Arial"/>
          <w:bCs/>
          <w:iCs/>
          <w:sz w:val="24"/>
          <w:szCs w:val="24"/>
        </w:rPr>
        <w:t xml:space="preserve"> where mobile payments are most prevalent</w:t>
      </w:r>
      <w:r>
        <w:rPr>
          <w:rFonts w:ascii="Arial" w:hAnsi="Arial" w:cs="Arial"/>
          <w:bCs/>
          <w:iCs/>
          <w:sz w:val="24"/>
          <w:szCs w:val="24"/>
        </w:rPr>
        <w:t xml:space="preserve">, they fall into </w:t>
      </w:r>
      <w:r w:rsidR="00485A93">
        <w:rPr>
          <w:rFonts w:ascii="Arial" w:hAnsi="Arial" w:cs="Arial"/>
          <w:bCs/>
          <w:iCs/>
          <w:sz w:val="24"/>
          <w:szCs w:val="24"/>
        </w:rPr>
        <w:t xml:space="preserve">two </w:t>
      </w:r>
      <w:r>
        <w:rPr>
          <w:rFonts w:ascii="Arial" w:hAnsi="Arial" w:cs="Arial"/>
          <w:bCs/>
          <w:iCs/>
          <w:sz w:val="24"/>
          <w:szCs w:val="24"/>
        </w:rPr>
        <w:t xml:space="preserve">categories: </w:t>
      </w:r>
      <w:r w:rsidRPr="005A36E5">
        <w:rPr>
          <w:rFonts w:ascii="Arial" w:hAnsi="Arial" w:cs="Arial"/>
          <w:b/>
          <w:bCs/>
          <w:iCs/>
          <w:sz w:val="24"/>
          <w:szCs w:val="24"/>
        </w:rPr>
        <w:t>developing markets</w:t>
      </w:r>
      <w:r>
        <w:rPr>
          <w:rFonts w:ascii="Arial" w:hAnsi="Arial" w:cs="Arial"/>
          <w:bCs/>
          <w:iCs/>
          <w:sz w:val="24"/>
          <w:szCs w:val="24"/>
        </w:rPr>
        <w:t xml:space="preserve"> </w:t>
      </w:r>
      <w:r w:rsidR="000C1F50">
        <w:rPr>
          <w:rFonts w:ascii="Arial" w:hAnsi="Arial" w:cs="Arial"/>
          <w:bCs/>
          <w:iCs/>
          <w:sz w:val="24"/>
          <w:szCs w:val="24"/>
        </w:rPr>
        <w:t xml:space="preserve">such as Turkey and Romania, </w:t>
      </w:r>
      <w:r>
        <w:rPr>
          <w:rFonts w:ascii="Arial" w:hAnsi="Arial" w:cs="Arial"/>
          <w:bCs/>
          <w:iCs/>
          <w:sz w:val="24"/>
          <w:szCs w:val="24"/>
        </w:rPr>
        <w:t>which have</w:t>
      </w:r>
      <w:r w:rsidR="00A140EC">
        <w:rPr>
          <w:rFonts w:ascii="Arial" w:hAnsi="Arial" w:cs="Arial"/>
          <w:bCs/>
          <w:iCs/>
          <w:sz w:val="24"/>
          <w:szCs w:val="24"/>
        </w:rPr>
        <w:t xml:space="preserve"> </w:t>
      </w:r>
      <w:r>
        <w:rPr>
          <w:rFonts w:ascii="Arial" w:hAnsi="Arial" w:cs="Arial"/>
          <w:bCs/>
          <w:iCs/>
          <w:sz w:val="24"/>
          <w:szCs w:val="24"/>
        </w:rPr>
        <w:t>been leapfrogging traditional payment methods t</w:t>
      </w:r>
      <w:r w:rsidR="000C1F50">
        <w:rPr>
          <w:rFonts w:ascii="Arial" w:hAnsi="Arial" w:cs="Arial"/>
          <w:bCs/>
          <w:iCs/>
          <w:sz w:val="24"/>
          <w:szCs w:val="24"/>
        </w:rPr>
        <w:t>o adopt new technologies faster;</w:t>
      </w:r>
      <w:r>
        <w:rPr>
          <w:rFonts w:ascii="Arial" w:hAnsi="Arial" w:cs="Arial"/>
          <w:bCs/>
          <w:iCs/>
          <w:sz w:val="24"/>
          <w:szCs w:val="24"/>
        </w:rPr>
        <w:t xml:space="preserve"> and </w:t>
      </w:r>
      <w:r w:rsidRPr="005A36E5">
        <w:rPr>
          <w:rFonts w:ascii="Arial" w:hAnsi="Arial" w:cs="Arial"/>
          <w:b/>
          <w:bCs/>
          <w:iCs/>
          <w:sz w:val="24"/>
          <w:szCs w:val="24"/>
        </w:rPr>
        <w:t>developed markets</w:t>
      </w:r>
      <w:r>
        <w:rPr>
          <w:rFonts w:ascii="Arial" w:hAnsi="Arial" w:cs="Arial"/>
          <w:bCs/>
          <w:iCs/>
          <w:sz w:val="24"/>
          <w:szCs w:val="24"/>
        </w:rPr>
        <w:t xml:space="preserve"> </w:t>
      </w:r>
      <w:r w:rsidR="000C1F50">
        <w:rPr>
          <w:rFonts w:ascii="Arial" w:hAnsi="Arial" w:cs="Arial"/>
          <w:bCs/>
          <w:iCs/>
          <w:sz w:val="24"/>
          <w:szCs w:val="24"/>
        </w:rPr>
        <w:t xml:space="preserve">– particularly the Nordics – which </w:t>
      </w:r>
      <w:r>
        <w:rPr>
          <w:rFonts w:ascii="Arial" w:hAnsi="Arial" w:cs="Arial"/>
          <w:bCs/>
          <w:iCs/>
          <w:sz w:val="24"/>
          <w:szCs w:val="24"/>
        </w:rPr>
        <w:t xml:space="preserve">are evolving to new technologies at </w:t>
      </w:r>
      <w:r w:rsidR="005A36E5">
        <w:rPr>
          <w:rFonts w:ascii="Arial" w:hAnsi="Arial" w:cs="Arial"/>
          <w:bCs/>
          <w:iCs/>
          <w:sz w:val="24"/>
          <w:szCs w:val="24"/>
        </w:rPr>
        <w:t>differing</w:t>
      </w:r>
      <w:r>
        <w:rPr>
          <w:rFonts w:ascii="Arial" w:hAnsi="Arial" w:cs="Arial"/>
          <w:bCs/>
          <w:iCs/>
          <w:sz w:val="24"/>
          <w:szCs w:val="24"/>
        </w:rPr>
        <w:t xml:space="preserve"> pac</w:t>
      </w:r>
      <w:r w:rsidRPr="00A84B07">
        <w:rPr>
          <w:rFonts w:ascii="Arial" w:hAnsi="Arial" w:cs="Arial"/>
          <w:bCs/>
          <w:iCs/>
          <w:sz w:val="24"/>
          <w:szCs w:val="24"/>
        </w:rPr>
        <w:t xml:space="preserve">es. </w:t>
      </w:r>
      <w:r w:rsidR="00A635B5" w:rsidRPr="00A84B07">
        <w:rPr>
          <w:rFonts w:ascii="Arial" w:hAnsi="Arial" w:cs="Arial"/>
          <w:bCs/>
          <w:iCs/>
          <w:sz w:val="24"/>
          <w:szCs w:val="24"/>
        </w:rPr>
        <w:t>In the UK, nearly three-quarters (74%) of the people surveyed</w:t>
      </w:r>
      <w:r w:rsidR="005C5701" w:rsidRPr="00A84B07">
        <w:rPr>
          <w:rFonts w:ascii="Arial" w:hAnsi="Arial" w:cs="Arial"/>
          <w:bCs/>
          <w:iCs/>
          <w:sz w:val="24"/>
          <w:szCs w:val="24"/>
        </w:rPr>
        <w:t xml:space="preserve"> are </w:t>
      </w:r>
      <w:r w:rsidR="005C5701" w:rsidRPr="00A84B07">
        <w:rPr>
          <w:rFonts w:ascii="Arial" w:hAnsi="Arial" w:cs="Arial"/>
          <w:bCs/>
          <w:iCs/>
          <w:sz w:val="24"/>
          <w:szCs w:val="24"/>
        </w:rPr>
        <w:lastRenderedPageBreak/>
        <w:t>Mobile Payments users</w:t>
      </w:r>
      <w:r w:rsidR="005C5701" w:rsidRPr="00A84B07">
        <w:rPr>
          <w:rFonts w:ascii="Arial" w:hAnsi="Arial" w:cs="Arial"/>
          <w:bCs/>
          <w:iCs/>
          <w:sz w:val="24"/>
          <w:szCs w:val="24"/>
          <w:vertAlign w:val="superscript"/>
        </w:rPr>
        <w:t>1</w:t>
      </w:r>
      <w:r w:rsidR="005C5701" w:rsidRPr="00A84B07">
        <w:rPr>
          <w:rFonts w:ascii="Arial" w:hAnsi="Arial" w:cs="Arial"/>
          <w:bCs/>
          <w:iCs/>
          <w:sz w:val="24"/>
          <w:szCs w:val="24"/>
        </w:rPr>
        <w:t>.</w:t>
      </w:r>
      <w:r w:rsidR="00A635B5" w:rsidRPr="00A84B07">
        <w:rPr>
          <w:rFonts w:ascii="Arial" w:hAnsi="Arial" w:cs="Arial"/>
          <w:bCs/>
          <w:iCs/>
          <w:sz w:val="24"/>
          <w:szCs w:val="24"/>
        </w:rPr>
        <w:t xml:space="preserve"> </w:t>
      </w:r>
      <w:r w:rsidR="005C5701" w:rsidRPr="00A84B07">
        <w:rPr>
          <w:rFonts w:ascii="Arial" w:hAnsi="Arial" w:cs="Arial"/>
          <w:bCs/>
          <w:iCs/>
          <w:sz w:val="24"/>
          <w:szCs w:val="24"/>
        </w:rPr>
        <w:t>M</w:t>
      </w:r>
      <w:r w:rsidR="00A635B5" w:rsidRPr="00A84B07">
        <w:rPr>
          <w:rFonts w:ascii="Arial" w:hAnsi="Arial" w:cs="Arial"/>
          <w:bCs/>
          <w:iCs/>
          <w:sz w:val="24"/>
          <w:szCs w:val="24"/>
        </w:rPr>
        <w:t xml:space="preserve">ore than half of these users </w:t>
      </w:r>
      <w:r w:rsidR="005C5701" w:rsidRPr="00A84B07">
        <w:rPr>
          <w:rFonts w:ascii="Arial" w:hAnsi="Arial" w:cs="Arial"/>
          <w:bCs/>
          <w:iCs/>
          <w:sz w:val="24"/>
          <w:szCs w:val="24"/>
        </w:rPr>
        <w:t xml:space="preserve">use </w:t>
      </w:r>
      <w:r w:rsidR="00A635B5" w:rsidRPr="00A84B07">
        <w:rPr>
          <w:rFonts w:ascii="Arial" w:hAnsi="Arial" w:cs="Arial"/>
          <w:bCs/>
          <w:iCs/>
          <w:sz w:val="24"/>
          <w:szCs w:val="24"/>
        </w:rPr>
        <w:t>their device to transfer money to friends and family (59%) and just under half us</w:t>
      </w:r>
      <w:r w:rsidR="005C5701" w:rsidRPr="00A84B07">
        <w:rPr>
          <w:rFonts w:ascii="Arial" w:hAnsi="Arial" w:cs="Arial"/>
          <w:bCs/>
          <w:iCs/>
          <w:sz w:val="24"/>
          <w:szCs w:val="24"/>
        </w:rPr>
        <w:t xml:space="preserve">e </w:t>
      </w:r>
      <w:r w:rsidR="00A635B5" w:rsidRPr="00A84B07">
        <w:rPr>
          <w:rFonts w:ascii="Arial" w:hAnsi="Arial" w:cs="Arial"/>
          <w:bCs/>
          <w:iCs/>
          <w:sz w:val="24"/>
          <w:szCs w:val="24"/>
        </w:rPr>
        <w:t>it to buy take-away meal</w:t>
      </w:r>
      <w:r w:rsidR="00A140EC" w:rsidRPr="00A84B07">
        <w:rPr>
          <w:rFonts w:ascii="Arial" w:hAnsi="Arial" w:cs="Arial"/>
          <w:bCs/>
          <w:iCs/>
          <w:sz w:val="24"/>
          <w:szCs w:val="24"/>
        </w:rPr>
        <w:t>s</w:t>
      </w:r>
      <w:r w:rsidR="00A635B5" w:rsidRPr="00A84B07">
        <w:rPr>
          <w:rFonts w:ascii="Arial" w:hAnsi="Arial" w:cs="Arial"/>
          <w:bCs/>
          <w:iCs/>
          <w:sz w:val="24"/>
          <w:szCs w:val="24"/>
        </w:rPr>
        <w:t xml:space="preserve"> (45%).</w:t>
      </w:r>
    </w:p>
    <w:p w:rsidR="008169C3" w:rsidRPr="003D5FD5" w:rsidRDefault="000F7047" w:rsidP="008169C3">
      <w:pPr>
        <w:pStyle w:val="ListParagraph"/>
        <w:spacing w:after="240" w:line="360" w:lineRule="auto"/>
        <w:ind w:left="0"/>
        <w:jc w:val="center"/>
        <w:rPr>
          <w:rFonts w:ascii="Arial" w:hAnsi="Arial" w:cs="Arial"/>
          <w:bCs/>
          <w:iCs/>
          <w:sz w:val="24"/>
          <w:szCs w:val="24"/>
        </w:rPr>
      </w:pPr>
      <w:r>
        <w:rPr>
          <w:noProof/>
          <w:lang w:val="en-GB"/>
        </w:rPr>
        <w:drawing>
          <wp:inline distT="0" distB="0" distL="0" distR="0" wp14:anchorId="0B1F0F0A" wp14:editId="0A26F528">
            <wp:extent cx="5838825" cy="33051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95F5E" w:rsidRPr="003D5FD5" w:rsidRDefault="00395F5E" w:rsidP="00395F5E">
      <w:pPr>
        <w:pStyle w:val="ListParagraph"/>
        <w:spacing w:after="240" w:line="360" w:lineRule="auto"/>
        <w:ind w:left="0"/>
        <w:jc w:val="both"/>
        <w:rPr>
          <w:rFonts w:ascii="Arial" w:hAnsi="Arial" w:cs="Arial"/>
          <w:bCs/>
          <w:iCs/>
          <w:sz w:val="24"/>
          <w:szCs w:val="24"/>
        </w:rPr>
      </w:pPr>
      <w:r>
        <w:rPr>
          <w:rFonts w:ascii="Arial" w:hAnsi="Arial" w:cs="Arial"/>
          <w:bCs/>
          <w:iCs/>
          <w:sz w:val="24"/>
          <w:szCs w:val="24"/>
        </w:rPr>
        <w:t>Interestingly, Mobile Payments users also sa</w:t>
      </w:r>
      <w:r w:rsidR="002F6305">
        <w:rPr>
          <w:rFonts w:ascii="Arial" w:hAnsi="Arial" w:cs="Arial"/>
          <w:bCs/>
          <w:iCs/>
          <w:sz w:val="24"/>
          <w:szCs w:val="24"/>
        </w:rPr>
        <w:t>y</w:t>
      </w:r>
      <w:r>
        <w:rPr>
          <w:rFonts w:ascii="Arial" w:hAnsi="Arial" w:cs="Arial"/>
          <w:bCs/>
          <w:iCs/>
          <w:sz w:val="24"/>
          <w:szCs w:val="24"/>
        </w:rPr>
        <w:t xml:space="preserve"> that they are as comfortable </w:t>
      </w:r>
      <w:r w:rsidRPr="003D5FD5">
        <w:rPr>
          <w:rFonts w:ascii="Arial" w:hAnsi="Arial" w:cs="Arial"/>
          <w:bCs/>
          <w:iCs/>
          <w:sz w:val="24"/>
          <w:szCs w:val="24"/>
        </w:rPr>
        <w:t>making more expensive purchases on mobile devices</w:t>
      </w:r>
      <w:r>
        <w:rPr>
          <w:rFonts w:ascii="Arial" w:hAnsi="Arial" w:cs="Arial"/>
          <w:bCs/>
          <w:iCs/>
          <w:sz w:val="24"/>
          <w:szCs w:val="24"/>
        </w:rPr>
        <w:t xml:space="preserve"> as they are with everyday payments</w:t>
      </w:r>
      <w:r w:rsidRPr="003D5FD5">
        <w:rPr>
          <w:rFonts w:ascii="Arial" w:hAnsi="Arial" w:cs="Arial"/>
          <w:bCs/>
          <w:iCs/>
          <w:sz w:val="24"/>
          <w:szCs w:val="24"/>
        </w:rPr>
        <w:t xml:space="preserve">. </w:t>
      </w:r>
      <w:r w:rsidR="002F6305">
        <w:rPr>
          <w:rFonts w:ascii="Arial" w:hAnsi="Arial" w:cs="Arial"/>
          <w:bCs/>
          <w:iCs/>
          <w:sz w:val="24"/>
          <w:szCs w:val="24"/>
        </w:rPr>
        <w:t xml:space="preserve">In the UK, </w:t>
      </w:r>
      <w:r w:rsidR="002F6305" w:rsidRPr="00A84B07">
        <w:rPr>
          <w:rFonts w:ascii="Arial" w:hAnsi="Arial" w:cs="Arial"/>
          <w:bCs/>
          <w:iCs/>
          <w:sz w:val="24"/>
          <w:szCs w:val="24"/>
        </w:rPr>
        <w:t>o</w:t>
      </w:r>
      <w:r w:rsidRPr="00A84B07">
        <w:rPr>
          <w:rFonts w:ascii="Arial" w:hAnsi="Arial" w:cs="Arial"/>
          <w:bCs/>
          <w:iCs/>
          <w:sz w:val="24"/>
          <w:szCs w:val="24"/>
        </w:rPr>
        <w:t>ver two-fifths (4</w:t>
      </w:r>
      <w:r w:rsidR="00A635B5" w:rsidRPr="00A84B07">
        <w:rPr>
          <w:rFonts w:ascii="Arial" w:hAnsi="Arial" w:cs="Arial"/>
          <w:bCs/>
          <w:iCs/>
          <w:sz w:val="24"/>
          <w:szCs w:val="24"/>
        </w:rPr>
        <w:t>3</w:t>
      </w:r>
      <w:r w:rsidRPr="00A84B07">
        <w:rPr>
          <w:rFonts w:ascii="Arial" w:hAnsi="Arial" w:cs="Arial"/>
          <w:bCs/>
          <w:iCs/>
          <w:sz w:val="24"/>
          <w:szCs w:val="24"/>
        </w:rPr>
        <w:t>%) purchase high-value items such as holidays and electronics on a mobile device as well as regular transactions such as paying household bills (</w:t>
      </w:r>
      <w:r w:rsidR="00A635B5" w:rsidRPr="00A84B07">
        <w:rPr>
          <w:rFonts w:ascii="Arial" w:hAnsi="Arial" w:cs="Arial"/>
          <w:bCs/>
          <w:iCs/>
          <w:sz w:val="24"/>
          <w:szCs w:val="24"/>
        </w:rPr>
        <w:t>42</w:t>
      </w:r>
      <w:r w:rsidRPr="00A84B07">
        <w:rPr>
          <w:rFonts w:ascii="Arial" w:hAnsi="Arial" w:cs="Arial"/>
          <w:bCs/>
          <w:iCs/>
          <w:sz w:val="24"/>
          <w:szCs w:val="24"/>
        </w:rPr>
        <w:t>%) and buying bus or train tickets (4</w:t>
      </w:r>
      <w:r w:rsidR="00A635B5" w:rsidRPr="00A84B07">
        <w:rPr>
          <w:rFonts w:ascii="Arial" w:hAnsi="Arial" w:cs="Arial"/>
          <w:bCs/>
          <w:iCs/>
          <w:sz w:val="24"/>
          <w:szCs w:val="24"/>
        </w:rPr>
        <w:t>1</w:t>
      </w:r>
      <w:r w:rsidRPr="00A84B07">
        <w:rPr>
          <w:rFonts w:ascii="Arial" w:hAnsi="Arial" w:cs="Arial"/>
          <w:bCs/>
          <w:iCs/>
          <w:sz w:val="24"/>
          <w:szCs w:val="24"/>
        </w:rPr>
        <w:t>%).</w:t>
      </w:r>
    </w:p>
    <w:p w:rsidR="00395F5E" w:rsidRPr="005A36E5" w:rsidRDefault="00395F5E" w:rsidP="00724888">
      <w:pPr>
        <w:pStyle w:val="ListParagraph"/>
        <w:spacing w:after="240" w:line="360" w:lineRule="auto"/>
        <w:ind w:left="0"/>
        <w:jc w:val="both"/>
        <w:rPr>
          <w:rFonts w:ascii="Arial" w:hAnsi="Arial" w:cs="Arial"/>
          <w:b/>
          <w:bCs/>
          <w:iCs/>
          <w:sz w:val="24"/>
          <w:szCs w:val="24"/>
        </w:rPr>
      </w:pPr>
      <w:r w:rsidRPr="005A36E5">
        <w:rPr>
          <w:rFonts w:ascii="Arial" w:hAnsi="Arial" w:cs="Arial"/>
          <w:b/>
          <w:bCs/>
          <w:iCs/>
          <w:sz w:val="24"/>
          <w:szCs w:val="24"/>
        </w:rPr>
        <w:t>MOBILE BANKING ON THE RISE</w:t>
      </w:r>
    </w:p>
    <w:p w:rsidR="00A635B5" w:rsidRPr="00605B96" w:rsidRDefault="00724888" w:rsidP="00496D7B">
      <w:pPr>
        <w:pStyle w:val="ListParagraph"/>
        <w:spacing w:after="240" w:line="360" w:lineRule="auto"/>
        <w:ind w:left="0"/>
        <w:jc w:val="both"/>
        <w:rPr>
          <w:rFonts w:ascii="Arial" w:hAnsi="Arial" w:cs="Arial"/>
          <w:bCs/>
          <w:iCs/>
          <w:sz w:val="24"/>
          <w:szCs w:val="24"/>
        </w:rPr>
      </w:pPr>
      <w:r>
        <w:rPr>
          <w:rFonts w:ascii="Arial" w:hAnsi="Arial" w:cs="Arial"/>
          <w:bCs/>
          <w:iCs/>
          <w:sz w:val="24"/>
          <w:szCs w:val="24"/>
        </w:rPr>
        <w:t>T</w:t>
      </w:r>
      <w:r w:rsidR="00242E85">
        <w:rPr>
          <w:rFonts w:ascii="Arial" w:hAnsi="Arial" w:cs="Arial"/>
          <w:bCs/>
          <w:iCs/>
          <w:sz w:val="24"/>
          <w:szCs w:val="24"/>
        </w:rPr>
        <w:t>he research</w:t>
      </w:r>
      <w:r>
        <w:rPr>
          <w:rFonts w:ascii="Arial" w:hAnsi="Arial" w:cs="Arial"/>
          <w:bCs/>
          <w:iCs/>
          <w:sz w:val="24"/>
          <w:szCs w:val="24"/>
        </w:rPr>
        <w:t xml:space="preserve"> also</w:t>
      </w:r>
      <w:r w:rsidR="00242E85">
        <w:rPr>
          <w:rFonts w:ascii="Arial" w:hAnsi="Arial" w:cs="Arial"/>
          <w:bCs/>
          <w:iCs/>
          <w:sz w:val="24"/>
          <w:szCs w:val="24"/>
        </w:rPr>
        <w:t xml:space="preserve"> shows that mobile banking activity is increasing across all age groups. </w:t>
      </w:r>
      <w:r w:rsidR="00744154">
        <w:rPr>
          <w:rFonts w:ascii="Arial" w:hAnsi="Arial" w:cs="Arial"/>
          <w:bCs/>
          <w:iCs/>
          <w:sz w:val="24"/>
          <w:szCs w:val="24"/>
        </w:rPr>
        <w:t xml:space="preserve">For the first time, more than half of </w:t>
      </w:r>
      <w:r w:rsidR="005C5701">
        <w:rPr>
          <w:rFonts w:ascii="Arial" w:hAnsi="Arial" w:cs="Arial"/>
          <w:bCs/>
          <w:iCs/>
          <w:sz w:val="24"/>
          <w:szCs w:val="24"/>
        </w:rPr>
        <w:t xml:space="preserve">European </w:t>
      </w:r>
      <w:r w:rsidR="00744154">
        <w:rPr>
          <w:rFonts w:ascii="Arial" w:hAnsi="Arial" w:cs="Arial"/>
          <w:bCs/>
          <w:iCs/>
          <w:sz w:val="24"/>
          <w:szCs w:val="24"/>
        </w:rPr>
        <w:t xml:space="preserve">respondents in all age brackets are using mobile banking. Whilst millennials remain the most prolific category, other age groups are rapidly catching up. With a growth rate of 33%, the highest growth rate is the 55-64 year olds, while millennials 18-34 have a growth </w:t>
      </w:r>
      <w:r w:rsidR="00744154" w:rsidRPr="00605B96">
        <w:rPr>
          <w:rFonts w:ascii="Arial" w:hAnsi="Arial" w:cs="Arial"/>
          <w:bCs/>
          <w:iCs/>
          <w:sz w:val="24"/>
          <w:szCs w:val="24"/>
        </w:rPr>
        <w:t>rate of 24%.</w:t>
      </w:r>
      <w:r w:rsidR="00EA14CD" w:rsidRPr="00605B96">
        <w:rPr>
          <w:rFonts w:ascii="Arial" w:hAnsi="Arial" w:cs="Arial"/>
          <w:bCs/>
          <w:iCs/>
          <w:sz w:val="24"/>
          <w:szCs w:val="24"/>
        </w:rPr>
        <w:t xml:space="preserve"> </w:t>
      </w:r>
    </w:p>
    <w:p w:rsidR="00242E85" w:rsidRPr="003D5FD5" w:rsidRDefault="00340B6B" w:rsidP="00E33779">
      <w:pPr>
        <w:pStyle w:val="ListParagraph"/>
        <w:spacing w:after="240" w:line="360" w:lineRule="auto"/>
        <w:ind w:left="0"/>
        <w:jc w:val="center"/>
        <w:rPr>
          <w:rFonts w:ascii="Arial" w:hAnsi="Arial" w:cs="Arial"/>
          <w:b/>
          <w:sz w:val="24"/>
          <w:szCs w:val="24"/>
        </w:rPr>
      </w:pPr>
      <w:r>
        <w:rPr>
          <w:noProof/>
          <w:lang w:val="en-GB"/>
        </w:rPr>
        <w:lastRenderedPageBreak/>
        <w:drawing>
          <wp:inline distT="0" distB="0" distL="0" distR="0" wp14:anchorId="778D468D" wp14:editId="6C145991">
            <wp:extent cx="5791200" cy="29527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40B6B" w:rsidRPr="00A84B07" w:rsidRDefault="00340B6B" w:rsidP="00163E68">
      <w:pPr>
        <w:pStyle w:val="ListParagraph"/>
        <w:spacing w:after="240" w:line="360" w:lineRule="auto"/>
        <w:ind w:left="0"/>
        <w:jc w:val="both"/>
        <w:rPr>
          <w:rFonts w:ascii="Arial" w:hAnsi="Arial" w:cs="Arial"/>
          <w:bCs/>
          <w:iCs/>
          <w:sz w:val="24"/>
          <w:szCs w:val="24"/>
        </w:rPr>
      </w:pPr>
      <w:r w:rsidRPr="00A84B07">
        <w:rPr>
          <w:rFonts w:ascii="Arial" w:hAnsi="Arial" w:cs="Arial"/>
          <w:bCs/>
          <w:iCs/>
          <w:sz w:val="24"/>
          <w:szCs w:val="24"/>
        </w:rPr>
        <w:t xml:space="preserve">In the UK, the growth rate among older users has increased by 18%. Nearly half (46%) of 55-64 year olds currently use a mobile device for banking compared with 39% of respondents who accessed online banking through an app in 2015. </w:t>
      </w:r>
    </w:p>
    <w:p w:rsidR="00163E68" w:rsidRDefault="007E2706" w:rsidP="00163E68">
      <w:pPr>
        <w:pStyle w:val="ListParagraph"/>
        <w:spacing w:after="240" w:line="360" w:lineRule="auto"/>
        <w:ind w:left="0"/>
        <w:jc w:val="both"/>
        <w:rPr>
          <w:rFonts w:ascii="Arial" w:hAnsi="Arial" w:cs="Arial"/>
          <w:bCs/>
          <w:iCs/>
          <w:sz w:val="24"/>
          <w:szCs w:val="24"/>
        </w:rPr>
      </w:pPr>
      <w:r>
        <w:rPr>
          <w:rFonts w:ascii="Arial" w:hAnsi="Arial" w:cs="Arial"/>
          <w:bCs/>
          <w:iCs/>
          <w:sz w:val="24"/>
          <w:szCs w:val="24"/>
        </w:rPr>
        <w:t>Across Europe, t</w:t>
      </w:r>
      <w:r w:rsidR="00163E68">
        <w:rPr>
          <w:rFonts w:ascii="Arial" w:hAnsi="Arial" w:cs="Arial"/>
          <w:bCs/>
          <w:iCs/>
          <w:sz w:val="24"/>
          <w:szCs w:val="24"/>
        </w:rPr>
        <w:t xml:space="preserve">he uptick in the number of </w:t>
      </w:r>
      <w:r>
        <w:rPr>
          <w:rFonts w:ascii="Arial" w:hAnsi="Arial" w:cs="Arial"/>
          <w:bCs/>
          <w:iCs/>
          <w:sz w:val="24"/>
          <w:szCs w:val="24"/>
        </w:rPr>
        <w:t xml:space="preserve">respondents </w:t>
      </w:r>
      <w:r w:rsidR="00163E68">
        <w:rPr>
          <w:rFonts w:ascii="Arial" w:hAnsi="Arial" w:cs="Arial"/>
          <w:bCs/>
          <w:iCs/>
          <w:sz w:val="24"/>
          <w:szCs w:val="24"/>
        </w:rPr>
        <w:t xml:space="preserve">using mobile banking is also helping </w:t>
      </w:r>
      <w:r w:rsidR="00744154">
        <w:rPr>
          <w:rFonts w:ascii="Arial" w:hAnsi="Arial" w:cs="Arial"/>
          <w:bCs/>
          <w:iCs/>
          <w:sz w:val="24"/>
          <w:szCs w:val="24"/>
        </w:rPr>
        <w:t xml:space="preserve">more </w:t>
      </w:r>
      <w:r w:rsidR="00163E68">
        <w:rPr>
          <w:rFonts w:ascii="Arial" w:hAnsi="Arial" w:cs="Arial"/>
          <w:bCs/>
          <w:iCs/>
          <w:sz w:val="24"/>
          <w:szCs w:val="24"/>
        </w:rPr>
        <w:t xml:space="preserve">people to keep track of their spending and financial responsibilities – two-fifths (41%) say they regularly </w:t>
      </w:r>
      <w:r w:rsidR="00163E68" w:rsidRPr="003D5FD5">
        <w:rPr>
          <w:rFonts w:ascii="Arial" w:hAnsi="Arial" w:cs="Arial"/>
          <w:bCs/>
          <w:iCs/>
          <w:sz w:val="24"/>
          <w:szCs w:val="24"/>
        </w:rPr>
        <w:t>check their balance online or via a banking app</w:t>
      </w:r>
      <w:r w:rsidR="00163E68">
        <w:rPr>
          <w:rFonts w:ascii="Arial" w:hAnsi="Arial" w:cs="Arial"/>
          <w:bCs/>
          <w:iCs/>
          <w:sz w:val="24"/>
          <w:szCs w:val="24"/>
        </w:rPr>
        <w:t xml:space="preserve">. </w:t>
      </w:r>
    </w:p>
    <w:p w:rsidR="008169C3" w:rsidRPr="00740575" w:rsidRDefault="000A42E2" w:rsidP="008169C3">
      <w:pPr>
        <w:pStyle w:val="ListParagraph"/>
        <w:spacing w:after="240" w:line="360" w:lineRule="auto"/>
        <w:ind w:left="0"/>
        <w:jc w:val="both"/>
        <w:rPr>
          <w:rFonts w:ascii="Arial" w:hAnsi="Arial" w:cs="Arial"/>
          <w:b/>
          <w:bCs/>
          <w:iCs/>
          <w:sz w:val="24"/>
          <w:szCs w:val="24"/>
        </w:rPr>
      </w:pPr>
      <w:r w:rsidRPr="00A84B07">
        <w:rPr>
          <w:rFonts w:ascii="Arial" w:hAnsi="Arial" w:cs="Arial"/>
          <w:b/>
          <w:bCs/>
          <w:iCs/>
          <w:sz w:val="24"/>
          <w:szCs w:val="24"/>
        </w:rPr>
        <w:t>Kevin Jenkins, UK &amp; Ireland Managing Director at Visa</w:t>
      </w:r>
      <w:r w:rsidR="008169C3" w:rsidRPr="00A84B07">
        <w:rPr>
          <w:rFonts w:ascii="Arial" w:hAnsi="Arial" w:cs="Arial"/>
          <w:b/>
          <w:bCs/>
          <w:iCs/>
          <w:sz w:val="24"/>
          <w:szCs w:val="24"/>
        </w:rPr>
        <w:t xml:space="preserve"> said:</w:t>
      </w:r>
    </w:p>
    <w:p w:rsidR="008169C3" w:rsidRPr="003D5FD5" w:rsidRDefault="008169C3" w:rsidP="008169C3">
      <w:pPr>
        <w:pStyle w:val="ListParagraph"/>
        <w:spacing w:after="240" w:line="360" w:lineRule="auto"/>
        <w:ind w:left="0"/>
        <w:jc w:val="both"/>
        <w:rPr>
          <w:rFonts w:ascii="Arial" w:hAnsi="Arial" w:cs="Arial"/>
          <w:bCs/>
          <w:iCs/>
          <w:sz w:val="24"/>
          <w:szCs w:val="24"/>
        </w:rPr>
      </w:pPr>
      <w:r w:rsidRPr="003D5FD5">
        <w:rPr>
          <w:rFonts w:ascii="Arial" w:hAnsi="Arial" w:cs="Arial"/>
          <w:bCs/>
          <w:iCs/>
          <w:sz w:val="24"/>
          <w:szCs w:val="24"/>
        </w:rPr>
        <w:t xml:space="preserve">“This data is </w:t>
      </w:r>
      <w:r w:rsidR="00CC6C6D">
        <w:rPr>
          <w:rFonts w:ascii="Arial" w:hAnsi="Arial" w:cs="Arial"/>
          <w:bCs/>
          <w:iCs/>
          <w:sz w:val="24"/>
          <w:szCs w:val="24"/>
        </w:rPr>
        <w:t xml:space="preserve">a </w:t>
      </w:r>
      <w:r w:rsidRPr="003D5FD5">
        <w:rPr>
          <w:rFonts w:ascii="Arial" w:hAnsi="Arial" w:cs="Arial"/>
          <w:bCs/>
          <w:iCs/>
          <w:sz w:val="24"/>
          <w:szCs w:val="24"/>
        </w:rPr>
        <w:t xml:space="preserve">confirmation </w:t>
      </w:r>
      <w:r w:rsidR="00CC6C6D">
        <w:rPr>
          <w:rFonts w:ascii="Arial" w:hAnsi="Arial" w:cs="Arial"/>
          <w:bCs/>
          <w:iCs/>
          <w:sz w:val="24"/>
          <w:szCs w:val="24"/>
        </w:rPr>
        <w:t>that the future of</w:t>
      </w:r>
      <w:r w:rsidRPr="003D5FD5">
        <w:rPr>
          <w:rFonts w:ascii="Arial" w:hAnsi="Arial" w:cs="Arial"/>
          <w:bCs/>
          <w:iCs/>
          <w:sz w:val="24"/>
          <w:szCs w:val="24"/>
        </w:rPr>
        <w:t xml:space="preserve"> digital payments</w:t>
      </w:r>
      <w:r w:rsidR="00E04F82">
        <w:rPr>
          <w:rFonts w:ascii="Arial" w:hAnsi="Arial" w:cs="Arial"/>
          <w:bCs/>
          <w:iCs/>
          <w:sz w:val="24"/>
          <w:szCs w:val="24"/>
        </w:rPr>
        <w:t xml:space="preserve"> has arrived, with c</w:t>
      </w:r>
      <w:r w:rsidRPr="003D5FD5">
        <w:rPr>
          <w:rFonts w:ascii="Arial" w:hAnsi="Arial" w:cs="Arial"/>
          <w:bCs/>
          <w:iCs/>
          <w:sz w:val="24"/>
          <w:szCs w:val="24"/>
        </w:rPr>
        <w:t xml:space="preserve">onsumers across the length and breadth </w:t>
      </w:r>
      <w:r w:rsidRPr="00A84B07">
        <w:rPr>
          <w:rFonts w:ascii="Arial" w:hAnsi="Arial" w:cs="Arial"/>
          <w:bCs/>
          <w:iCs/>
          <w:sz w:val="24"/>
          <w:szCs w:val="24"/>
        </w:rPr>
        <w:t xml:space="preserve">of </w:t>
      </w:r>
      <w:r w:rsidR="00A140EC" w:rsidRPr="00A84B07">
        <w:rPr>
          <w:rFonts w:ascii="Arial" w:hAnsi="Arial" w:cs="Arial"/>
          <w:bCs/>
          <w:iCs/>
          <w:sz w:val="24"/>
          <w:szCs w:val="24"/>
        </w:rPr>
        <w:t xml:space="preserve">the </w:t>
      </w:r>
      <w:r w:rsidR="006859DD" w:rsidRPr="00A84B07">
        <w:rPr>
          <w:rFonts w:ascii="Arial" w:hAnsi="Arial" w:cs="Arial"/>
          <w:bCs/>
          <w:iCs/>
          <w:sz w:val="24"/>
          <w:szCs w:val="24"/>
        </w:rPr>
        <w:t xml:space="preserve">UK and </w:t>
      </w:r>
      <w:r w:rsidRPr="00A84B07">
        <w:rPr>
          <w:rFonts w:ascii="Arial" w:hAnsi="Arial" w:cs="Arial"/>
          <w:bCs/>
          <w:iCs/>
          <w:sz w:val="24"/>
          <w:szCs w:val="24"/>
        </w:rPr>
        <w:t>Europe</w:t>
      </w:r>
      <w:r w:rsidRPr="003D5FD5">
        <w:rPr>
          <w:rFonts w:ascii="Arial" w:hAnsi="Arial" w:cs="Arial"/>
          <w:bCs/>
          <w:iCs/>
          <w:sz w:val="24"/>
          <w:szCs w:val="24"/>
        </w:rPr>
        <w:t xml:space="preserve"> </w:t>
      </w:r>
      <w:r w:rsidR="00E04F82">
        <w:rPr>
          <w:rFonts w:ascii="Arial" w:hAnsi="Arial" w:cs="Arial"/>
          <w:bCs/>
          <w:iCs/>
          <w:sz w:val="24"/>
          <w:szCs w:val="24"/>
        </w:rPr>
        <w:t>embracing</w:t>
      </w:r>
      <w:r w:rsidR="00E04F82" w:rsidRPr="003D5FD5">
        <w:rPr>
          <w:rFonts w:ascii="Arial" w:hAnsi="Arial" w:cs="Arial"/>
          <w:bCs/>
          <w:iCs/>
          <w:sz w:val="24"/>
          <w:szCs w:val="24"/>
        </w:rPr>
        <w:t xml:space="preserve"> </w:t>
      </w:r>
      <w:r w:rsidR="006859DD">
        <w:rPr>
          <w:rFonts w:ascii="Arial" w:hAnsi="Arial" w:cs="Arial"/>
          <w:bCs/>
          <w:iCs/>
          <w:sz w:val="24"/>
          <w:szCs w:val="24"/>
        </w:rPr>
        <w:t>a variety of</w:t>
      </w:r>
      <w:r w:rsidR="006859DD" w:rsidRPr="003D5FD5">
        <w:rPr>
          <w:rFonts w:ascii="Arial" w:hAnsi="Arial" w:cs="Arial"/>
          <w:bCs/>
          <w:iCs/>
          <w:sz w:val="24"/>
          <w:szCs w:val="24"/>
        </w:rPr>
        <w:t xml:space="preserve"> </w:t>
      </w:r>
      <w:r w:rsidRPr="003D5FD5">
        <w:rPr>
          <w:rFonts w:ascii="Arial" w:hAnsi="Arial" w:cs="Arial"/>
          <w:bCs/>
          <w:iCs/>
          <w:sz w:val="24"/>
          <w:szCs w:val="24"/>
        </w:rPr>
        <w:t xml:space="preserve">new </w:t>
      </w:r>
      <w:r w:rsidR="00307A16">
        <w:rPr>
          <w:rFonts w:ascii="Arial" w:hAnsi="Arial" w:cs="Arial"/>
          <w:bCs/>
          <w:iCs/>
          <w:sz w:val="24"/>
          <w:szCs w:val="24"/>
        </w:rPr>
        <w:t>ways to pay</w:t>
      </w:r>
      <w:r w:rsidRPr="003D5FD5">
        <w:rPr>
          <w:rFonts w:ascii="Arial" w:hAnsi="Arial" w:cs="Arial"/>
          <w:bCs/>
          <w:iCs/>
          <w:sz w:val="24"/>
          <w:szCs w:val="24"/>
        </w:rPr>
        <w:t xml:space="preserve">.  </w:t>
      </w:r>
      <w:r w:rsidR="00E04F82">
        <w:rPr>
          <w:rFonts w:ascii="Arial" w:hAnsi="Arial" w:cs="Arial"/>
          <w:bCs/>
          <w:iCs/>
          <w:sz w:val="24"/>
          <w:szCs w:val="24"/>
        </w:rPr>
        <w:t xml:space="preserve">Visa sees </w:t>
      </w:r>
      <w:r w:rsidR="00D87B23">
        <w:rPr>
          <w:rFonts w:ascii="Arial" w:hAnsi="Arial" w:cs="Arial"/>
          <w:bCs/>
          <w:iCs/>
          <w:sz w:val="24"/>
          <w:szCs w:val="24"/>
        </w:rPr>
        <w:t xml:space="preserve">smartphones </w:t>
      </w:r>
      <w:r w:rsidR="00E04F82">
        <w:rPr>
          <w:rFonts w:ascii="Arial" w:hAnsi="Arial" w:cs="Arial"/>
          <w:bCs/>
          <w:iCs/>
          <w:sz w:val="24"/>
          <w:szCs w:val="24"/>
        </w:rPr>
        <w:t>and wearables as the beginning of a broader trend</w:t>
      </w:r>
      <w:r w:rsidR="00605B96">
        <w:rPr>
          <w:rFonts w:ascii="Arial" w:hAnsi="Arial" w:cs="Arial"/>
          <w:bCs/>
          <w:iCs/>
          <w:sz w:val="24"/>
          <w:szCs w:val="24"/>
        </w:rPr>
        <w:t xml:space="preserve">, with millions of new connected devices making it simple, safe and secure to integrate daily commerce transactions into almost any technology. </w:t>
      </w:r>
    </w:p>
    <w:p w:rsidR="008169C3" w:rsidRPr="003D5FD5" w:rsidRDefault="008169C3" w:rsidP="008169C3">
      <w:pPr>
        <w:pStyle w:val="ListParagraph"/>
        <w:spacing w:after="240" w:line="360" w:lineRule="auto"/>
        <w:ind w:left="0"/>
        <w:jc w:val="both"/>
        <w:rPr>
          <w:rFonts w:ascii="Arial" w:hAnsi="Arial" w:cs="Arial"/>
          <w:bCs/>
          <w:iCs/>
          <w:sz w:val="24"/>
          <w:szCs w:val="24"/>
        </w:rPr>
      </w:pPr>
      <w:r w:rsidRPr="003D5FD5">
        <w:rPr>
          <w:rFonts w:ascii="Arial" w:hAnsi="Arial" w:cs="Arial"/>
          <w:bCs/>
          <w:iCs/>
          <w:sz w:val="24"/>
          <w:szCs w:val="24"/>
        </w:rPr>
        <w:t xml:space="preserve">“In Europe, </w:t>
      </w:r>
      <w:r w:rsidR="00744154">
        <w:rPr>
          <w:rFonts w:ascii="Arial" w:hAnsi="Arial" w:cs="Arial"/>
          <w:bCs/>
          <w:iCs/>
          <w:sz w:val="24"/>
          <w:szCs w:val="24"/>
        </w:rPr>
        <w:t>we’ve recently seen</w:t>
      </w:r>
      <w:r w:rsidRPr="003D5FD5">
        <w:rPr>
          <w:rFonts w:ascii="Arial" w:hAnsi="Arial" w:cs="Arial"/>
          <w:bCs/>
          <w:iCs/>
          <w:sz w:val="24"/>
          <w:szCs w:val="24"/>
        </w:rPr>
        <w:t xml:space="preserve"> Apple Pay launched in the UK, France and Switzerland, Samsung Pay has launched in S</w:t>
      </w:r>
      <w:r w:rsidR="00E07664">
        <w:rPr>
          <w:rFonts w:ascii="Arial" w:hAnsi="Arial" w:cs="Arial"/>
          <w:bCs/>
          <w:iCs/>
          <w:sz w:val="24"/>
          <w:szCs w:val="24"/>
        </w:rPr>
        <w:t xml:space="preserve">pain and Android Pay in the UK. </w:t>
      </w:r>
      <w:r w:rsidRPr="003D5FD5">
        <w:rPr>
          <w:rFonts w:ascii="Arial" w:hAnsi="Arial" w:cs="Arial"/>
          <w:bCs/>
          <w:iCs/>
          <w:sz w:val="24"/>
          <w:szCs w:val="24"/>
        </w:rPr>
        <w:t>We’ve also seen a new era of wearable payments: smartwatches, wristbands and even clothing</w:t>
      </w:r>
      <w:r w:rsidR="00242E85">
        <w:rPr>
          <w:rFonts w:ascii="Arial" w:hAnsi="Arial" w:cs="Arial"/>
          <w:bCs/>
          <w:iCs/>
          <w:sz w:val="24"/>
          <w:szCs w:val="24"/>
        </w:rPr>
        <w:t>.</w:t>
      </w:r>
      <w:r w:rsidRPr="003D5FD5">
        <w:rPr>
          <w:rFonts w:ascii="Arial" w:hAnsi="Arial" w:cs="Arial"/>
          <w:bCs/>
          <w:iCs/>
          <w:sz w:val="24"/>
          <w:szCs w:val="24"/>
        </w:rPr>
        <w:t xml:space="preserve"> </w:t>
      </w:r>
      <w:r w:rsidR="00242E85">
        <w:rPr>
          <w:rFonts w:ascii="Arial" w:hAnsi="Arial" w:cs="Arial"/>
          <w:bCs/>
          <w:iCs/>
          <w:sz w:val="24"/>
          <w:szCs w:val="24"/>
        </w:rPr>
        <w:t>I</w:t>
      </w:r>
      <w:r w:rsidRPr="003D5FD5">
        <w:rPr>
          <w:rFonts w:ascii="Arial" w:hAnsi="Arial" w:cs="Arial"/>
          <w:bCs/>
          <w:iCs/>
          <w:sz w:val="24"/>
          <w:szCs w:val="24"/>
        </w:rPr>
        <w:t>t’s clear</w:t>
      </w:r>
      <w:r w:rsidR="00B5498D">
        <w:rPr>
          <w:rFonts w:ascii="Arial" w:hAnsi="Arial" w:cs="Arial"/>
          <w:bCs/>
          <w:iCs/>
          <w:sz w:val="24"/>
          <w:szCs w:val="24"/>
        </w:rPr>
        <w:t xml:space="preserve"> that</w:t>
      </w:r>
      <w:r w:rsidRPr="003D5FD5">
        <w:rPr>
          <w:rFonts w:ascii="Arial" w:hAnsi="Arial" w:cs="Arial"/>
          <w:bCs/>
          <w:iCs/>
          <w:sz w:val="24"/>
          <w:szCs w:val="24"/>
        </w:rPr>
        <w:t xml:space="preserve"> this </w:t>
      </w:r>
      <w:r w:rsidR="00F74831">
        <w:rPr>
          <w:rFonts w:ascii="Arial" w:hAnsi="Arial" w:cs="Arial"/>
          <w:bCs/>
          <w:iCs/>
          <w:sz w:val="24"/>
          <w:szCs w:val="24"/>
        </w:rPr>
        <w:t>trend will continue</w:t>
      </w:r>
      <w:r w:rsidR="00E04F82">
        <w:rPr>
          <w:rFonts w:ascii="Arial" w:hAnsi="Arial" w:cs="Arial"/>
          <w:bCs/>
          <w:iCs/>
          <w:sz w:val="24"/>
          <w:szCs w:val="24"/>
        </w:rPr>
        <w:t xml:space="preserve"> to accelerate</w:t>
      </w:r>
      <w:r w:rsidR="00F74831">
        <w:rPr>
          <w:rFonts w:ascii="Arial" w:hAnsi="Arial" w:cs="Arial"/>
          <w:bCs/>
          <w:iCs/>
          <w:sz w:val="24"/>
          <w:szCs w:val="24"/>
        </w:rPr>
        <w:t xml:space="preserve">, enabling </w:t>
      </w:r>
      <w:r w:rsidR="006859DD">
        <w:rPr>
          <w:rFonts w:ascii="Arial" w:hAnsi="Arial" w:cs="Arial"/>
          <w:bCs/>
          <w:iCs/>
          <w:sz w:val="24"/>
          <w:szCs w:val="24"/>
        </w:rPr>
        <w:t xml:space="preserve">consumers </w:t>
      </w:r>
      <w:r w:rsidR="00F74831">
        <w:rPr>
          <w:rFonts w:ascii="Arial" w:hAnsi="Arial" w:cs="Arial"/>
          <w:bCs/>
          <w:iCs/>
          <w:sz w:val="24"/>
          <w:szCs w:val="24"/>
        </w:rPr>
        <w:t xml:space="preserve">to choose the </w:t>
      </w:r>
      <w:r w:rsidR="00E04F82">
        <w:rPr>
          <w:rFonts w:ascii="Arial" w:hAnsi="Arial" w:cs="Arial"/>
          <w:bCs/>
          <w:iCs/>
          <w:sz w:val="24"/>
          <w:szCs w:val="24"/>
        </w:rPr>
        <w:t>connected device</w:t>
      </w:r>
      <w:r w:rsidR="00F74831">
        <w:rPr>
          <w:rFonts w:ascii="Arial" w:hAnsi="Arial" w:cs="Arial"/>
          <w:bCs/>
          <w:iCs/>
          <w:sz w:val="24"/>
          <w:szCs w:val="24"/>
        </w:rPr>
        <w:t xml:space="preserve"> that fits with their lifestyle</w:t>
      </w:r>
      <w:r w:rsidRPr="003D5FD5">
        <w:rPr>
          <w:rFonts w:ascii="Arial" w:hAnsi="Arial" w:cs="Arial"/>
          <w:bCs/>
          <w:iCs/>
          <w:sz w:val="24"/>
          <w:szCs w:val="24"/>
        </w:rPr>
        <w:t>.”</w:t>
      </w:r>
    </w:p>
    <w:p w:rsidR="00744154" w:rsidRPr="00744154" w:rsidRDefault="00744154" w:rsidP="008169C3">
      <w:pPr>
        <w:pStyle w:val="ListParagraph"/>
        <w:spacing w:after="240" w:line="360" w:lineRule="auto"/>
        <w:ind w:left="0"/>
        <w:jc w:val="both"/>
        <w:rPr>
          <w:rFonts w:ascii="Arial" w:hAnsi="Arial" w:cs="Arial"/>
          <w:b/>
          <w:bCs/>
          <w:iCs/>
          <w:sz w:val="24"/>
          <w:szCs w:val="24"/>
        </w:rPr>
      </w:pPr>
      <w:r w:rsidRPr="00744154">
        <w:rPr>
          <w:rFonts w:ascii="Arial" w:hAnsi="Arial" w:cs="Arial"/>
          <w:b/>
          <w:bCs/>
          <w:iCs/>
          <w:sz w:val="24"/>
          <w:szCs w:val="24"/>
        </w:rPr>
        <w:lastRenderedPageBreak/>
        <w:t>CORRELATION WITH CONTACTLESS</w:t>
      </w:r>
    </w:p>
    <w:p w:rsidR="008169C3" w:rsidRPr="003D5FD5" w:rsidRDefault="008169C3" w:rsidP="008169C3">
      <w:pPr>
        <w:pStyle w:val="ListParagraph"/>
        <w:spacing w:after="240" w:line="360" w:lineRule="auto"/>
        <w:ind w:left="0"/>
        <w:jc w:val="both"/>
        <w:rPr>
          <w:rFonts w:ascii="Arial" w:hAnsi="Arial" w:cs="Arial"/>
          <w:bCs/>
          <w:iCs/>
          <w:sz w:val="24"/>
          <w:szCs w:val="24"/>
        </w:rPr>
      </w:pPr>
      <w:r w:rsidRPr="003D5FD5">
        <w:rPr>
          <w:rFonts w:ascii="Arial" w:hAnsi="Arial" w:cs="Arial"/>
          <w:bCs/>
          <w:iCs/>
          <w:sz w:val="24"/>
          <w:szCs w:val="24"/>
        </w:rPr>
        <w:t>This increase in engagement with digital payments coincides with greater adoption of contactless technology</w:t>
      </w:r>
      <w:r w:rsidRPr="00A84B07">
        <w:rPr>
          <w:rFonts w:ascii="Arial" w:hAnsi="Arial" w:cs="Arial"/>
          <w:bCs/>
          <w:iCs/>
          <w:sz w:val="24"/>
          <w:szCs w:val="24"/>
        </w:rPr>
        <w:t>. The research indicates that</w:t>
      </w:r>
      <w:r w:rsidR="00A140EC" w:rsidRPr="00A84B07">
        <w:rPr>
          <w:rFonts w:ascii="Arial" w:hAnsi="Arial" w:cs="Arial"/>
          <w:bCs/>
          <w:iCs/>
          <w:sz w:val="24"/>
          <w:szCs w:val="24"/>
        </w:rPr>
        <w:t>,</w:t>
      </w:r>
      <w:r w:rsidRPr="00A84B07">
        <w:rPr>
          <w:rFonts w:ascii="Arial" w:hAnsi="Arial" w:cs="Arial"/>
          <w:bCs/>
          <w:iCs/>
          <w:sz w:val="24"/>
          <w:szCs w:val="24"/>
        </w:rPr>
        <w:t xml:space="preserve"> across all age groups, contactless </w:t>
      </w:r>
      <w:r w:rsidR="00744154" w:rsidRPr="00A84B07">
        <w:rPr>
          <w:rFonts w:ascii="Arial" w:hAnsi="Arial" w:cs="Arial"/>
          <w:bCs/>
          <w:iCs/>
          <w:sz w:val="24"/>
          <w:szCs w:val="24"/>
        </w:rPr>
        <w:t>payments</w:t>
      </w:r>
      <w:r w:rsidRPr="00A84B07">
        <w:rPr>
          <w:rFonts w:ascii="Arial" w:hAnsi="Arial" w:cs="Arial"/>
          <w:bCs/>
          <w:iCs/>
          <w:sz w:val="24"/>
          <w:szCs w:val="24"/>
        </w:rPr>
        <w:t xml:space="preserve"> are now the norm. </w:t>
      </w:r>
      <w:r w:rsidR="0002272F" w:rsidRPr="00A84B07">
        <w:rPr>
          <w:rFonts w:ascii="Arial" w:hAnsi="Arial" w:cs="Arial"/>
          <w:bCs/>
          <w:iCs/>
          <w:sz w:val="24"/>
          <w:szCs w:val="24"/>
        </w:rPr>
        <w:t xml:space="preserve">In </w:t>
      </w:r>
      <w:r w:rsidR="00A84B07">
        <w:rPr>
          <w:rFonts w:ascii="Arial" w:hAnsi="Arial" w:cs="Arial"/>
          <w:bCs/>
          <w:iCs/>
          <w:sz w:val="24"/>
          <w:szCs w:val="24"/>
        </w:rPr>
        <w:t>t</w:t>
      </w:r>
      <w:r w:rsidR="0002272F" w:rsidRPr="00A84B07">
        <w:rPr>
          <w:rFonts w:ascii="Arial" w:hAnsi="Arial" w:cs="Arial"/>
          <w:bCs/>
          <w:iCs/>
          <w:sz w:val="24"/>
          <w:szCs w:val="24"/>
        </w:rPr>
        <w:t>he UK, m</w:t>
      </w:r>
      <w:r w:rsidR="00307A16" w:rsidRPr="00A84B07">
        <w:rPr>
          <w:rFonts w:ascii="Arial" w:hAnsi="Arial" w:cs="Arial"/>
          <w:bCs/>
          <w:iCs/>
          <w:sz w:val="24"/>
          <w:szCs w:val="24"/>
        </w:rPr>
        <w:t>ore than half the people surveyed (</w:t>
      </w:r>
      <w:r w:rsidR="003936D7" w:rsidRPr="00A84B07">
        <w:rPr>
          <w:rFonts w:ascii="Arial" w:hAnsi="Arial" w:cs="Arial"/>
          <w:bCs/>
          <w:iCs/>
          <w:sz w:val="24"/>
          <w:szCs w:val="24"/>
        </w:rPr>
        <w:t>58</w:t>
      </w:r>
      <w:r w:rsidR="00307A16" w:rsidRPr="00A84B07">
        <w:rPr>
          <w:rFonts w:ascii="Arial" w:hAnsi="Arial" w:cs="Arial"/>
          <w:bCs/>
          <w:iCs/>
          <w:sz w:val="24"/>
          <w:szCs w:val="24"/>
        </w:rPr>
        <w:t xml:space="preserve">%) used contactless cards this year, up from </w:t>
      </w:r>
      <w:r w:rsidR="003936D7" w:rsidRPr="00A84B07">
        <w:rPr>
          <w:rFonts w:ascii="Arial" w:hAnsi="Arial" w:cs="Arial"/>
          <w:bCs/>
          <w:iCs/>
          <w:sz w:val="24"/>
          <w:szCs w:val="24"/>
        </w:rPr>
        <w:t>2</w:t>
      </w:r>
      <w:r w:rsidR="00A56AB6" w:rsidRPr="00A84B07">
        <w:rPr>
          <w:rFonts w:ascii="Arial" w:hAnsi="Arial" w:cs="Arial"/>
          <w:bCs/>
          <w:iCs/>
          <w:sz w:val="24"/>
          <w:szCs w:val="24"/>
        </w:rPr>
        <w:t>0</w:t>
      </w:r>
      <w:r w:rsidRPr="00A84B07">
        <w:rPr>
          <w:rFonts w:ascii="Arial" w:hAnsi="Arial" w:cs="Arial"/>
          <w:bCs/>
          <w:iCs/>
          <w:sz w:val="24"/>
          <w:szCs w:val="24"/>
        </w:rPr>
        <w:t>%</w:t>
      </w:r>
      <w:r w:rsidR="007A6056" w:rsidRPr="00A84B07">
        <w:rPr>
          <w:rFonts w:ascii="Arial" w:hAnsi="Arial" w:cs="Arial"/>
          <w:bCs/>
          <w:iCs/>
          <w:sz w:val="24"/>
          <w:szCs w:val="24"/>
        </w:rPr>
        <w:t xml:space="preserve"> </w:t>
      </w:r>
      <w:r w:rsidRPr="00A84B07">
        <w:rPr>
          <w:rFonts w:ascii="Arial" w:hAnsi="Arial" w:cs="Arial"/>
          <w:bCs/>
          <w:iCs/>
          <w:sz w:val="24"/>
          <w:szCs w:val="24"/>
        </w:rPr>
        <w:t>in 2015.</w:t>
      </w:r>
      <w:r w:rsidRPr="003D5FD5">
        <w:rPr>
          <w:rFonts w:ascii="Arial" w:hAnsi="Arial" w:cs="Arial"/>
          <w:bCs/>
          <w:iCs/>
          <w:sz w:val="24"/>
          <w:szCs w:val="24"/>
        </w:rPr>
        <w:t xml:space="preserve"> </w:t>
      </w:r>
    </w:p>
    <w:p w:rsidR="008169C3" w:rsidRPr="003D5FD5" w:rsidRDefault="0002272F" w:rsidP="008169C3">
      <w:pPr>
        <w:pStyle w:val="ListParagraph"/>
        <w:spacing w:after="240" w:line="360" w:lineRule="auto"/>
        <w:ind w:left="0"/>
        <w:jc w:val="both"/>
        <w:rPr>
          <w:rFonts w:ascii="Arial" w:hAnsi="Arial" w:cs="Arial"/>
          <w:bCs/>
          <w:iCs/>
          <w:sz w:val="24"/>
          <w:szCs w:val="24"/>
        </w:rPr>
      </w:pPr>
      <w:r>
        <w:rPr>
          <w:rFonts w:ascii="Arial" w:hAnsi="Arial" w:cs="Arial"/>
          <w:bCs/>
          <w:iCs/>
          <w:sz w:val="24"/>
          <w:szCs w:val="24"/>
        </w:rPr>
        <w:t>Europe-wide, c</w:t>
      </w:r>
      <w:r w:rsidR="008169C3" w:rsidRPr="003D5FD5">
        <w:rPr>
          <w:rFonts w:ascii="Arial" w:hAnsi="Arial" w:cs="Arial"/>
          <w:bCs/>
          <w:iCs/>
          <w:sz w:val="24"/>
          <w:szCs w:val="24"/>
        </w:rPr>
        <w:t xml:space="preserve">ontactless users are </w:t>
      </w:r>
      <w:r w:rsidR="00B5498D">
        <w:rPr>
          <w:rFonts w:ascii="Arial" w:hAnsi="Arial" w:cs="Arial"/>
          <w:bCs/>
          <w:iCs/>
          <w:sz w:val="24"/>
          <w:szCs w:val="24"/>
        </w:rPr>
        <w:t xml:space="preserve">also </w:t>
      </w:r>
      <w:r w:rsidR="008169C3" w:rsidRPr="003D5FD5">
        <w:rPr>
          <w:rFonts w:ascii="Arial" w:hAnsi="Arial" w:cs="Arial"/>
          <w:bCs/>
          <w:iCs/>
          <w:sz w:val="24"/>
          <w:szCs w:val="24"/>
        </w:rPr>
        <w:t xml:space="preserve">consistently more open to embracing newer payment methods than those who don’t use contactless cards. </w:t>
      </w:r>
      <w:r w:rsidR="00165A38">
        <w:rPr>
          <w:rFonts w:ascii="Arial" w:hAnsi="Arial" w:cs="Arial"/>
          <w:bCs/>
          <w:iCs/>
          <w:sz w:val="24"/>
          <w:szCs w:val="24"/>
        </w:rPr>
        <w:t xml:space="preserve">The study highlights </w:t>
      </w:r>
      <w:r w:rsidR="00307A16">
        <w:rPr>
          <w:rFonts w:ascii="Arial" w:hAnsi="Arial" w:cs="Arial"/>
          <w:bCs/>
          <w:iCs/>
          <w:sz w:val="24"/>
          <w:szCs w:val="24"/>
        </w:rPr>
        <w:t xml:space="preserve">the correlation between contactless usage and new payment methods, revealing that </w:t>
      </w:r>
      <w:r w:rsidR="00165A38">
        <w:rPr>
          <w:rFonts w:ascii="Arial" w:hAnsi="Arial" w:cs="Arial"/>
          <w:bCs/>
          <w:iCs/>
          <w:sz w:val="24"/>
          <w:szCs w:val="24"/>
        </w:rPr>
        <w:t>c</w:t>
      </w:r>
      <w:r w:rsidR="008169C3" w:rsidRPr="003D5FD5">
        <w:rPr>
          <w:rFonts w:ascii="Arial" w:hAnsi="Arial" w:cs="Arial"/>
          <w:bCs/>
          <w:iCs/>
          <w:sz w:val="24"/>
          <w:szCs w:val="24"/>
        </w:rPr>
        <w:t xml:space="preserve">ontactless card users are more interested in using a mobile device as a payment method </w:t>
      </w:r>
      <w:r w:rsidR="00A46DE0">
        <w:rPr>
          <w:rFonts w:ascii="Arial" w:hAnsi="Arial" w:cs="Arial"/>
          <w:bCs/>
          <w:iCs/>
          <w:sz w:val="24"/>
          <w:szCs w:val="24"/>
        </w:rPr>
        <w:t xml:space="preserve">in a shop </w:t>
      </w:r>
      <w:r w:rsidR="008169C3" w:rsidRPr="003D5FD5">
        <w:rPr>
          <w:rFonts w:ascii="Arial" w:hAnsi="Arial" w:cs="Arial"/>
          <w:bCs/>
          <w:iCs/>
          <w:sz w:val="24"/>
          <w:szCs w:val="24"/>
        </w:rPr>
        <w:t xml:space="preserve">(52% </w:t>
      </w:r>
      <w:r w:rsidR="00242E85">
        <w:rPr>
          <w:rFonts w:ascii="Arial" w:hAnsi="Arial" w:cs="Arial"/>
          <w:bCs/>
          <w:iCs/>
          <w:sz w:val="24"/>
          <w:szCs w:val="24"/>
        </w:rPr>
        <w:t xml:space="preserve">contactless card user </w:t>
      </w:r>
      <w:r w:rsidR="008169C3" w:rsidRPr="003D5FD5">
        <w:rPr>
          <w:rFonts w:ascii="Arial" w:hAnsi="Arial" w:cs="Arial"/>
          <w:bCs/>
          <w:iCs/>
          <w:sz w:val="24"/>
          <w:szCs w:val="24"/>
        </w:rPr>
        <w:t xml:space="preserve">vs </w:t>
      </w:r>
      <w:r w:rsidR="00A46DE0" w:rsidRPr="003D5FD5">
        <w:rPr>
          <w:rFonts w:ascii="Arial" w:hAnsi="Arial" w:cs="Arial"/>
          <w:bCs/>
          <w:iCs/>
          <w:sz w:val="24"/>
          <w:szCs w:val="24"/>
        </w:rPr>
        <w:t>3</w:t>
      </w:r>
      <w:r w:rsidR="00A46DE0">
        <w:rPr>
          <w:rFonts w:ascii="Arial" w:hAnsi="Arial" w:cs="Arial"/>
          <w:bCs/>
          <w:iCs/>
          <w:sz w:val="24"/>
          <w:szCs w:val="24"/>
        </w:rPr>
        <w:t>2</w:t>
      </w:r>
      <w:r w:rsidR="008169C3" w:rsidRPr="003D5FD5">
        <w:rPr>
          <w:rFonts w:ascii="Arial" w:hAnsi="Arial" w:cs="Arial"/>
          <w:bCs/>
          <w:iCs/>
          <w:sz w:val="24"/>
          <w:szCs w:val="24"/>
        </w:rPr>
        <w:t>%</w:t>
      </w:r>
      <w:r w:rsidR="00242E85">
        <w:rPr>
          <w:rFonts w:ascii="Arial" w:hAnsi="Arial" w:cs="Arial"/>
          <w:bCs/>
          <w:iCs/>
          <w:sz w:val="24"/>
          <w:szCs w:val="24"/>
        </w:rPr>
        <w:t xml:space="preserve"> non-contactless card user</w:t>
      </w:r>
      <w:r w:rsidR="008169C3" w:rsidRPr="003D5FD5">
        <w:rPr>
          <w:rFonts w:ascii="Arial" w:hAnsi="Arial" w:cs="Arial"/>
          <w:bCs/>
          <w:iCs/>
          <w:sz w:val="24"/>
          <w:szCs w:val="24"/>
        </w:rPr>
        <w:t>)</w:t>
      </w:r>
      <w:r w:rsidR="00307A16">
        <w:rPr>
          <w:rFonts w:ascii="Arial" w:hAnsi="Arial" w:cs="Arial"/>
          <w:bCs/>
          <w:iCs/>
          <w:sz w:val="24"/>
          <w:szCs w:val="24"/>
        </w:rPr>
        <w:t xml:space="preserve">, shopping via a retailer app (49% vs 31%) or </w:t>
      </w:r>
      <w:r w:rsidR="008169C3" w:rsidRPr="003D5FD5">
        <w:rPr>
          <w:rFonts w:ascii="Arial" w:hAnsi="Arial" w:cs="Arial"/>
          <w:bCs/>
          <w:iCs/>
          <w:sz w:val="24"/>
          <w:szCs w:val="24"/>
        </w:rPr>
        <w:t>using a mobile device to pay for a meal (50% vs 30%).</w:t>
      </w:r>
    </w:p>
    <w:p w:rsidR="008169C3" w:rsidRPr="003D5FD5" w:rsidRDefault="000A42E2" w:rsidP="008169C3">
      <w:pPr>
        <w:pStyle w:val="ListParagraph"/>
        <w:spacing w:after="240" w:line="360" w:lineRule="auto"/>
        <w:ind w:left="0"/>
        <w:jc w:val="both"/>
        <w:rPr>
          <w:rFonts w:ascii="Arial" w:hAnsi="Arial" w:cs="Arial"/>
          <w:b/>
          <w:bCs/>
          <w:iCs/>
          <w:sz w:val="24"/>
          <w:szCs w:val="24"/>
        </w:rPr>
      </w:pPr>
      <w:r w:rsidRPr="00A84B07">
        <w:rPr>
          <w:rFonts w:ascii="Arial" w:hAnsi="Arial" w:cs="Arial"/>
          <w:b/>
          <w:bCs/>
          <w:iCs/>
          <w:sz w:val="24"/>
          <w:szCs w:val="24"/>
        </w:rPr>
        <w:t xml:space="preserve">Kevin Jenkins, UK &amp; Ireland Managing Director at Visa </w:t>
      </w:r>
      <w:r w:rsidR="008169C3" w:rsidRPr="00A84B07">
        <w:rPr>
          <w:rFonts w:ascii="Arial" w:hAnsi="Arial" w:cs="Arial"/>
          <w:b/>
          <w:bCs/>
          <w:iCs/>
          <w:sz w:val="24"/>
          <w:szCs w:val="24"/>
        </w:rPr>
        <w:t>continued</w:t>
      </w:r>
      <w:r w:rsidRPr="00A84B07">
        <w:rPr>
          <w:rFonts w:ascii="Arial" w:hAnsi="Arial" w:cs="Arial"/>
          <w:b/>
          <w:bCs/>
          <w:iCs/>
          <w:sz w:val="24"/>
          <w:szCs w:val="24"/>
        </w:rPr>
        <w:t>:</w:t>
      </w:r>
      <w:r w:rsidR="008169C3" w:rsidRPr="00A84B07">
        <w:rPr>
          <w:rFonts w:ascii="Arial" w:hAnsi="Arial" w:cs="Arial"/>
          <w:b/>
          <w:bCs/>
          <w:iCs/>
          <w:sz w:val="24"/>
          <w:szCs w:val="24"/>
        </w:rPr>
        <w:t xml:space="preserve"> </w:t>
      </w:r>
    </w:p>
    <w:p w:rsidR="00B5498D" w:rsidRDefault="008169C3" w:rsidP="00887451">
      <w:pPr>
        <w:pStyle w:val="ListParagraph"/>
        <w:spacing w:after="0" w:line="360" w:lineRule="auto"/>
        <w:ind w:left="0"/>
        <w:rPr>
          <w:rFonts w:ascii="Arial" w:hAnsi="Arial" w:cs="Arial"/>
          <w:bCs/>
          <w:iCs/>
          <w:sz w:val="24"/>
          <w:szCs w:val="24"/>
        </w:rPr>
      </w:pPr>
      <w:r w:rsidRPr="003D5FD5">
        <w:rPr>
          <w:rFonts w:ascii="Arial" w:hAnsi="Arial" w:cs="Arial"/>
          <w:bCs/>
          <w:iCs/>
          <w:sz w:val="24"/>
          <w:szCs w:val="24"/>
        </w:rPr>
        <w:t xml:space="preserve">“The </w:t>
      </w:r>
      <w:r w:rsidR="00307A16">
        <w:rPr>
          <w:rFonts w:ascii="Arial" w:hAnsi="Arial" w:cs="Arial"/>
          <w:bCs/>
          <w:iCs/>
          <w:sz w:val="24"/>
          <w:szCs w:val="24"/>
        </w:rPr>
        <w:t>uptake</w:t>
      </w:r>
      <w:r w:rsidR="00307A16" w:rsidRPr="003D5FD5">
        <w:rPr>
          <w:rFonts w:ascii="Arial" w:hAnsi="Arial" w:cs="Arial"/>
          <w:bCs/>
          <w:iCs/>
          <w:sz w:val="24"/>
          <w:szCs w:val="24"/>
        </w:rPr>
        <w:t xml:space="preserve"> </w:t>
      </w:r>
      <w:r w:rsidRPr="003D5FD5">
        <w:rPr>
          <w:rFonts w:ascii="Arial" w:hAnsi="Arial" w:cs="Arial"/>
          <w:bCs/>
          <w:iCs/>
          <w:sz w:val="24"/>
          <w:szCs w:val="24"/>
        </w:rPr>
        <w:t xml:space="preserve">of contactless cards has </w:t>
      </w:r>
      <w:r w:rsidR="00242E85">
        <w:rPr>
          <w:rFonts w:ascii="Arial" w:hAnsi="Arial" w:cs="Arial"/>
          <w:bCs/>
          <w:iCs/>
          <w:sz w:val="24"/>
          <w:szCs w:val="24"/>
        </w:rPr>
        <w:t>made</w:t>
      </w:r>
      <w:r w:rsidRPr="003D5FD5">
        <w:rPr>
          <w:rFonts w:ascii="Arial" w:hAnsi="Arial" w:cs="Arial"/>
          <w:bCs/>
          <w:iCs/>
          <w:sz w:val="24"/>
          <w:szCs w:val="24"/>
        </w:rPr>
        <w:t xml:space="preserve"> a significant impact on normalising digital payments in the mind</w:t>
      </w:r>
      <w:bookmarkStart w:id="0" w:name="_GoBack"/>
      <w:bookmarkEnd w:id="0"/>
      <w:r w:rsidRPr="00A84B07">
        <w:rPr>
          <w:rFonts w:ascii="Arial" w:hAnsi="Arial" w:cs="Arial"/>
          <w:bCs/>
          <w:iCs/>
          <w:sz w:val="24"/>
          <w:szCs w:val="24"/>
        </w:rPr>
        <w:t xml:space="preserve">s of </w:t>
      </w:r>
      <w:r w:rsidR="006859DD" w:rsidRPr="00A84B07">
        <w:rPr>
          <w:rFonts w:ascii="Arial" w:hAnsi="Arial" w:cs="Arial"/>
          <w:bCs/>
          <w:iCs/>
          <w:sz w:val="24"/>
          <w:szCs w:val="24"/>
        </w:rPr>
        <w:t xml:space="preserve">British </w:t>
      </w:r>
      <w:r w:rsidRPr="00A84B07">
        <w:rPr>
          <w:rFonts w:ascii="Arial" w:hAnsi="Arial" w:cs="Arial"/>
          <w:bCs/>
          <w:iCs/>
          <w:sz w:val="24"/>
          <w:szCs w:val="24"/>
        </w:rPr>
        <w:t>consumers</w:t>
      </w:r>
      <w:r w:rsidRPr="003D5FD5">
        <w:rPr>
          <w:rFonts w:ascii="Arial" w:hAnsi="Arial" w:cs="Arial"/>
          <w:bCs/>
          <w:iCs/>
          <w:sz w:val="24"/>
          <w:szCs w:val="24"/>
        </w:rPr>
        <w:t xml:space="preserve">, </w:t>
      </w:r>
      <w:r w:rsidR="00FC183F">
        <w:rPr>
          <w:rFonts w:ascii="Arial" w:hAnsi="Arial" w:cs="Arial"/>
          <w:bCs/>
          <w:iCs/>
          <w:sz w:val="24"/>
          <w:szCs w:val="24"/>
        </w:rPr>
        <w:t>regardless of age</w:t>
      </w:r>
      <w:r w:rsidRPr="003D5FD5">
        <w:rPr>
          <w:rFonts w:ascii="Arial" w:hAnsi="Arial" w:cs="Arial"/>
          <w:bCs/>
          <w:iCs/>
          <w:sz w:val="24"/>
          <w:szCs w:val="24"/>
        </w:rPr>
        <w:t xml:space="preserve">. </w:t>
      </w:r>
      <w:r w:rsidR="00FC183F">
        <w:rPr>
          <w:rFonts w:ascii="Arial" w:hAnsi="Arial" w:cs="Arial"/>
          <w:bCs/>
          <w:iCs/>
          <w:sz w:val="24"/>
          <w:szCs w:val="24"/>
        </w:rPr>
        <w:t>T</w:t>
      </w:r>
      <w:r w:rsidRPr="003D5FD5">
        <w:rPr>
          <w:rFonts w:ascii="Arial" w:hAnsi="Arial" w:cs="Arial"/>
          <w:bCs/>
          <w:iCs/>
          <w:sz w:val="24"/>
          <w:szCs w:val="24"/>
        </w:rPr>
        <w:t xml:space="preserve">he near-ubiquity of contactless card usage is gradually helping </w:t>
      </w:r>
      <w:r w:rsidR="00FC183F">
        <w:rPr>
          <w:rFonts w:ascii="Arial" w:hAnsi="Arial" w:cs="Arial"/>
          <w:bCs/>
          <w:iCs/>
          <w:sz w:val="24"/>
          <w:szCs w:val="24"/>
        </w:rPr>
        <w:t>everyone</w:t>
      </w:r>
      <w:r w:rsidRPr="003D5FD5">
        <w:rPr>
          <w:rFonts w:ascii="Arial" w:hAnsi="Arial" w:cs="Arial"/>
          <w:bCs/>
          <w:iCs/>
          <w:sz w:val="24"/>
          <w:szCs w:val="24"/>
        </w:rPr>
        <w:t xml:space="preserve"> engage with </w:t>
      </w:r>
      <w:r w:rsidR="00307A16">
        <w:rPr>
          <w:rFonts w:ascii="Arial" w:hAnsi="Arial" w:cs="Arial"/>
          <w:bCs/>
          <w:iCs/>
          <w:sz w:val="24"/>
          <w:szCs w:val="24"/>
        </w:rPr>
        <w:t>newer ways to pay, including mobile banking</w:t>
      </w:r>
      <w:r w:rsidR="00857E47">
        <w:rPr>
          <w:rFonts w:ascii="Arial" w:hAnsi="Arial" w:cs="Arial"/>
          <w:bCs/>
          <w:iCs/>
          <w:sz w:val="24"/>
          <w:szCs w:val="24"/>
        </w:rPr>
        <w:t xml:space="preserve">. </w:t>
      </w:r>
    </w:p>
    <w:p w:rsidR="00B5498D" w:rsidRDefault="00B5498D" w:rsidP="00887451">
      <w:pPr>
        <w:pStyle w:val="ListParagraph"/>
        <w:spacing w:after="0" w:line="360" w:lineRule="auto"/>
        <w:ind w:left="0"/>
        <w:rPr>
          <w:rFonts w:ascii="Arial" w:hAnsi="Arial" w:cs="Arial"/>
          <w:bCs/>
          <w:iCs/>
          <w:sz w:val="24"/>
          <w:szCs w:val="24"/>
        </w:rPr>
      </w:pPr>
    </w:p>
    <w:p w:rsidR="008169C3" w:rsidRPr="003D5FD5" w:rsidRDefault="00B5498D" w:rsidP="00887451">
      <w:pPr>
        <w:pStyle w:val="ListParagraph"/>
        <w:spacing w:after="0" w:line="360" w:lineRule="auto"/>
        <w:ind w:left="0"/>
        <w:rPr>
          <w:rFonts w:ascii="Arial" w:hAnsi="Arial" w:cs="Arial"/>
          <w:sz w:val="24"/>
          <w:szCs w:val="24"/>
        </w:rPr>
      </w:pPr>
      <w:r>
        <w:rPr>
          <w:rFonts w:ascii="Arial" w:hAnsi="Arial" w:cs="Arial"/>
          <w:bCs/>
          <w:iCs/>
          <w:sz w:val="24"/>
          <w:szCs w:val="24"/>
        </w:rPr>
        <w:t>“</w:t>
      </w:r>
      <w:r w:rsidR="003C735C">
        <w:rPr>
          <w:rFonts w:ascii="Arial" w:hAnsi="Arial" w:cs="Arial"/>
          <w:bCs/>
          <w:iCs/>
          <w:sz w:val="24"/>
          <w:szCs w:val="24"/>
        </w:rPr>
        <w:t xml:space="preserve">Visa’s </w:t>
      </w:r>
      <w:r w:rsidR="00857E47">
        <w:rPr>
          <w:rFonts w:ascii="Arial" w:hAnsi="Arial" w:cs="Arial"/>
          <w:bCs/>
          <w:iCs/>
          <w:sz w:val="24"/>
          <w:szCs w:val="24"/>
        </w:rPr>
        <w:t xml:space="preserve">commitment to constant innovation </w:t>
      </w:r>
      <w:r w:rsidR="003C735C">
        <w:rPr>
          <w:rFonts w:ascii="Arial" w:hAnsi="Arial" w:cs="Arial"/>
          <w:bCs/>
          <w:iCs/>
          <w:sz w:val="24"/>
          <w:szCs w:val="24"/>
        </w:rPr>
        <w:t>increasingly</w:t>
      </w:r>
      <w:r w:rsidR="00605B96">
        <w:rPr>
          <w:rFonts w:ascii="Arial" w:hAnsi="Arial" w:cs="Arial"/>
          <w:bCs/>
          <w:iCs/>
          <w:sz w:val="24"/>
          <w:szCs w:val="24"/>
        </w:rPr>
        <w:t xml:space="preserve"> </w:t>
      </w:r>
      <w:r w:rsidR="00857E47">
        <w:rPr>
          <w:rFonts w:ascii="Arial" w:hAnsi="Arial" w:cs="Arial"/>
          <w:bCs/>
          <w:iCs/>
          <w:sz w:val="24"/>
          <w:szCs w:val="24"/>
        </w:rPr>
        <w:t>enable</w:t>
      </w:r>
      <w:r w:rsidR="003C735C">
        <w:rPr>
          <w:rFonts w:ascii="Arial" w:hAnsi="Arial" w:cs="Arial"/>
          <w:bCs/>
          <w:iCs/>
          <w:sz w:val="24"/>
          <w:szCs w:val="24"/>
        </w:rPr>
        <w:t>s</w:t>
      </w:r>
      <w:r w:rsidR="00857E47">
        <w:rPr>
          <w:rFonts w:ascii="Arial" w:hAnsi="Arial" w:cs="Arial"/>
          <w:bCs/>
          <w:iCs/>
          <w:sz w:val="24"/>
          <w:szCs w:val="24"/>
        </w:rPr>
        <w:t xml:space="preserve"> people to make safe</w:t>
      </w:r>
      <w:r w:rsidR="0002272F">
        <w:rPr>
          <w:rFonts w:ascii="Arial" w:hAnsi="Arial" w:cs="Arial"/>
          <w:bCs/>
          <w:iCs/>
          <w:sz w:val="24"/>
          <w:szCs w:val="24"/>
        </w:rPr>
        <w:t xml:space="preserve"> and </w:t>
      </w:r>
      <w:r w:rsidR="00857E47">
        <w:rPr>
          <w:rFonts w:ascii="Arial" w:hAnsi="Arial" w:cs="Arial"/>
          <w:bCs/>
          <w:iCs/>
          <w:sz w:val="24"/>
          <w:szCs w:val="24"/>
        </w:rPr>
        <w:t>seamless payments wherever they want and on whatever device they choose, regardless of time, place or channel.”</w:t>
      </w:r>
      <w:r w:rsidR="008169C3" w:rsidRPr="003D5FD5">
        <w:rPr>
          <w:rFonts w:ascii="Arial" w:hAnsi="Arial" w:cs="Arial"/>
          <w:sz w:val="24"/>
          <w:szCs w:val="24"/>
        </w:rPr>
        <w:t xml:space="preserve"> </w:t>
      </w:r>
    </w:p>
    <w:p w:rsidR="008169C3" w:rsidRPr="008169C3" w:rsidRDefault="008169C3" w:rsidP="008169C3">
      <w:pPr>
        <w:pStyle w:val="ListParagraph"/>
        <w:spacing w:after="240" w:line="360" w:lineRule="auto"/>
        <w:ind w:left="0"/>
        <w:jc w:val="both"/>
        <w:rPr>
          <w:rFonts w:ascii="Arial" w:hAnsi="Arial" w:cs="Arial"/>
          <w:bCs/>
          <w:iCs/>
        </w:rPr>
      </w:pPr>
    </w:p>
    <w:p w:rsidR="008169C3" w:rsidRPr="008169C3" w:rsidRDefault="008169C3" w:rsidP="008169C3">
      <w:pPr>
        <w:pStyle w:val="ListParagraph"/>
        <w:spacing w:after="240" w:line="360" w:lineRule="auto"/>
        <w:ind w:left="0"/>
        <w:jc w:val="center"/>
        <w:rPr>
          <w:rFonts w:ascii="Arial" w:hAnsi="Arial" w:cs="Arial"/>
          <w:lang w:val="en-GB"/>
        </w:rPr>
      </w:pPr>
      <w:r w:rsidRPr="008169C3">
        <w:rPr>
          <w:rFonts w:ascii="Arial" w:hAnsi="Arial" w:cs="Arial"/>
          <w:lang w:val="en-GB"/>
        </w:rPr>
        <w:t>ENDS</w:t>
      </w:r>
    </w:p>
    <w:p w:rsidR="008169C3" w:rsidRPr="008169C3" w:rsidRDefault="008169C3" w:rsidP="008169C3">
      <w:pPr>
        <w:autoSpaceDE w:val="0"/>
        <w:autoSpaceDN w:val="0"/>
        <w:adjustRightInd w:val="0"/>
        <w:contextualSpacing/>
        <w:rPr>
          <w:rFonts w:ascii="Arial" w:eastAsia="Batang" w:hAnsi="Arial" w:cs="Arial"/>
          <w:b/>
          <w:bCs/>
          <w:lang w:eastAsia="ko-KR"/>
        </w:rPr>
      </w:pPr>
      <w:r w:rsidRPr="008169C3">
        <w:rPr>
          <w:rFonts w:ascii="Arial" w:eastAsia="Batang" w:hAnsi="Arial" w:cs="Arial"/>
          <w:b/>
          <w:bCs/>
          <w:lang w:eastAsia="ko-KR"/>
        </w:rPr>
        <w:t>About the ‘Digital Payments’ report</w:t>
      </w:r>
    </w:p>
    <w:p w:rsidR="008169C3" w:rsidRPr="008169C3" w:rsidRDefault="008169C3" w:rsidP="008169C3">
      <w:pPr>
        <w:autoSpaceDE w:val="0"/>
        <w:autoSpaceDN w:val="0"/>
        <w:adjustRightInd w:val="0"/>
        <w:contextualSpacing/>
        <w:rPr>
          <w:rFonts w:ascii="Arial" w:eastAsia="Batang" w:hAnsi="Arial" w:cs="Arial"/>
          <w:b/>
          <w:bCs/>
          <w:color w:val="0023A0"/>
          <w:lang w:eastAsia="ko-KR"/>
        </w:rPr>
      </w:pPr>
    </w:p>
    <w:p w:rsidR="005C5701" w:rsidRPr="008169C3" w:rsidRDefault="005C5701" w:rsidP="000A42E2">
      <w:pPr>
        <w:autoSpaceDE w:val="0"/>
        <w:autoSpaceDN w:val="0"/>
        <w:rPr>
          <w:rFonts w:ascii="Arial" w:eastAsia="Batang" w:hAnsi="Arial" w:cs="Arial"/>
          <w:bCs/>
          <w:lang w:eastAsia="ko-KR"/>
        </w:rPr>
      </w:pPr>
      <w:r>
        <w:rPr>
          <w:rFonts w:ascii="Arial" w:eastAsia="Batang" w:hAnsi="Arial" w:cs="Arial"/>
          <w:bCs/>
          <w:lang w:eastAsia="ko-KR"/>
        </w:rPr>
        <w:t>1. A Mobile Payments user is defined as s</w:t>
      </w:r>
      <w:r w:rsidRPr="005C5701">
        <w:rPr>
          <w:rFonts w:ascii="Arial" w:eastAsia="Batang" w:hAnsi="Arial" w:cs="Arial"/>
          <w:bCs/>
          <w:lang w:eastAsia="ko-KR"/>
        </w:rPr>
        <w:t xml:space="preserve">omeone who uses their phone, tablet or wearable to manage their money or make a payment in person, online or in-app.  </w:t>
      </w:r>
    </w:p>
    <w:p w:rsidR="008169C3" w:rsidRPr="008169C3" w:rsidRDefault="00887451" w:rsidP="008169C3">
      <w:pPr>
        <w:autoSpaceDE w:val="0"/>
        <w:autoSpaceDN w:val="0"/>
        <w:rPr>
          <w:rFonts w:ascii="Arial" w:hAnsi="Arial" w:cs="Arial"/>
          <w:color w:val="000000"/>
        </w:rPr>
      </w:pPr>
      <w:r>
        <w:rPr>
          <w:rFonts w:ascii="Arial" w:eastAsia="Batang" w:hAnsi="Arial" w:cs="Arial"/>
          <w:bCs/>
          <w:lang w:eastAsia="ko-KR"/>
        </w:rPr>
        <w:t xml:space="preserve">Visa commissioned the Digital Payments research with Populus. </w:t>
      </w:r>
      <w:r w:rsidR="008169C3" w:rsidRPr="008169C3">
        <w:rPr>
          <w:rFonts w:ascii="Arial" w:hAnsi="Arial" w:cs="Arial"/>
          <w:color w:val="000000"/>
        </w:rPr>
        <w:t xml:space="preserve">The research was conducted between August and September 2016 in </w:t>
      </w:r>
      <w:r>
        <w:rPr>
          <w:rFonts w:ascii="Arial" w:hAnsi="Arial" w:cs="Arial"/>
          <w:color w:val="000000"/>
        </w:rPr>
        <w:t>19</w:t>
      </w:r>
      <w:r w:rsidRPr="008169C3">
        <w:rPr>
          <w:rFonts w:ascii="Arial" w:hAnsi="Arial" w:cs="Arial"/>
          <w:color w:val="000000"/>
        </w:rPr>
        <w:t xml:space="preserve"> </w:t>
      </w:r>
      <w:r w:rsidR="008169C3" w:rsidRPr="008169C3">
        <w:rPr>
          <w:rFonts w:ascii="Arial" w:hAnsi="Arial" w:cs="Arial"/>
          <w:color w:val="000000"/>
        </w:rPr>
        <w:t xml:space="preserve">European countries: Austria, Belgium, Denmark, Finland, France, Germany, Ireland, Israel, Italy, Netherlands, Norway, Poland, Romania, </w:t>
      </w:r>
      <w:r w:rsidR="008169C3" w:rsidRPr="0002272F">
        <w:rPr>
          <w:rFonts w:ascii="Arial" w:hAnsi="Arial" w:cs="Arial"/>
          <w:color w:val="000000"/>
        </w:rPr>
        <w:lastRenderedPageBreak/>
        <w:t>Slovenia, Spain, Sweden, Switzerland, Turkey and the UK. The total sample size was 3</w:t>
      </w:r>
      <w:r w:rsidR="0002272F" w:rsidRPr="0002272F">
        <w:rPr>
          <w:rFonts w:ascii="Arial" w:hAnsi="Arial" w:cs="Arial"/>
          <w:color w:val="000000"/>
        </w:rPr>
        <w:t>6,843</w:t>
      </w:r>
      <w:r w:rsidR="008169C3" w:rsidRPr="0002272F">
        <w:rPr>
          <w:rFonts w:ascii="Arial" w:hAnsi="Arial" w:cs="Arial"/>
          <w:color w:val="000000"/>
        </w:rPr>
        <w:t xml:space="preserve"> consumers</w:t>
      </w:r>
      <w:r w:rsidR="008169C3" w:rsidRPr="008169C3">
        <w:rPr>
          <w:rFonts w:ascii="Arial" w:hAnsi="Arial" w:cs="Arial"/>
          <w:color w:val="000000"/>
        </w:rPr>
        <w:t xml:space="preserve">, </w:t>
      </w:r>
      <w:r w:rsidR="00F365C4">
        <w:rPr>
          <w:rFonts w:ascii="Arial" w:hAnsi="Arial" w:cs="Arial"/>
          <w:color w:val="000000"/>
        </w:rPr>
        <w:t xml:space="preserve">with </w:t>
      </w:r>
      <w:r w:rsidR="008169C3" w:rsidRPr="008169C3">
        <w:rPr>
          <w:rFonts w:ascii="Arial" w:hAnsi="Arial" w:cs="Arial"/>
          <w:color w:val="000000"/>
        </w:rPr>
        <w:t xml:space="preserve">approximately 2,000 respondents per country. </w:t>
      </w:r>
    </w:p>
    <w:p w:rsidR="004218B4" w:rsidRPr="00605B96" w:rsidRDefault="004218B4" w:rsidP="004218B4">
      <w:pPr>
        <w:autoSpaceDE w:val="0"/>
        <w:autoSpaceDN w:val="0"/>
        <w:rPr>
          <w:rFonts w:ascii="Arial" w:hAnsi="Arial" w:cs="Arial"/>
          <w:color w:val="000000"/>
          <w:lang w:val="en-GB" w:eastAsia="ko-KR"/>
        </w:rPr>
      </w:pPr>
      <w:r w:rsidRPr="00605B96">
        <w:rPr>
          <w:rFonts w:ascii="Arial" w:hAnsi="Arial" w:cs="Arial"/>
          <w:b/>
          <w:bCs/>
          <w:color w:val="000000"/>
          <w:lang w:val="en-GB" w:eastAsia="ko-KR"/>
        </w:rPr>
        <w:t>About Visa Inc.</w:t>
      </w:r>
    </w:p>
    <w:p w:rsidR="004218B4" w:rsidRPr="008169C3" w:rsidRDefault="004218B4" w:rsidP="004218B4">
      <w:pPr>
        <w:rPr>
          <w:rFonts w:ascii="Arial" w:hAnsi="Arial" w:cs="Arial"/>
          <w:color w:val="000000"/>
          <w:lang w:val="hu-HU"/>
        </w:rPr>
      </w:pPr>
      <w:r w:rsidRPr="00605B96">
        <w:rPr>
          <w:rFonts w:ascii="Arial" w:eastAsia="MS Gothic" w:hAnsi="Arial" w:cs="Arial"/>
          <w:lang w:val="en-GB"/>
        </w:rPr>
        <w:t xml:space="preserve">Visa Inc. </w:t>
      </w:r>
      <w:r w:rsidRPr="008169C3">
        <w:rPr>
          <w:rFonts w:ascii="Arial" w:eastAsia="MS Gothic" w:hAnsi="Arial" w:cs="Arial"/>
        </w:rPr>
        <w:t>(NYSE:V) is a global payments technology company that connects consumers, businesses, financial institutions, and governments in more than 200 countries and territories to fast, secure and reliable electronic payments. We operate one of the world's most advanced processing networks — VisaNet — that is capable of handling more than 65,000 transaction messages a second, with fraud protection for consumers and assured payment for merchants. Visa is not a bank and does not issue cards, extend credit or set rates and fees for consumers. Visa's innovations, however, enable its financial institution customers to offer consumers more choices: pay now with debit, pay ahead with prepaid or pay later with credit products. For more information, visit our website</w:t>
      </w:r>
      <w:r w:rsidRPr="008169C3">
        <w:rPr>
          <w:rFonts w:ascii="Arial" w:hAnsi="Arial" w:cs="Arial"/>
          <w:color w:val="000000"/>
          <w:lang w:val="hu-HU"/>
        </w:rPr>
        <w:t xml:space="preserve"> (</w:t>
      </w:r>
      <w:hyperlink r:id="rId10" w:history="1">
        <w:r w:rsidRPr="008169C3">
          <w:rPr>
            <w:rStyle w:val="Hyperlink"/>
            <w:rFonts w:ascii="Arial" w:hAnsi="Arial" w:cs="Arial"/>
            <w:lang w:val="hu-HU"/>
          </w:rPr>
          <w:t>www.visaeurope.com</w:t>
        </w:r>
      </w:hyperlink>
      <w:r w:rsidRPr="008169C3">
        <w:rPr>
          <w:rFonts w:ascii="Arial" w:eastAsia="MS Gothic" w:hAnsi="Arial" w:cs="Arial"/>
        </w:rPr>
        <w:t>), the Visa Vision blog</w:t>
      </w:r>
      <w:r w:rsidRPr="008169C3">
        <w:rPr>
          <w:rFonts w:ascii="Arial" w:hAnsi="Arial" w:cs="Arial"/>
          <w:color w:val="000000"/>
          <w:lang w:val="hu-HU"/>
        </w:rPr>
        <w:t xml:space="preserve"> (</w:t>
      </w:r>
      <w:hyperlink r:id="rId11" w:history="1">
        <w:r w:rsidRPr="008169C3">
          <w:rPr>
            <w:rStyle w:val="Hyperlink"/>
            <w:rFonts w:ascii="Arial" w:hAnsi="Arial" w:cs="Arial"/>
            <w:lang w:val="hu-HU"/>
          </w:rPr>
          <w:t>vision.visaeurope.com</w:t>
        </w:r>
      </w:hyperlink>
      <w:r w:rsidRPr="008169C3">
        <w:rPr>
          <w:rFonts w:ascii="Arial" w:hAnsi="Arial" w:cs="Arial"/>
          <w:color w:val="000000"/>
          <w:lang w:val="hu-HU"/>
        </w:rPr>
        <w:t xml:space="preserve">), </w:t>
      </w:r>
      <w:r w:rsidRPr="008169C3">
        <w:rPr>
          <w:rFonts w:ascii="Arial" w:eastAsia="MS Gothic" w:hAnsi="Arial" w:cs="Arial"/>
        </w:rPr>
        <w:t>and</w:t>
      </w:r>
      <w:r w:rsidRPr="008169C3">
        <w:rPr>
          <w:rFonts w:ascii="Arial" w:hAnsi="Arial" w:cs="Arial"/>
          <w:color w:val="000000"/>
          <w:lang w:val="hu-HU"/>
        </w:rPr>
        <w:t xml:space="preserve"> </w:t>
      </w:r>
      <w:hyperlink r:id="rId12" w:history="1">
        <w:r w:rsidRPr="008169C3">
          <w:rPr>
            <w:rStyle w:val="Hyperlink"/>
            <w:rFonts w:ascii="Arial" w:hAnsi="Arial" w:cs="Arial"/>
            <w:lang w:val="hu-HU"/>
          </w:rPr>
          <w:t>@VisaEuropeNews</w:t>
        </w:r>
      </w:hyperlink>
      <w:r w:rsidRPr="008169C3">
        <w:rPr>
          <w:rFonts w:ascii="Arial" w:hAnsi="Arial" w:cs="Arial"/>
          <w:color w:val="000000"/>
          <w:lang w:val="hu-HU"/>
        </w:rPr>
        <w:t>.</w:t>
      </w:r>
    </w:p>
    <w:p w:rsidR="003E5918" w:rsidRPr="008169C3" w:rsidRDefault="003E5918" w:rsidP="003E5918">
      <w:pPr>
        <w:spacing w:line="312" w:lineRule="auto"/>
        <w:rPr>
          <w:rFonts w:ascii="Arial" w:hAnsi="Arial" w:cs="Arial"/>
          <w:b/>
          <w:lang w:val="en-GB"/>
        </w:rPr>
      </w:pPr>
      <w:r w:rsidRPr="008169C3">
        <w:rPr>
          <w:rFonts w:ascii="Arial" w:hAnsi="Arial" w:cs="Arial"/>
          <w:b/>
          <w:lang w:val="en-GB"/>
        </w:rPr>
        <w:t xml:space="preserve">Contacts: </w:t>
      </w:r>
    </w:p>
    <w:p w:rsidR="00851AFB" w:rsidRPr="008169C3" w:rsidRDefault="00851AFB" w:rsidP="00851AFB">
      <w:pPr>
        <w:rPr>
          <w:rFonts w:ascii="Arial" w:eastAsia="MS Gothic" w:hAnsi="Arial" w:cs="Arial"/>
        </w:rPr>
      </w:pPr>
      <w:r w:rsidRPr="008169C3">
        <w:rPr>
          <w:rFonts w:ascii="Arial" w:eastAsia="MS Gothic" w:hAnsi="Arial" w:cs="Arial"/>
        </w:rPr>
        <w:t>Visa Press Office, London</w:t>
      </w:r>
    </w:p>
    <w:p w:rsidR="00851AFB" w:rsidRPr="008169C3" w:rsidRDefault="00851AFB" w:rsidP="00851AFB">
      <w:pPr>
        <w:rPr>
          <w:rFonts w:ascii="Arial" w:eastAsia="MS Gothic" w:hAnsi="Arial" w:cs="Arial"/>
        </w:rPr>
      </w:pPr>
      <w:r w:rsidRPr="008169C3">
        <w:rPr>
          <w:rFonts w:ascii="Arial" w:eastAsia="MS Gothic" w:hAnsi="Arial" w:cs="Arial"/>
        </w:rPr>
        <w:t>+44 (0)20 7413 3414</w:t>
      </w:r>
    </w:p>
    <w:p w:rsidR="00851AFB" w:rsidRPr="008169C3" w:rsidRDefault="00A84B07" w:rsidP="00851AFB">
      <w:pPr>
        <w:rPr>
          <w:rFonts w:ascii="Arial" w:hAnsi="Arial" w:cs="Arial"/>
        </w:rPr>
      </w:pPr>
      <w:hyperlink r:id="rId13" w:history="1">
        <w:r w:rsidR="00851AFB" w:rsidRPr="008169C3">
          <w:rPr>
            <w:rStyle w:val="Hyperlink"/>
            <w:rFonts w:ascii="Arial" w:hAnsi="Arial" w:cs="Arial"/>
          </w:rPr>
          <w:t>visa@hillandknowlton.com</w:t>
        </w:r>
      </w:hyperlink>
      <w:r w:rsidR="00851AFB" w:rsidRPr="008169C3">
        <w:rPr>
          <w:rFonts w:ascii="Arial" w:hAnsi="Arial" w:cs="Arial"/>
        </w:rPr>
        <w:t xml:space="preserve"> </w:t>
      </w:r>
    </w:p>
    <w:p w:rsidR="00851AFB" w:rsidRPr="008169C3" w:rsidRDefault="00851AFB" w:rsidP="00851AFB">
      <w:pPr>
        <w:pStyle w:val="VisaDocumentname"/>
        <w:rPr>
          <w:rStyle w:val="Strong"/>
          <w:rFonts w:ascii="Arial" w:hAnsi="Arial" w:cs="Arial"/>
          <w:sz w:val="22"/>
          <w:szCs w:val="22"/>
        </w:rPr>
      </w:pPr>
    </w:p>
    <w:p w:rsidR="00851AFB" w:rsidRPr="008169C3" w:rsidRDefault="00851AFB" w:rsidP="00851AFB">
      <w:pPr>
        <w:rPr>
          <w:rFonts w:ascii="Arial" w:hAnsi="Arial" w:cs="Arial"/>
        </w:rPr>
      </w:pPr>
      <w:r w:rsidRPr="008169C3">
        <w:rPr>
          <w:rFonts w:ascii="Arial" w:hAnsi="Arial" w:cs="Arial"/>
        </w:rPr>
        <w:t>Twitter: @VisaEuropeNews</w:t>
      </w:r>
    </w:p>
    <w:p w:rsidR="00851AFB" w:rsidRPr="008169C3" w:rsidRDefault="00851AFB" w:rsidP="00851AFB">
      <w:pPr>
        <w:rPr>
          <w:rFonts w:ascii="Arial" w:hAnsi="Arial" w:cs="Arial"/>
        </w:rPr>
      </w:pPr>
      <w:r w:rsidRPr="008169C3">
        <w:rPr>
          <w:rFonts w:ascii="Arial" w:hAnsi="Arial" w:cs="Arial"/>
        </w:rPr>
        <w:t xml:space="preserve">Website: </w:t>
      </w:r>
      <w:hyperlink r:id="rId14" w:history="1">
        <w:r w:rsidRPr="008169C3">
          <w:rPr>
            <w:rStyle w:val="Hyperlink"/>
            <w:rFonts w:ascii="Arial" w:hAnsi="Arial" w:cs="Arial"/>
          </w:rPr>
          <w:t>www.visaeurope.com</w:t>
        </w:r>
      </w:hyperlink>
    </w:p>
    <w:p w:rsidR="003E5918" w:rsidRDefault="003E5918"/>
    <w:sectPr w:rsidR="003E5918" w:rsidSect="00E337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8D3" w:rsidRDefault="00AA48D3" w:rsidP="00B421C1">
      <w:pPr>
        <w:spacing w:after="0" w:line="240" w:lineRule="auto"/>
      </w:pPr>
      <w:r>
        <w:separator/>
      </w:r>
    </w:p>
  </w:endnote>
  <w:endnote w:type="continuationSeparator" w:id="0">
    <w:p w:rsidR="00AA48D3" w:rsidRDefault="00AA48D3" w:rsidP="00B4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8D3" w:rsidRDefault="00AA48D3" w:rsidP="00B421C1">
      <w:pPr>
        <w:spacing w:after="0" w:line="240" w:lineRule="auto"/>
      </w:pPr>
      <w:r>
        <w:separator/>
      </w:r>
    </w:p>
  </w:footnote>
  <w:footnote w:type="continuationSeparator" w:id="0">
    <w:p w:rsidR="00AA48D3" w:rsidRDefault="00AA48D3" w:rsidP="00B4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C1EF9"/>
    <w:multiLevelType w:val="hybridMultilevel"/>
    <w:tmpl w:val="DCDC73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EC153F"/>
    <w:multiLevelType w:val="hybridMultilevel"/>
    <w:tmpl w:val="87B2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AF"/>
    <w:rsid w:val="0001496E"/>
    <w:rsid w:val="0002272F"/>
    <w:rsid w:val="00034A0D"/>
    <w:rsid w:val="000A42E2"/>
    <w:rsid w:val="000C01C9"/>
    <w:rsid w:val="000C1F50"/>
    <w:rsid w:val="000E3FA7"/>
    <w:rsid w:val="000F7047"/>
    <w:rsid w:val="00107ECA"/>
    <w:rsid w:val="00163E68"/>
    <w:rsid w:val="00165A38"/>
    <w:rsid w:val="00182EF5"/>
    <w:rsid w:val="001B02E2"/>
    <w:rsid w:val="00220E64"/>
    <w:rsid w:val="00242E85"/>
    <w:rsid w:val="00280B84"/>
    <w:rsid w:val="002F6305"/>
    <w:rsid w:val="00307A16"/>
    <w:rsid w:val="00340B6B"/>
    <w:rsid w:val="00371175"/>
    <w:rsid w:val="003733E0"/>
    <w:rsid w:val="003936D7"/>
    <w:rsid w:val="00395F5E"/>
    <w:rsid w:val="003C735C"/>
    <w:rsid w:val="003D5FD5"/>
    <w:rsid w:val="003E5918"/>
    <w:rsid w:val="004218B4"/>
    <w:rsid w:val="00435527"/>
    <w:rsid w:val="00461424"/>
    <w:rsid w:val="00474EC8"/>
    <w:rsid w:val="00485A93"/>
    <w:rsid w:val="004969DA"/>
    <w:rsid w:val="00496D7B"/>
    <w:rsid w:val="00590259"/>
    <w:rsid w:val="00591818"/>
    <w:rsid w:val="005A36E5"/>
    <w:rsid w:val="005C5701"/>
    <w:rsid w:val="00605B96"/>
    <w:rsid w:val="00613796"/>
    <w:rsid w:val="006859DD"/>
    <w:rsid w:val="00696991"/>
    <w:rsid w:val="00724888"/>
    <w:rsid w:val="00731CE4"/>
    <w:rsid w:val="00740575"/>
    <w:rsid w:val="00744154"/>
    <w:rsid w:val="007A6056"/>
    <w:rsid w:val="007B1DA7"/>
    <w:rsid w:val="007E2706"/>
    <w:rsid w:val="008169C3"/>
    <w:rsid w:val="00835895"/>
    <w:rsid w:val="00843BA4"/>
    <w:rsid w:val="00851AFB"/>
    <w:rsid w:val="00853896"/>
    <w:rsid w:val="00857E47"/>
    <w:rsid w:val="00887451"/>
    <w:rsid w:val="008A65F8"/>
    <w:rsid w:val="008C2171"/>
    <w:rsid w:val="00953A63"/>
    <w:rsid w:val="009840F0"/>
    <w:rsid w:val="009B0AE4"/>
    <w:rsid w:val="009B0CAF"/>
    <w:rsid w:val="009B6159"/>
    <w:rsid w:val="009F55DD"/>
    <w:rsid w:val="00A140EC"/>
    <w:rsid w:val="00A30A47"/>
    <w:rsid w:val="00A46DE0"/>
    <w:rsid w:val="00A56AB6"/>
    <w:rsid w:val="00A635B5"/>
    <w:rsid w:val="00A6767C"/>
    <w:rsid w:val="00A84B07"/>
    <w:rsid w:val="00A96064"/>
    <w:rsid w:val="00AA48D3"/>
    <w:rsid w:val="00AC72BE"/>
    <w:rsid w:val="00B11228"/>
    <w:rsid w:val="00B421C1"/>
    <w:rsid w:val="00B5498D"/>
    <w:rsid w:val="00C00457"/>
    <w:rsid w:val="00C30DC4"/>
    <w:rsid w:val="00CB28A5"/>
    <w:rsid w:val="00CC6C6D"/>
    <w:rsid w:val="00D079D2"/>
    <w:rsid w:val="00D20941"/>
    <w:rsid w:val="00D34EE2"/>
    <w:rsid w:val="00D87B23"/>
    <w:rsid w:val="00DB7AA2"/>
    <w:rsid w:val="00DD648B"/>
    <w:rsid w:val="00E04F82"/>
    <w:rsid w:val="00E07664"/>
    <w:rsid w:val="00E2670E"/>
    <w:rsid w:val="00E33779"/>
    <w:rsid w:val="00E76B8C"/>
    <w:rsid w:val="00EA14CD"/>
    <w:rsid w:val="00F365C4"/>
    <w:rsid w:val="00F74831"/>
    <w:rsid w:val="00FA563F"/>
    <w:rsid w:val="00FC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3111EF-9FD6-4C71-AF2D-ACBE22F6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aDocumentname">
    <w:name w:val="Visa Document name"/>
    <w:rsid w:val="003E5918"/>
    <w:pPr>
      <w:spacing w:after="120" w:line="240" w:lineRule="exact"/>
    </w:pPr>
    <w:rPr>
      <w:rFonts w:ascii="Segoe UI" w:eastAsia="Times New Roman" w:hAnsi="Segoe UI" w:cs="Times New Roman"/>
      <w:b/>
      <w:caps/>
      <w:color w:val="44546A" w:themeColor="text2"/>
      <w:spacing w:val="36"/>
      <w:sz w:val="19"/>
      <w:szCs w:val="20"/>
    </w:rPr>
  </w:style>
  <w:style w:type="paragraph" w:customStyle="1" w:styleId="VisaHeadline">
    <w:name w:val="Visa Headline"/>
    <w:rsid w:val="003E5918"/>
    <w:pPr>
      <w:pBdr>
        <w:top w:val="single" w:sz="8" w:space="6" w:color="0023A0"/>
        <w:bottom w:val="single" w:sz="8" w:space="6" w:color="0023A0"/>
      </w:pBdr>
      <w:spacing w:after="0" w:line="480" w:lineRule="exact"/>
    </w:pPr>
    <w:rPr>
      <w:rFonts w:ascii="Segoe UI" w:eastAsia="Times New Roman" w:hAnsi="Segoe UI" w:cs="Times New Roman"/>
      <w:color w:val="1A1F71"/>
      <w:sz w:val="40"/>
      <w:szCs w:val="20"/>
    </w:rPr>
  </w:style>
  <w:style w:type="paragraph" w:customStyle="1" w:styleId="VisaHeadLevelOne">
    <w:name w:val="Visa Head Level One"/>
    <w:autoRedefine/>
    <w:rsid w:val="003E5918"/>
    <w:pPr>
      <w:spacing w:before="120" w:after="0" w:line="312" w:lineRule="auto"/>
      <w:jc w:val="center"/>
    </w:pPr>
    <w:rPr>
      <w:rFonts w:ascii="Segoe UI" w:eastAsia="Times New Roman" w:hAnsi="Segoe UI" w:cs="Segoe UI"/>
      <w:b/>
      <w:i/>
      <w:color w:val="000000" w:themeColor="text1"/>
      <w:sz w:val="20"/>
      <w:szCs w:val="20"/>
    </w:rPr>
  </w:style>
  <w:style w:type="paragraph" w:customStyle="1" w:styleId="VisaBodyText">
    <w:name w:val="Visa Body Text"/>
    <w:rsid w:val="003E5918"/>
    <w:pPr>
      <w:spacing w:line="360" w:lineRule="auto"/>
    </w:pPr>
    <w:rPr>
      <w:rFonts w:ascii="Segoe UI" w:eastAsia="Times New Roman" w:hAnsi="Segoe UI" w:cs="Arial"/>
      <w:bCs/>
      <w:color w:val="000000" w:themeColor="text1"/>
      <w:sz w:val="20"/>
      <w:szCs w:val="20"/>
    </w:rPr>
  </w:style>
  <w:style w:type="paragraph" w:customStyle="1" w:styleId="VisaNoteText">
    <w:name w:val="Visa Note Text"/>
    <w:basedOn w:val="VisaBodyText"/>
    <w:rsid w:val="003E5918"/>
    <w:pPr>
      <w:spacing w:line="240" w:lineRule="auto"/>
    </w:pPr>
  </w:style>
  <w:style w:type="paragraph" w:styleId="ListParagraph">
    <w:name w:val="List Paragraph"/>
    <w:uiPriority w:val="34"/>
    <w:qFormat/>
    <w:rsid w:val="004969DA"/>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en-GB"/>
    </w:rPr>
  </w:style>
  <w:style w:type="character" w:styleId="CommentReference">
    <w:name w:val="annotation reference"/>
    <w:basedOn w:val="DefaultParagraphFont"/>
    <w:uiPriority w:val="99"/>
    <w:semiHidden/>
    <w:unhideWhenUsed/>
    <w:rsid w:val="004969DA"/>
    <w:rPr>
      <w:sz w:val="16"/>
      <w:szCs w:val="16"/>
    </w:rPr>
  </w:style>
  <w:style w:type="paragraph" w:styleId="CommentText">
    <w:name w:val="annotation text"/>
    <w:basedOn w:val="Normal"/>
    <w:link w:val="CommentTextChar"/>
    <w:uiPriority w:val="99"/>
    <w:semiHidden/>
    <w:unhideWhenUsed/>
    <w:rsid w:val="004969DA"/>
    <w:pPr>
      <w:spacing w:after="0" w:line="240" w:lineRule="auto"/>
    </w:pPr>
    <w:rPr>
      <w:rFonts w:ascii="Segoe UI" w:eastAsia="Times New Roman" w:hAnsi="Segoe UI" w:cs="Times New Roman"/>
      <w:color w:val="75787B"/>
      <w:sz w:val="20"/>
      <w:szCs w:val="20"/>
      <w:lang w:val="en-GB"/>
    </w:rPr>
  </w:style>
  <w:style w:type="character" w:customStyle="1" w:styleId="CommentTextChar">
    <w:name w:val="Comment Text Char"/>
    <w:basedOn w:val="DefaultParagraphFont"/>
    <w:link w:val="CommentText"/>
    <w:uiPriority w:val="99"/>
    <w:semiHidden/>
    <w:rsid w:val="004969DA"/>
    <w:rPr>
      <w:rFonts w:ascii="Segoe UI" w:eastAsia="Times New Roman" w:hAnsi="Segoe UI" w:cs="Times New Roman"/>
      <w:color w:val="75787B"/>
      <w:sz w:val="20"/>
      <w:szCs w:val="20"/>
      <w:lang w:val="en-GB"/>
    </w:rPr>
  </w:style>
  <w:style w:type="paragraph" w:styleId="BalloonText">
    <w:name w:val="Balloon Text"/>
    <w:basedOn w:val="Normal"/>
    <w:link w:val="BalloonTextChar"/>
    <w:uiPriority w:val="99"/>
    <w:semiHidden/>
    <w:unhideWhenUsed/>
    <w:rsid w:val="0049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9DA"/>
    <w:rPr>
      <w:rFonts w:ascii="Tahoma" w:hAnsi="Tahoma" w:cs="Tahoma"/>
      <w:sz w:val="16"/>
      <w:szCs w:val="16"/>
    </w:rPr>
  </w:style>
  <w:style w:type="character" w:styleId="Hyperlink">
    <w:name w:val="Hyperlink"/>
    <w:rsid w:val="00851AFB"/>
    <w:rPr>
      <w:color w:val="0000FF"/>
      <w:u w:val="single"/>
    </w:rPr>
  </w:style>
  <w:style w:type="character" w:styleId="Strong">
    <w:name w:val="Strong"/>
    <w:qFormat/>
    <w:rsid w:val="00851AFB"/>
    <w:rPr>
      <w:b/>
      <w:bCs/>
    </w:rPr>
  </w:style>
  <w:style w:type="paragraph" w:styleId="CommentSubject">
    <w:name w:val="annotation subject"/>
    <w:basedOn w:val="CommentText"/>
    <w:next w:val="CommentText"/>
    <w:link w:val="CommentSubjectChar"/>
    <w:uiPriority w:val="99"/>
    <w:semiHidden/>
    <w:unhideWhenUsed/>
    <w:rsid w:val="00887451"/>
    <w:pPr>
      <w:spacing w:after="16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887451"/>
    <w:rPr>
      <w:rFonts w:ascii="Segoe UI" w:eastAsia="Times New Roman" w:hAnsi="Segoe UI" w:cs="Times New Roman"/>
      <w:b/>
      <w:bCs/>
      <w:color w:val="75787B"/>
      <w:sz w:val="20"/>
      <w:szCs w:val="20"/>
      <w:lang w:val="en-GB"/>
    </w:rPr>
  </w:style>
  <w:style w:type="paragraph" w:styleId="Revision">
    <w:name w:val="Revision"/>
    <w:hidden/>
    <w:uiPriority w:val="99"/>
    <w:semiHidden/>
    <w:rsid w:val="00887451"/>
    <w:pPr>
      <w:spacing w:after="0" w:line="240" w:lineRule="auto"/>
    </w:pPr>
  </w:style>
  <w:style w:type="paragraph" w:styleId="Header">
    <w:name w:val="header"/>
    <w:basedOn w:val="Normal"/>
    <w:link w:val="HeaderChar"/>
    <w:uiPriority w:val="99"/>
    <w:unhideWhenUsed/>
    <w:rsid w:val="00B42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1C1"/>
  </w:style>
  <w:style w:type="paragraph" w:styleId="Footer">
    <w:name w:val="footer"/>
    <w:basedOn w:val="Normal"/>
    <w:link w:val="FooterChar"/>
    <w:uiPriority w:val="99"/>
    <w:unhideWhenUsed/>
    <w:rsid w:val="00B42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31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visa@hillandknowlt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witter.com/visaeuropenew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sion.visaeurop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isaeurope.com"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www.visaeurope.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livelonfiles\SectorsShares\Financial%20&amp;%20Professional%20services\2016\1.%20Clients\Visa\DBU\Projects\Mobile%20Money%202016\Toolkit%20creation\Factsheets\Europe\Europe%20charts.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livelonfiles\SectorsShares\Financial%20&amp;%20Professional%20services\2016\1.%20Clients\Visa\DBU\Projects\Mobile%20Money%202016\Toolkit%20creation\Factsheets\Europe\Europe%20chart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Top 10 countries with the highest proportion of Mobile Payments users</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Countries!$A$1:$A$10</c:f>
              <c:strCache>
                <c:ptCount val="10"/>
                <c:pt idx="0">
                  <c:v>Turkey</c:v>
                </c:pt>
                <c:pt idx="1">
                  <c:v>Denmark</c:v>
                </c:pt>
                <c:pt idx="2">
                  <c:v>Norway</c:v>
                </c:pt>
                <c:pt idx="3">
                  <c:v>Israel</c:v>
                </c:pt>
                <c:pt idx="4">
                  <c:v>Sweden</c:v>
                </c:pt>
                <c:pt idx="5">
                  <c:v>Poland</c:v>
                </c:pt>
                <c:pt idx="6">
                  <c:v>Romania</c:v>
                </c:pt>
                <c:pt idx="7">
                  <c:v>Ireland</c:v>
                </c:pt>
                <c:pt idx="8">
                  <c:v>Finland</c:v>
                </c:pt>
                <c:pt idx="9">
                  <c:v>Belgium</c:v>
                </c:pt>
              </c:strCache>
            </c:strRef>
          </c:cat>
          <c:val>
            <c:numRef>
              <c:f>Countries!$B$1:$B$10</c:f>
              <c:numCache>
                <c:formatCode>0%</c:formatCode>
                <c:ptCount val="10"/>
                <c:pt idx="0">
                  <c:v>0.91</c:v>
                </c:pt>
                <c:pt idx="1">
                  <c:v>0.89</c:v>
                </c:pt>
                <c:pt idx="2">
                  <c:v>0.87</c:v>
                </c:pt>
                <c:pt idx="3">
                  <c:v>0.87</c:v>
                </c:pt>
                <c:pt idx="4">
                  <c:v>0.86</c:v>
                </c:pt>
                <c:pt idx="5">
                  <c:v>0.79</c:v>
                </c:pt>
                <c:pt idx="6">
                  <c:v>0.79</c:v>
                </c:pt>
                <c:pt idx="7">
                  <c:v>0.78</c:v>
                </c:pt>
                <c:pt idx="8">
                  <c:v>0.77</c:v>
                </c:pt>
                <c:pt idx="9">
                  <c:v>0.75</c:v>
                </c:pt>
              </c:numCache>
            </c:numRef>
          </c:val>
        </c:ser>
        <c:dLbls>
          <c:dLblPos val="outEnd"/>
          <c:showLegendKey val="0"/>
          <c:showVal val="1"/>
          <c:showCatName val="0"/>
          <c:showSerName val="0"/>
          <c:showPercent val="0"/>
          <c:showBubbleSize val="0"/>
        </c:dLbls>
        <c:gapWidth val="219"/>
        <c:overlap val="-27"/>
        <c:axId val="322075232"/>
        <c:axId val="322076408"/>
      </c:barChart>
      <c:catAx>
        <c:axId val="322075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Source: Visa Digital Payments study, 2016</a:t>
                </a:r>
              </a:p>
            </c:rich>
          </c:tx>
          <c:layout>
            <c:manualLayout>
              <c:xMode val="edge"/>
              <c:yMode val="edge"/>
              <c:x val="0.57853785354629528"/>
              <c:y val="0.9103951110686621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076408"/>
        <c:crosses val="autoZero"/>
        <c:auto val="1"/>
        <c:lblAlgn val="ctr"/>
        <c:lblOffset val="100"/>
        <c:noMultiLvlLbl val="0"/>
      </c:catAx>
      <c:valAx>
        <c:axId val="322076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of Mobile Payments users</a:t>
                </a:r>
              </a:p>
            </c:rich>
          </c:tx>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2075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sz="1600" b="1" i="0" baseline="0">
                <a:effectLst/>
              </a:rPr>
              <a:t>Mobile banking use is increasing across all age groups in Europe</a:t>
            </a:r>
            <a:endParaRPr lang="en-GB" sz="1600">
              <a:effectLst/>
            </a:endParaRPr>
          </a:p>
        </c:rich>
      </c:tx>
      <c:layout/>
      <c:overlay val="0"/>
      <c:spPr>
        <a:noFill/>
        <a:ln>
          <a:noFill/>
        </a:ln>
        <a:effectLst/>
      </c:spPr>
    </c:title>
    <c:autoTitleDeleted val="0"/>
    <c:plotArea>
      <c:layout/>
      <c:barChart>
        <c:barDir val="col"/>
        <c:grouping val="clustered"/>
        <c:varyColors val="0"/>
        <c:ser>
          <c:idx val="0"/>
          <c:order val="0"/>
          <c:tx>
            <c:strRef>
              <c:f>'Online banking Europe'!$A$4</c:f>
              <c:strCache>
                <c:ptCount val="1"/>
                <c:pt idx="0">
                  <c:v>2015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showLegendKey val="0"/>
              <c:showVal val="1"/>
              <c:showCatName val="0"/>
              <c:showSerName val="0"/>
              <c:showPercent val="0"/>
              <c:showBubbleSize val="0"/>
              <c:extLst>
                <c:ext xmlns:c15="http://schemas.microsoft.com/office/drawing/2012/chart" uri="{CE6537A1-D6FC-4f65-9D91-7224C49458BB}">
                  <c15:layout/>
                </c:ext>
              </c:extLst>
            </c:dLbl>
            <c:dLbl>
              <c:idx val="1"/>
              <c:layout/>
              <c:showLegendKey val="0"/>
              <c:showVal val="1"/>
              <c:showCatName val="0"/>
              <c:showSerName val="0"/>
              <c:showPercent val="0"/>
              <c:showBubbleSize val="0"/>
              <c:extLst>
                <c:ext xmlns:c15="http://schemas.microsoft.com/office/drawing/2012/chart" uri="{CE6537A1-D6FC-4f65-9D91-7224C49458BB}">
                  <c15:layout/>
                </c:ext>
              </c:extLst>
            </c:dLbl>
            <c:dLbl>
              <c:idx val="2"/>
              <c:layout/>
              <c:showLegendKey val="0"/>
              <c:showVal val="1"/>
              <c:showCatName val="0"/>
              <c:showSerName val="0"/>
              <c:showPercent val="0"/>
              <c:showBubbleSize val="0"/>
              <c:extLst>
                <c:ext xmlns:c15="http://schemas.microsoft.com/office/drawing/2012/chart" uri="{CE6537A1-D6FC-4f65-9D91-7224C49458BB}">
                  <c15:layout/>
                </c:ext>
              </c:extLst>
            </c:dLbl>
            <c:dLbl>
              <c:idx val="3"/>
              <c:layout/>
              <c:showLegendKey val="0"/>
              <c:showVal val="1"/>
              <c:showCatName val="0"/>
              <c:showSerName val="0"/>
              <c:showPercent val="0"/>
              <c:showBubbleSize val="0"/>
              <c:extLst>
                <c:ext xmlns:c15="http://schemas.microsoft.com/office/drawing/2012/chart" uri="{CE6537A1-D6FC-4f65-9D91-7224C49458BB}">
                  <c15:layout/>
                </c:ext>
              </c:extLst>
            </c:dLbl>
            <c:dLbl>
              <c:idx val="4"/>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'Online banking Europe'!$B$3:$F$3</c:f>
              <c:strCache>
                <c:ptCount val="5"/>
                <c:pt idx="0">
                  <c:v>  18 - 24</c:v>
                </c:pt>
                <c:pt idx="1">
                  <c:v>  25 - 34</c:v>
                </c:pt>
                <c:pt idx="2">
                  <c:v>35-44</c:v>
                </c:pt>
                <c:pt idx="3">
                  <c:v>45-54</c:v>
                </c:pt>
                <c:pt idx="4">
                  <c:v>55-64</c:v>
                </c:pt>
              </c:strCache>
            </c:strRef>
          </c:cat>
          <c:val>
            <c:numRef>
              <c:f>'Online banking Europe'!$B$4:$F$4</c:f>
              <c:numCache>
                <c:formatCode>0%</c:formatCode>
                <c:ptCount val="5"/>
                <c:pt idx="0">
                  <c:v>0.55000000000000004</c:v>
                </c:pt>
                <c:pt idx="1">
                  <c:v>0.61</c:v>
                </c:pt>
                <c:pt idx="2">
                  <c:v>0.55000000000000004</c:v>
                </c:pt>
                <c:pt idx="3">
                  <c:v>0.46</c:v>
                </c:pt>
                <c:pt idx="4">
                  <c:v>0.39</c:v>
                </c:pt>
              </c:numCache>
            </c:numRef>
          </c:val>
        </c:ser>
        <c:ser>
          <c:idx val="1"/>
          <c:order val="1"/>
          <c:tx>
            <c:strRef>
              <c:f>'Online banking Europe'!$A$5</c:f>
              <c:strCache>
                <c:ptCount val="1"/>
                <c:pt idx="0">
                  <c:v>2016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'Online banking Europe'!$B$3:$F$3</c:f>
              <c:strCache>
                <c:ptCount val="5"/>
                <c:pt idx="0">
                  <c:v>  18 - 24</c:v>
                </c:pt>
                <c:pt idx="1">
                  <c:v>  25 - 34</c:v>
                </c:pt>
                <c:pt idx="2">
                  <c:v>35-44</c:v>
                </c:pt>
                <c:pt idx="3">
                  <c:v>45-54</c:v>
                </c:pt>
                <c:pt idx="4">
                  <c:v>55-64</c:v>
                </c:pt>
              </c:strCache>
            </c:strRef>
          </c:cat>
          <c:val>
            <c:numRef>
              <c:f>'Online banking Europe'!$B$5:$F$5</c:f>
              <c:numCache>
                <c:formatCode>0%</c:formatCode>
                <c:ptCount val="5"/>
                <c:pt idx="0">
                  <c:v>0.68</c:v>
                </c:pt>
                <c:pt idx="1">
                  <c:v>0.68</c:v>
                </c:pt>
                <c:pt idx="2">
                  <c:v>0.64</c:v>
                </c:pt>
                <c:pt idx="3">
                  <c:v>0.56999999999999995</c:v>
                </c:pt>
                <c:pt idx="4">
                  <c:v>0.52</c:v>
                </c:pt>
              </c:numCache>
            </c:numRef>
          </c:val>
        </c:ser>
        <c:dLbls>
          <c:showLegendKey val="0"/>
          <c:showVal val="0"/>
          <c:showCatName val="0"/>
          <c:showSerName val="0"/>
          <c:showPercent val="0"/>
          <c:showBubbleSize val="0"/>
        </c:dLbls>
        <c:gapWidth val="100"/>
        <c:overlap val="-24"/>
        <c:axId val="322074840"/>
        <c:axId val="149556504"/>
      </c:barChart>
      <c:catAx>
        <c:axId val="322074840"/>
        <c:scaling>
          <c:orientation val="minMax"/>
        </c:scaling>
        <c:delete val="0"/>
        <c:axPos val="b"/>
        <c:title>
          <c:tx>
            <c:rich>
              <a:bodyPr rot="0" spcFirstLastPara="1" vertOverflow="ellipsis" vert="horz" wrap="square" anchor="ctr" anchorCtr="1"/>
              <a:lstStyle/>
              <a:p>
                <a:pPr algn="l">
                  <a:defRPr sz="900" b="1" i="0" u="none" strike="noStrike" kern="1200" baseline="0">
                    <a:solidFill>
                      <a:schemeClr val="tx2"/>
                    </a:solidFill>
                    <a:latin typeface="+mn-lt"/>
                    <a:ea typeface="+mn-ea"/>
                    <a:cs typeface="+mn-cs"/>
                  </a:defRPr>
                </a:pPr>
                <a:r>
                  <a:rPr lang="en-GB" sz="900" b="0"/>
                  <a:t>Source: Visa Digital Payments study, 2016</a:t>
                </a:r>
              </a:p>
            </c:rich>
          </c:tx>
          <c:layout>
            <c:manualLayout>
              <c:xMode val="edge"/>
              <c:yMode val="edge"/>
              <c:x val="0.66278422434037854"/>
              <c:y val="0.92353026839386998"/>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9556504"/>
        <c:crosses val="autoZero"/>
        <c:auto val="1"/>
        <c:lblAlgn val="ctr"/>
        <c:lblOffset val="100"/>
        <c:noMultiLvlLbl val="0"/>
      </c:catAx>
      <c:valAx>
        <c:axId val="14955650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22074840"/>
        <c:crosses val="autoZero"/>
        <c:crossBetween val="between"/>
      </c:valAx>
      <c:spPr>
        <a:noFill/>
        <a:ln>
          <a:noFill/>
        </a:ln>
        <a:effectLst/>
      </c:spPr>
    </c:plotArea>
    <c:legend>
      <c:legendPos val="b"/>
      <c:layout>
        <c:manualLayout>
          <c:xMode val="edge"/>
          <c:yMode val="edge"/>
          <c:x val="0.40068941382327206"/>
          <c:y val="0.82057105390871088"/>
          <c:w val="0.18751006124234471"/>
          <c:h val="7.78552161948614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5</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Visa Inc.</Company>
  <LinksUpToDate>false</LinksUpToDate>
  <CharactersWithSpaces>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Chieng, Stephanie</dc:creator>
  <cp:lastModifiedBy>Jamie Waddell</cp:lastModifiedBy>
  <cp:revision>3</cp:revision>
  <cp:lastPrinted>2016-09-30T13:10:00Z</cp:lastPrinted>
  <dcterms:created xsi:type="dcterms:W3CDTF">2016-09-30T13:26:00Z</dcterms:created>
  <dcterms:modified xsi:type="dcterms:W3CDTF">2016-10-03T15:28:00Z</dcterms:modified>
</cp:coreProperties>
</file>