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7C" w:rsidRDefault="0006307C" w:rsidP="0006307C">
      <w:pPr>
        <w:spacing w:before="100" w:beforeAutospacing="1" w:after="100" w:afterAutospacing="1"/>
        <w:outlineLvl w:val="4"/>
        <w:rPr>
          <w:b/>
          <w:sz w:val="40"/>
          <w:szCs w:val="22"/>
        </w:rPr>
      </w:pPr>
    </w:p>
    <w:p w:rsidR="0006307C" w:rsidRDefault="0006307C" w:rsidP="0006307C">
      <w:pPr>
        <w:spacing w:before="100" w:beforeAutospacing="1" w:after="100" w:afterAutospacing="1"/>
        <w:outlineLvl w:val="4"/>
        <w:rPr>
          <w:b/>
          <w:sz w:val="40"/>
          <w:szCs w:val="22"/>
        </w:rPr>
      </w:pPr>
    </w:p>
    <w:p w:rsidR="0006307C" w:rsidRDefault="0006307C" w:rsidP="0006307C">
      <w:pPr>
        <w:spacing w:before="100" w:beforeAutospacing="1" w:after="100" w:afterAutospacing="1"/>
        <w:outlineLvl w:val="4"/>
        <w:rPr>
          <w:b/>
          <w:sz w:val="40"/>
          <w:szCs w:val="22"/>
        </w:rPr>
      </w:pPr>
    </w:p>
    <w:p w:rsidR="0006307C" w:rsidRDefault="0006307C" w:rsidP="0006307C">
      <w:pPr>
        <w:spacing w:before="100" w:beforeAutospacing="1" w:after="100" w:afterAutospacing="1"/>
        <w:outlineLvl w:val="4"/>
        <w:rPr>
          <w:b/>
          <w:sz w:val="40"/>
          <w:szCs w:val="22"/>
        </w:rPr>
      </w:pPr>
    </w:p>
    <w:p w:rsidR="0006307C" w:rsidRDefault="0006307C" w:rsidP="0006307C">
      <w:pPr>
        <w:spacing w:before="100" w:beforeAutospacing="1" w:after="100" w:afterAutospacing="1"/>
        <w:outlineLvl w:val="4"/>
        <w:rPr>
          <w:b/>
          <w:sz w:val="40"/>
          <w:szCs w:val="22"/>
        </w:rPr>
      </w:pPr>
    </w:p>
    <w:p w:rsidR="0006307C" w:rsidRDefault="0006307C" w:rsidP="0006307C">
      <w:pPr>
        <w:spacing w:before="100" w:beforeAutospacing="1" w:after="100" w:afterAutospacing="1"/>
        <w:outlineLvl w:val="4"/>
        <w:rPr>
          <w:b/>
          <w:sz w:val="40"/>
          <w:szCs w:val="22"/>
        </w:rPr>
      </w:pPr>
    </w:p>
    <w:p w:rsidR="0006307C" w:rsidRPr="00E53F10" w:rsidRDefault="0006307C" w:rsidP="0006307C">
      <w:pPr>
        <w:spacing w:before="100" w:beforeAutospacing="1" w:after="100" w:afterAutospacing="1"/>
        <w:outlineLvl w:val="4"/>
        <w:rPr>
          <w:rStyle w:val="longtext1"/>
          <w:b/>
          <w:sz w:val="40"/>
          <w:szCs w:val="22"/>
        </w:rPr>
      </w:pPr>
      <w:r>
        <w:rPr>
          <w:b/>
          <w:sz w:val="40"/>
          <w:szCs w:val="22"/>
        </w:rPr>
        <w:t>Ett faktamaterial om akut kranskärlsjukdom</w:t>
      </w:r>
      <w:r w:rsidR="00B615B1">
        <w:rPr>
          <w:b/>
          <w:sz w:val="40"/>
          <w:szCs w:val="22"/>
        </w:rPr>
        <w:t xml:space="preserve"> och ticagrelor</w:t>
      </w: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06307C" w:rsidRDefault="0006307C" w:rsidP="0006307C">
      <w:pPr>
        <w:spacing w:before="100" w:beforeAutospacing="1" w:after="100" w:afterAutospacing="1"/>
        <w:outlineLvl w:val="4"/>
        <w:rPr>
          <w:rStyle w:val="longtext1"/>
          <w:rFonts w:cs="Arial"/>
          <w:b/>
          <w:sz w:val="28"/>
          <w:szCs w:val="28"/>
          <w:shd w:val="clear" w:color="auto" w:fill="FFFFFF"/>
        </w:rPr>
      </w:pPr>
    </w:p>
    <w:p w:rsidR="00A37BE4" w:rsidRDefault="0006307C" w:rsidP="00A37BE4">
      <w:pPr>
        <w:rPr>
          <w:rStyle w:val="longtext1"/>
          <w:rFonts w:cs="Arial"/>
          <w:b/>
          <w:sz w:val="28"/>
          <w:szCs w:val="28"/>
          <w:shd w:val="clear" w:color="auto" w:fill="FFFFFF"/>
        </w:rPr>
      </w:pPr>
      <w:r>
        <w:rPr>
          <w:rStyle w:val="longtext1"/>
          <w:rFonts w:cs="Arial"/>
          <w:b/>
          <w:sz w:val="28"/>
          <w:szCs w:val="28"/>
          <w:shd w:val="clear" w:color="auto" w:fill="FFFFFF"/>
        </w:rPr>
        <w:t>Kontaktperson för media:</w:t>
      </w:r>
    </w:p>
    <w:p w:rsidR="00A540D3" w:rsidRPr="00A37BE4" w:rsidRDefault="00A13BC2" w:rsidP="00A13BC2">
      <w:pPr>
        <w:rPr>
          <w:shd w:val="clear" w:color="auto" w:fill="FFFFFF"/>
        </w:rPr>
      </w:pPr>
      <w:r w:rsidRPr="0057312D">
        <w:t>Kristian Sjöholm PR-ansvarig, hjärta/kärl, AstraZeneca tel: 08-553 23135</w:t>
      </w:r>
      <w:r w:rsidR="00C81118">
        <w:t>,</w:t>
      </w:r>
      <w:r w:rsidRPr="0057312D">
        <w:t xml:space="preserve"> mob: 073-335 14 26, </w:t>
      </w:r>
      <w:hyperlink r:id="rId8" w:history="1">
        <w:r w:rsidRPr="0057312D">
          <w:t>www.astrazeneca.se</w:t>
        </w:r>
      </w:hyperlink>
      <w:r>
        <w:t xml:space="preserve"> </w:t>
      </w:r>
      <w:r w:rsidR="0006307C">
        <w:rPr>
          <w:rStyle w:val="longtext1"/>
          <w:rFonts w:cs="Arial"/>
          <w:b/>
          <w:sz w:val="28"/>
          <w:szCs w:val="28"/>
          <w:shd w:val="clear" w:color="auto" w:fill="FFFFFF"/>
        </w:rPr>
        <w:br w:type="page"/>
      </w:r>
      <w:r w:rsidR="0051412E" w:rsidRPr="00CB38D7">
        <w:rPr>
          <w:b/>
          <w:sz w:val="28"/>
        </w:rPr>
        <w:lastRenderedPageBreak/>
        <w:t>S</w:t>
      </w:r>
      <w:r w:rsidR="00626889" w:rsidRPr="00CB38D7">
        <w:rPr>
          <w:b/>
          <w:sz w:val="28"/>
        </w:rPr>
        <w:t>ammanfattning</w:t>
      </w:r>
    </w:p>
    <w:p w:rsidR="0051412E" w:rsidRPr="00A540D3" w:rsidRDefault="004B6E1E" w:rsidP="00A540D3">
      <w:pPr>
        <w:rPr>
          <w:rStyle w:val="longtext1"/>
          <w:sz w:val="28"/>
          <w:szCs w:val="28"/>
          <w:shd w:val="clear" w:color="auto" w:fill="FFFFFF"/>
        </w:rPr>
      </w:pPr>
      <w:r w:rsidRPr="00A540D3">
        <w:t>När</w:t>
      </w:r>
      <w:r w:rsidR="0042461E" w:rsidRPr="00A540D3">
        <w:t xml:space="preserve"> blodförsörjningen till hjärtmuskeln försämras drabbas hjärtmuskelceller av syrebrist. Patienten kan uppleva</w:t>
      </w:r>
      <w:r w:rsidR="005B5D41">
        <w:t xml:space="preserve"> många symptom där några ofta förekommande är</w:t>
      </w:r>
      <w:r w:rsidR="0042461E" w:rsidRPr="00A540D3">
        <w:t xml:space="preserve"> bröstsmärta, andfåddhet, illamående och ångest. </w:t>
      </w:r>
      <w:r w:rsidR="000367DF">
        <w:t>Ju</w:t>
      </w:r>
      <w:r w:rsidR="0042461E" w:rsidRPr="00A540D3">
        <w:t xml:space="preserve"> snab</w:t>
      </w:r>
      <w:r w:rsidR="00626889" w:rsidRPr="00A540D3">
        <w:t>bare tilltäppningen av blodförsö</w:t>
      </w:r>
      <w:r w:rsidR="0042461E" w:rsidRPr="00A540D3">
        <w:t xml:space="preserve">rjningen till hjärtmuskeln kan återställas </w:t>
      </w:r>
      <w:r w:rsidR="000367DF">
        <w:t>desto</w:t>
      </w:r>
      <w:r w:rsidR="0042461E" w:rsidRPr="00A540D3">
        <w:t xml:space="preserve"> mindre skadas hjärtat och </w:t>
      </w:r>
      <w:r w:rsidR="000367DF">
        <w:t>desto</w:t>
      </w:r>
      <w:r w:rsidR="0042461E" w:rsidRPr="00A540D3">
        <w:t xml:space="preserve"> större är sannolik</w:t>
      </w:r>
      <w:r w:rsidR="00055A9D" w:rsidRPr="00A540D3">
        <w:t>h</w:t>
      </w:r>
      <w:r w:rsidR="0042461E" w:rsidRPr="00A540D3">
        <w:t xml:space="preserve">eten att patienten överlever. </w:t>
      </w:r>
      <w:r w:rsidR="005B5D41">
        <w:t>Tilltäppning av hjärtats egna blodkärl</w:t>
      </w:r>
      <w:r w:rsidR="000367DF">
        <w:t xml:space="preserve"> </w:t>
      </w:r>
      <w:r w:rsidR="0042461E" w:rsidRPr="00A540D3">
        <w:t>är ett mycket akut tillstånd</w:t>
      </w:r>
      <w:r w:rsidR="005B5D41">
        <w:t xml:space="preserve"> som kräver snabbt insatta sjukvårdsåtgärder</w:t>
      </w:r>
      <w:r w:rsidR="0042461E" w:rsidRPr="00A540D3">
        <w:t>.</w:t>
      </w:r>
      <w:r w:rsidR="0042461E">
        <w:rPr>
          <w:rStyle w:val="longtext1"/>
          <w:rFonts w:cs="Arial"/>
          <w:sz w:val="22"/>
          <w:szCs w:val="22"/>
          <w:shd w:val="clear" w:color="auto" w:fill="FFFFFF"/>
        </w:rPr>
        <w:t xml:space="preserve"> </w:t>
      </w:r>
      <w:r w:rsidR="005B5D41">
        <w:rPr>
          <w:rStyle w:val="longtext1"/>
          <w:rFonts w:cs="Arial"/>
          <w:sz w:val="22"/>
          <w:szCs w:val="22"/>
          <w:shd w:val="clear" w:color="auto" w:fill="FFFFFF"/>
        </w:rPr>
        <w:t xml:space="preserve">Patientens viktigaste uppgift </w:t>
      </w:r>
      <w:r w:rsidR="00C435DE">
        <w:rPr>
          <w:rStyle w:val="longtext1"/>
          <w:rFonts w:cs="Arial"/>
          <w:sz w:val="22"/>
          <w:szCs w:val="22"/>
          <w:shd w:val="clear" w:color="auto" w:fill="FFFFFF"/>
        </w:rPr>
        <w:t xml:space="preserve">vid dessa </w:t>
      </w:r>
      <w:r w:rsidR="005B5D41">
        <w:rPr>
          <w:rStyle w:val="longtext1"/>
          <w:rFonts w:cs="Arial"/>
          <w:sz w:val="22"/>
          <w:szCs w:val="22"/>
          <w:shd w:val="clear" w:color="auto" w:fill="FFFFFF"/>
        </w:rPr>
        <w:t>symptom är att tillkalla ambulans omedelbart</w:t>
      </w:r>
      <w:r w:rsidR="00C435DE">
        <w:rPr>
          <w:rStyle w:val="longtext1"/>
          <w:rFonts w:cs="Arial"/>
          <w:sz w:val="22"/>
          <w:szCs w:val="22"/>
          <w:shd w:val="clear" w:color="auto" w:fill="FFFFFF"/>
        </w:rPr>
        <w:t>.</w:t>
      </w:r>
    </w:p>
    <w:p w:rsidR="0051412E" w:rsidRDefault="0051412E" w:rsidP="0051412E">
      <w:pPr>
        <w:rPr>
          <w:rStyle w:val="longtext1"/>
          <w:rFonts w:cs="Arial"/>
          <w:sz w:val="22"/>
          <w:szCs w:val="22"/>
          <w:shd w:val="clear" w:color="auto" w:fill="FFFFFF"/>
        </w:rPr>
      </w:pPr>
    </w:p>
    <w:p w:rsidR="004B6E1E" w:rsidRPr="0051412E" w:rsidRDefault="00055A9D" w:rsidP="0051412E">
      <w:pPr>
        <w:rPr>
          <w:rStyle w:val="longtext1"/>
          <w:sz w:val="28"/>
          <w:szCs w:val="28"/>
          <w:shd w:val="clear" w:color="auto" w:fill="FFFFFF"/>
        </w:rPr>
      </w:pPr>
      <w:r>
        <w:rPr>
          <w:rStyle w:val="longtext1"/>
          <w:rFonts w:cs="Arial"/>
          <w:sz w:val="22"/>
          <w:szCs w:val="22"/>
          <w:shd w:val="clear" w:color="auto" w:fill="FFFFFF"/>
        </w:rPr>
        <w:t>Syrebrist eller akut is</w:t>
      </w:r>
      <w:r w:rsidR="00626889">
        <w:rPr>
          <w:rStyle w:val="longtext1"/>
          <w:rFonts w:cs="Arial"/>
          <w:sz w:val="22"/>
          <w:szCs w:val="22"/>
          <w:shd w:val="clear" w:color="auto" w:fill="FFFFFF"/>
        </w:rPr>
        <w:t>chemisk kranskärlssjukdom</w:t>
      </w:r>
      <w:r w:rsidR="0042461E">
        <w:rPr>
          <w:rStyle w:val="longtext1"/>
          <w:rFonts w:cs="Arial"/>
          <w:sz w:val="22"/>
          <w:szCs w:val="22"/>
          <w:shd w:val="clear" w:color="auto" w:fill="FFFFFF"/>
        </w:rPr>
        <w:t xml:space="preserve"> kan delas in i instabil</w:t>
      </w:r>
      <w:r>
        <w:rPr>
          <w:rStyle w:val="longtext1"/>
          <w:rFonts w:cs="Arial"/>
          <w:sz w:val="22"/>
          <w:szCs w:val="22"/>
          <w:shd w:val="clear" w:color="auto" w:fill="FFFFFF"/>
        </w:rPr>
        <w:t xml:space="preserve"> kranskär</w:t>
      </w:r>
      <w:r w:rsidR="0042461E">
        <w:rPr>
          <w:rStyle w:val="longtext1"/>
          <w:rFonts w:cs="Arial"/>
          <w:sz w:val="22"/>
          <w:szCs w:val="22"/>
          <w:shd w:val="clear" w:color="auto" w:fill="FFFFFF"/>
        </w:rPr>
        <w:t xml:space="preserve">lssjukdom innefattande </w:t>
      </w:r>
      <w:r w:rsidR="004B6E1E" w:rsidRPr="004B6E1E">
        <w:rPr>
          <w:rStyle w:val="longtext1"/>
          <w:rFonts w:cs="Arial"/>
          <w:b/>
          <w:sz w:val="22"/>
          <w:szCs w:val="22"/>
          <w:shd w:val="clear" w:color="auto" w:fill="FFFFFF"/>
        </w:rPr>
        <w:t>instabil angina</w:t>
      </w:r>
      <w:r>
        <w:rPr>
          <w:rStyle w:val="longtext1"/>
          <w:rFonts w:cs="Arial"/>
          <w:sz w:val="22"/>
          <w:szCs w:val="22"/>
          <w:shd w:val="clear" w:color="auto" w:fill="FFFFFF"/>
        </w:rPr>
        <w:t xml:space="preserve"> (inga permanenta skador av hjärtmuskeln)</w:t>
      </w:r>
      <w:r w:rsidR="0042461E">
        <w:rPr>
          <w:rStyle w:val="longtext1"/>
          <w:rFonts w:cs="Arial"/>
          <w:sz w:val="22"/>
          <w:szCs w:val="22"/>
          <w:shd w:val="clear" w:color="auto" w:fill="FFFFFF"/>
        </w:rPr>
        <w:t xml:space="preserve"> och </w:t>
      </w:r>
      <w:r w:rsidR="00160D3D">
        <w:rPr>
          <w:rStyle w:val="longtext1"/>
          <w:rFonts w:cs="Arial"/>
          <w:b/>
          <w:sz w:val="22"/>
          <w:szCs w:val="22"/>
          <w:shd w:val="clear" w:color="auto" w:fill="FFFFFF"/>
        </w:rPr>
        <w:t>icke ST-höjnings</w:t>
      </w:r>
      <w:r w:rsidR="004B6E1E" w:rsidRPr="004B6E1E">
        <w:rPr>
          <w:rStyle w:val="longtext1"/>
          <w:rFonts w:cs="Arial"/>
          <w:b/>
          <w:sz w:val="22"/>
          <w:szCs w:val="22"/>
          <w:shd w:val="clear" w:color="auto" w:fill="FFFFFF"/>
        </w:rPr>
        <w:t>infarkt</w:t>
      </w:r>
      <w:r w:rsidR="00626889">
        <w:rPr>
          <w:rStyle w:val="longtext1"/>
          <w:rFonts w:cs="Arial"/>
          <w:b/>
          <w:sz w:val="22"/>
          <w:szCs w:val="22"/>
          <w:shd w:val="clear" w:color="auto" w:fill="FFFFFF"/>
        </w:rPr>
        <w:t xml:space="preserve"> (NSTEMI)</w:t>
      </w:r>
      <w:r w:rsidR="0042461E">
        <w:rPr>
          <w:rStyle w:val="longtext1"/>
          <w:rFonts w:cs="Arial"/>
          <w:sz w:val="22"/>
          <w:szCs w:val="22"/>
          <w:shd w:val="clear" w:color="auto" w:fill="FFFFFF"/>
        </w:rPr>
        <w:t xml:space="preserve"> (där hjärtmuskeln skadas men inte genom alla dess lager) samt </w:t>
      </w:r>
      <w:r w:rsidR="00160D3D">
        <w:rPr>
          <w:rStyle w:val="longtext1"/>
          <w:rFonts w:cs="Arial"/>
          <w:b/>
          <w:sz w:val="22"/>
          <w:szCs w:val="22"/>
          <w:shd w:val="clear" w:color="auto" w:fill="FFFFFF"/>
        </w:rPr>
        <w:t>ST-höjnings</w:t>
      </w:r>
      <w:r w:rsidR="004B6E1E" w:rsidRPr="004B6E1E">
        <w:rPr>
          <w:rStyle w:val="longtext1"/>
          <w:rFonts w:cs="Arial"/>
          <w:b/>
          <w:sz w:val="22"/>
          <w:szCs w:val="22"/>
          <w:shd w:val="clear" w:color="auto" w:fill="FFFFFF"/>
        </w:rPr>
        <w:t>infarkt</w:t>
      </w:r>
      <w:r w:rsidR="0042461E">
        <w:rPr>
          <w:rStyle w:val="longtext1"/>
          <w:rFonts w:cs="Arial"/>
          <w:sz w:val="22"/>
          <w:szCs w:val="22"/>
          <w:shd w:val="clear" w:color="auto" w:fill="FFFFFF"/>
        </w:rPr>
        <w:t xml:space="preserve"> </w:t>
      </w:r>
      <w:r w:rsidR="004B6E1E" w:rsidRPr="004B6E1E">
        <w:rPr>
          <w:rStyle w:val="longtext1"/>
          <w:rFonts w:cs="Arial"/>
          <w:b/>
          <w:sz w:val="22"/>
          <w:szCs w:val="22"/>
          <w:shd w:val="clear" w:color="auto" w:fill="FFFFFF"/>
        </w:rPr>
        <w:t>(STEMI)</w:t>
      </w:r>
      <w:r w:rsidR="00626889">
        <w:rPr>
          <w:rStyle w:val="longtext1"/>
          <w:rFonts w:cs="Arial"/>
          <w:sz w:val="22"/>
          <w:szCs w:val="22"/>
          <w:shd w:val="clear" w:color="auto" w:fill="FFFFFF"/>
        </w:rPr>
        <w:t xml:space="preserve"> </w:t>
      </w:r>
      <w:r w:rsidR="0042461E">
        <w:rPr>
          <w:rStyle w:val="longtext1"/>
          <w:rFonts w:cs="Arial"/>
          <w:sz w:val="22"/>
          <w:szCs w:val="22"/>
          <w:shd w:val="clear" w:color="auto" w:fill="FFFFFF"/>
        </w:rPr>
        <w:t xml:space="preserve">(där hjärtmuskeln skadas i alla dess lager). </w:t>
      </w:r>
    </w:p>
    <w:p w:rsidR="004B6E1E" w:rsidRDefault="004B6E1E" w:rsidP="004B6E1E">
      <w:pPr>
        <w:rPr>
          <w:rStyle w:val="longtext1"/>
          <w:rFonts w:cs="Arial"/>
          <w:sz w:val="22"/>
          <w:szCs w:val="22"/>
          <w:shd w:val="clear" w:color="auto" w:fill="FFFFFF"/>
        </w:rPr>
      </w:pPr>
    </w:p>
    <w:p w:rsidR="004B6E1E" w:rsidRDefault="0042461E" w:rsidP="004B6E1E">
      <w:pPr>
        <w:rPr>
          <w:rStyle w:val="longtext1"/>
          <w:rFonts w:cs="Arial"/>
          <w:sz w:val="22"/>
          <w:szCs w:val="22"/>
          <w:shd w:val="clear" w:color="auto" w:fill="FFFFFF"/>
        </w:rPr>
      </w:pPr>
      <w:r>
        <w:rPr>
          <w:rStyle w:val="longtext1"/>
          <w:rFonts w:cs="Arial"/>
          <w:sz w:val="22"/>
          <w:szCs w:val="22"/>
          <w:shd w:val="clear" w:color="auto" w:fill="FFFFFF"/>
        </w:rPr>
        <w:t xml:space="preserve">Fler än 17 000 personer avlider årligen i Sverige till följd av en akut kranskärlssjukdom. Det är den tredje vanligaste dödsorsaken i Sverige. De som överlever en akut kranskärlssjukdom löper mycket stor risk att drabbas av en efterföljande hjärtinfarkt med potentiellt dödlig utgång. </w:t>
      </w:r>
      <w:r w:rsidR="00055A9D">
        <w:rPr>
          <w:rStyle w:val="longtext1"/>
          <w:rFonts w:cs="Arial"/>
          <w:sz w:val="22"/>
          <w:szCs w:val="22"/>
          <w:shd w:val="clear" w:color="auto" w:fill="FFFFFF"/>
        </w:rPr>
        <w:t xml:space="preserve">Här behövs fler och bättre behandlingsalternativ. </w:t>
      </w:r>
    </w:p>
    <w:p w:rsidR="0059066D" w:rsidRDefault="0059066D" w:rsidP="004B6E1E">
      <w:pPr>
        <w:rPr>
          <w:rFonts w:cs="Arial"/>
          <w:b/>
          <w:szCs w:val="22"/>
          <w:shd w:val="clear" w:color="auto" w:fill="FFFFFF"/>
        </w:rPr>
      </w:pPr>
    </w:p>
    <w:p w:rsidR="00267C8E" w:rsidRDefault="00267C8E" w:rsidP="006F29F8">
      <w:pPr>
        <w:pStyle w:val="Title"/>
        <w:rPr>
          <w:lang w:val="sv-SE"/>
        </w:rPr>
      </w:pPr>
    </w:p>
    <w:p w:rsidR="0051210C" w:rsidRPr="00CB38D7" w:rsidRDefault="00DE7898" w:rsidP="006F29F8">
      <w:pPr>
        <w:pStyle w:val="Title"/>
        <w:rPr>
          <w:lang w:val="sv-SE"/>
        </w:rPr>
      </w:pPr>
      <w:r w:rsidRPr="00CB38D7">
        <w:rPr>
          <w:lang w:val="sv-SE"/>
        </w:rPr>
        <w:t>Ticagrel</w:t>
      </w:r>
      <w:r w:rsidR="000367DF">
        <w:rPr>
          <w:lang w:val="sv-SE"/>
        </w:rPr>
        <w:t>or</w:t>
      </w:r>
      <w:r w:rsidR="00267C8E">
        <w:rPr>
          <w:lang w:val="sv-SE"/>
        </w:rPr>
        <w:t xml:space="preserve"> (Brilique)</w:t>
      </w:r>
      <w:r w:rsidR="000367DF">
        <w:rPr>
          <w:lang w:val="sv-SE"/>
        </w:rPr>
        <w:t xml:space="preserve"> minskar risken för Kardiovask</w:t>
      </w:r>
      <w:r w:rsidR="00BA0EC7">
        <w:rPr>
          <w:lang w:val="sv-SE"/>
        </w:rPr>
        <w:t>ulära händelser signif</w:t>
      </w:r>
      <w:r w:rsidRPr="00CB38D7">
        <w:rPr>
          <w:lang w:val="sv-SE"/>
        </w:rPr>
        <w:t>ikant oavsett typ</w:t>
      </w:r>
      <w:r w:rsidR="0051210C">
        <w:rPr>
          <w:lang w:val="sv-SE"/>
        </w:rPr>
        <w:t xml:space="preserve"> </w:t>
      </w:r>
    </w:p>
    <w:p w:rsidR="00373223" w:rsidRDefault="00373223" w:rsidP="00373223">
      <w:r w:rsidRPr="00AE0D73">
        <w:t>Läkemedlet</w:t>
      </w:r>
      <w:r>
        <w:t xml:space="preserve"> ticagrelor </w:t>
      </w:r>
      <w:r w:rsidR="00BA0EC7">
        <w:t>är en trombocythämmare</w:t>
      </w:r>
      <w:r w:rsidRPr="00AE0D73">
        <w:t xml:space="preserve"> under utveckling för minskning av allvarliga hjärt/kärlhändelser hos patienter med akut kranskärlssjukdom. Det föreslagna produktnamnet för ticagrel</w:t>
      </w:r>
      <w:r>
        <w:t>or är Brilique (</w:t>
      </w:r>
      <w:r w:rsidR="00BA0EC7">
        <w:t>i andra delar av världen</w:t>
      </w:r>
      <w:r>
        <w:t xml:space="preserve"> Brilinta)</w:t>
      </w:r>
      <w:r w:rsidRPr="00AE0D73">
        <w:t>.</w:t>
      </w:r>
      <w:r>
        <w:br/>
      </w:r>
    </w:p>
    <w:p w:rsidR="00695D4E" w:rsidRDefault="00695D4E" w:rsidP="00695D4E">
      <w:pPr>
        <w:pStyle w:val="ListParagraph"/>
        <w:numPr>
          <w:ilvl w:val="0"/>
          <w:numId w:val="15"/>
        </w:numPr>
      </w:pPr>
      <w:r>
        <w:t xml:space="preserve">Ticagrelor (Brilique) </w:t>
      </w:r>
      <w:r w:rsidRPr="005443A4">
        <w:t xml:space="preserve"> är det första</w:t>
      </w:r>
      <w:r>
        <w:t xml:space="preserve"> läkemedlet</w:t>
      </w:r>
      <w:r w:rsidRPr="005443A4">
        <w:t xml:space="preserve"> i en</w:t>
      </w:r>
      <w:r>
        <w:t xml:space="preserve"> helt</w:t>
      </w:r>
      <w:r w:rsidRPr="005443A4">
        <w:t xml:space="preserve"> ny kemisk klass, CPTP (cyklopentyltriazolopyrimidiner)</w:t>
      </w:r>
      <w:r>
        <w:t>.</w:t>
      </w:r>
    </w:p>
    <w:p w:rsidR="00096E21" w:rsidRDefault="00267C8E" w:rsidP="00096E21">
      <w:pPr>
        <w:pStyle w:val="ListParagraph"/>
        <w:numPr>
          <w:ilvl w:val="0"/>
          <w:numId w:val="15"/>
        </w:numPr>
      </w:pPr>
      <w:r>
        <w:t xml:space="preserve">Ticagrelor minskar antalet </w:t>
      </w:r>
      <w:r w:rsidR="005D2C77">
        <w:t>hjärt/kärlrelaterade händelser (hjärt/kärlrelaterad död, hjärtinfarkt, stroke)</w:t>
      </w:r>
      <w:r>
        <w:t xml:space="preserve"> med </w:t>
      </w:r>
      <w:proofErr w:type="gramStart"/>
      <w:r w:rsidR="0051210C">
        <w:t>16</w:t>
      </w:r>
      <w:r>
        <w:t>%</w:t>
      </w:r>
      <w:proofErr w:type="gramEnd"/>
      <w:r w:rsidR="005D2C77">
        <w:t xml:space="preserve"> jämfört med</w:t>
      </w:r>
      <w:r w:rsidR="003734ED">
        <w:t xml:space="preserve"> dagens standardbehandling</w:t>
      </w:r>
      <w:r w:rsidR="00695D4E">
        <w:t xml:space="preserve"> clopidogrel (Plavix</w:t>
      </w:r>
      <w:r w:rsidR="005D2C77">
        <w:t>), utan ökad risk för allvarliga blödningar.</w:t>
      </w:r>
      <w:r w:rsidR="003734ED">
        <w:t xml:space="preserve"> </w:t>
      </w:r>
    </w:p>
    <w:p w:rsidR="003734ED" w:rsidRDefault="003734ED" w:rsidP="00096E21">
      <w:pPr>
        <w:pStyle w:val="ListParagraph"/>
        <w:numPr>
          <w:ilvl w:val="0"/>
          <w:numId w:val="15"/>
        </w:numPr>
      </w:pPr>
      <w:r>
        <w:t>Ticagrelor är det första blodproppshämmande läkemedlet som visat sig minska hjärt</w:t>
      </w:r>
      <w:r w:rsidR="00695D4E">
        <w:t xml:space="preserve">/kärlrelaterad död jämfört med </w:t>
      </w:r>
      <w:r w:rsidR="00BA0EC7">
        <w:t>clopidogrel</w:t>
      </w:r>
      <w:r>
        <w:t xml:space="preserve"> hos patienter med akut kranskärlssjukdom.</w:t>
      </w:r>
    </w:p>
    <w:p w:rsidR="00267C8E" w:rsidRDefault="00597AB9" w:rsidP="00267C8E">
      <w:pPr>
        <w:pStyle w:val="ListParagraph"/>
        <w:numPr>
          <w:ilvl w:val="0"/>
          <w:numId w:val="15"/>
        </w:numPr>
      </w:pPr>
      <w:r>
        <w:t>Ticagrelor har s</w:t>
      </w:r>
      <w:r w:rsidR="00267C8E" w:rsidRPr="00267C8E">
        <w:t>nabb</w:t>
      </w:r>
      <w:r w:rsidR="0051210C">
        <w:t>t</w:t>
      </w:r>
      <w:r w:rsidR="00267C8E" w:rsidRPr="00267C8E">
        <w:t xml:space="preserve"> in</w:t>
      </w:r>
      <w:r w:rsidR="00E21415">
        <w:t>s</w:t>
      </w:r>
      <w:r w:rsidR="0051210C">
        <w:t>ättande effekt</w:t>
      </w:r>
      <w:r w:rsidR="00267C8E" w:rsidRPr="00267C8E">
        <w:t xml:space="preserve"> och </w:t>
      </w:r>
      <w:r w:rsidR="0051210C">
        <w:t xml:space="preserve">vid </w:t>
      </w:r>
      <w:r w:rsidR="00267C8E" w:rsidRPr="00267C8E">
        <w:t>utsättning</w:t>
      </w:r>
      <w:r w:rsidR="0051210C">
        <w:t xml:space="preserve"> avtar effekten snabbt</w:t>
      </w:r>
      <w:r w:rsidR="00115A44">
        <w:t>,</w:t>
      </w:r>
      <w:r w:rsidR="00267C8E" w:rsidRPr="00267C8E">
        <w:t xml:space="preserve"> vilket möjli</w:t>
      </w:r>
      <w:r>
        <w:t>g</w:t>
      </w:r>
      <w:r w:rsidR="00267C8E" w:rsidRPr="00267C8E">
        <w:t>gör</w:t>
      </w:r>
      <w:r>
        <w:t xml:space="preserve"> snabb</w:t>
      </w:r>
      <w:r w:rsidR="00267C8E" w:rsidRPr="00267C8E">
        <w:t xml:space="preserve"> effektiv behandling i det akuta skedet samtidigt som tiden till öppen operation kan minskas jämför med </w:t>
      </w:r>
      <w:r w:rsidR="00BA0EC7">
        <w:t>andra</w:t>
      </w:r>
      <w:r w:rsidR="00267C8E" w:rsidRPr="00267C8E">
        <w:t xml:space="preserve"> behandlingsalternativ. </w:t>
      </w:r>
    </w:p>
    <w:p w:rsidR="00373223" w:rsidRDefault="00373223" w:rsidP="00373223">
      <w:pPr>
        <w:pStyle w:val="ListParagraph"/>
        <w:numPr>
          <w:ilvl w:val="0"/>
          <w:numId w:val="15"/>
        </w:numPr>
      </w:pPr>
      <w:r>
        <w:t>Effekten av ti</w:t>
      </w:r>
      <w:r w:rsidR="00695D4E">
        <w:t>cagrelor ökar över tid</w:t>
      </w:r>
      <w:r w:rsidR="00BA0EC7">
        <w:t>,</w:t>
      </w:r>
      <w:r w:rsidR="00695D4E">
        <w:t xml:space="preserve"> jämfört </w:t>
      </w:r>
      <w:r w:rsidR="00BA0EC7">
        <w:t>med clopidogrel</w:t>
      </w:r>
      <w:r>
        <w:t xml:space="preserve"> </w:t>
      </w:r>
      <w:r w:rsidR="00695D4E">
        <w:t>(</w:t>
      </w:r>
      <w:r>
        <w:t>Plavix</w:t>
      </w:r>
      <w:r w:rsidR="00695D4E">
        <w:t>).</w:t>
      </w:r>
      <w:r w:rsidR="00695D4E" w:rsidRPr="00695D4E">
        <w:t xml:space="preserve"> </w:t>
      </w:r>
    </w:p>
    <w:p w:rsidR="00C435DE" w:rsidRPr="00950350" w:rsidRDefault="00C435DE" w:rsidP="00C435DE">
      <w:pPr>
        <w:pStyle w:val="Title"/>
        <w:rPr>
          <w:shd w:val="clear" w:color="auto" w:fill="FFFFFF"/>
          <w:lang w:val="sv-SE"/>
        </w:rPr>
      </w:pPr>
    </w:p>
    <w:p w:rsidR="00C435DE" w:rsidRPr="0051412E" w:rsidRDefault="00C435DE" w:rsidP="00C435DE">
      <w:pPr>
        <w:pStyle w:val="Title"/>
        <w:rPr>
          <w:shd w:val="clear" w:color="auto" w:fill="FFFFFF"/>
        </w:rPr>
      </w:pPr>
      <w:r w:rsidRPr="0051412E">
        <w:rPr>
          <w:shd w:val="clear" w:color="auto" w:fill="FFFFFF"/>
        </w:rPr>
        <w:t>Ur innehållet:</w:t>
      </w:r>
    </w:p>
    <w:p w:rsidR="00C435DE" w:rsidRPr="0051412E" w:rsidRDefault="00C435DE" w:rsidP="00C435DE">
      <w:pPr>
        <w:pStyle w:val="ListParagraph"/>
        <w:numPr>
          <w:ilvl w:val="0"/>
          <w:numId w:val="14"/>
        </w:numPr>
        <w:rPr>
          <w:shd w:val="clear" w:color="auto" w:fill="FFFFFF"/>
        </w:rPr>
      </w:pPr>
      <w:r w:rsidRPr="0051412E">
        <w:rPr>
          <w:shd w:val="clear" w:color="auto" w:fill="FFFFFF"/>
        </w:rPr>
        <w:lastRenderedPageBreak/>
        <w:t>Om akut kranskärlsjukdom</w:t>
      </w:r>
    </w:p>
    <w:p w:rsidR="00C435DE" w:rsidRPr="0051412E" w:rsidRDefault="00C435DE" w:rsidP="00C435DE">
      <w:pPr>
        <w:pStyle w:val="ListParagraph"/>
        <w:numPr>
          <w:ilvl w:val="0"/>
          <w:numId w:val="14"/>
        </w:numPr>
        <w:rPr>
          <w:shd w:val="clear" w:color="auto" w:fill="FFFFFF"/>
        </w:rPr>
      </w:pPr>
      <w:r w:rsidRPr="0051412E">
        <w:rPr>
          <w:shd w:val="clear" w:color="auto" w:fill="FFFFFF"/>
        </w:rPr>
        <w:t>Orsaker och riskfaktorer</w:t>
      </w:r>
    </w:p>
    <w:p w:rsidR="00C435DE" w:rsidRPr="0051412E" w:rsidRDefault="00C435DE" w:rsidP="00C435DE">
      <w:pPr>
        <w:pStyle w:val="ListParagraph"/>
        <w:numPr>
          <w:ilvl w:val="0"/>
          <w:numId w:val="14"/>
        </w:numPr>
        <w:rPr>
          <w:shd w:val="clear" w:color="auto" w:fill="FFFFFF"/>
        </w:rPr>
      </w:pPr>
      <w:r w:rsidRPr="0051412E">
        <w:rPr>
          <w:shd w:val="clear" w:color="auto" w:fill="FFFFFF"/>
        </w:rPr>
        <w:t>Tredje vanligaste dödsorsaken i Sverige</w:t>
      </w:r>
    </w:p>
    <w:p w:rsidR="00C435DE" w:rsidRPr="0051412E" w:rsidRDefault="00C435DE" w:rsidP="00C435DE">
      <w:pPr>
        <w:pStyle w:val="ListParagraph"/>
        <w:numPr>
          <w:ilvl w:val="0"/>
          <w:numId w:val="14"/>
        </w:numPr>
        <w:rPr>
          <w:shd w:val="clear" w:color="auto" w:fill="FFFFFF"/>
        </w:rPr>
      </w:pPr>
      <w:r w:rsidRPr="0051412E">
        <w:rPr>
          <w:shd w:val="clear" w:color="auto" w:fill="FFFFFF"/>
        </w:rPr>
        <w:t>Förändrar patientens liv</w:t>
      </w:r>
    </w:p>
    <w:p w:rsidR="00C435DE" w:rsidRPr="0051412E" w:rsidRDefault="00C435DE" w:rsidP="00C435DE">
      <w:pPr>
        <w:pStyle w:val="ListParagraph"/>
        <w:numPr>
          <w:ilvl w:val="0"/>
          <w:numId w:val="14"/>
        </w:numPr>
        <w:rPr>
          <w:shd w:val="clear" w:color="auto" w:fill="FFFFFF"/>
        </w:rPr>
      </w:pPr>
      <w:r w:rsidRPr="0051412E">
        <w:rPr>
          <w:shd w:val="clear" w:color="auto" w:fill="FFFFFF"/>
        </w:rPr>
        <w:t>Viktigt med både akut och långsiktig behandling</w:t>
      </w:r>
    </w:p>
    <w:p w:rsidR="00C435DE" w:rsidRPr="0051412E" w:rsidRDefault="00C435DE" w:rsidP="00C435DE">
      <w:pPr>
        <w:pStyle w:val="ListParagraph"/>
        <w:numPr>
          <w:ilvl w:val="0"/>
          <w:numId w:val="14"/>
        </w:numPr>
        <w:rPr>
          <w:shd w:val="clear" w:color="auto" w:fill="FFFFFF"/>
        </w:rPr>
      </w:pPr>
      <w:r w:rsidRPr="0051412E">
        <w:rPr>
          <w:shd w:val="clear" w:color="auto" w:fill="FFFFFF"/>
        </w:rPr>
        <w:t>Behovet av mer flexibel behandling</w:t>
      </w:r>
    </w:p>
    <w:p w:rsidR="00C435DE" w:rsidRPr="0051412E" w:rsidRDefault="00C435DE" w:rsidP="00C435DE">
      <w:pPr>
        <w:pStyle w:val="ListParagraph"/>
        <w:numPr>
          <w:ilvl w:val="0"/>
          <w:numId w:val="14"/>
        </w:numPr>
        <w:rPr>
          <w:shd w:val="clear" w:color="auto" w:fill="FFFFFF"/>
        </w:rPr>
      </w:pPr>
      <w:r w:rsidRPr="0051412E">
        <w:rPr>
          <w:shd w:val="clear" w:color="auto" w:fill="FFFFFF"/>
        </w:rPr>
        <w:t>Stora kostnader för samhället</w:t>
      </w:r>
    </w:p>
    <w:p w:rsidR="00C435DE" w:rsidRPr="0051412E" w:rsidRDefault="00C435DE" w:rsidP="00C435DE">
      <w:pPr>
        <w:pStyle w:val="ListParagraph"/>
        <w:numPr>
          <w:ilvl w:val="0"/>
          <w:numId w:val="14"/>
        </w:numPr>
        <w:rPr>
          <w:rStyle w:val="longtext1"/>
          <w:sz w:val="22"/>
          <w:szCs w:val="20"/>
          <w:shd w:val="clear" w:color="auto" w:fill="FFFFFF"/>
        </w:rPr>
      </w:pPr>
      <w:r w:rsidRPr="0051412E">
        <w:rPr>
          <w:shd w:val="clear" w:color="auto" w:fill="FFFFFF"/>
        </w:rPr>
        <w:t>Om Ticagrelor (Brilique)</w:t>
      </w:r>
    </w:p>
    <w:p w:rsidR="00DE7898" w:rsidRDefault="00DE7898" w:rsidP="00A540D3">
      <w:pPr>
        <w:rPr>
          <w:b/>
        </w:rPr>
      </w:pPr>
    </w:p>
    <w:p w:rsidR="00096E21" w:rsidRDefault="00096E21" w:rsidP="00A540D3">
      <w:pPr>
        <w:rPr>
          <w:b/>
        </w:rPr>
      </w:pPr>
    </w:p>
    <w:p w:rsidR="00BA0EC7" w:rsidRDefault="005D2C77" w:rsidP="00A540D3">
      <w:r w:rsidRPr="003734ED">
        <w:rPr>
          <w:b/>
        </w:rPr>
        <w:t>H</w:t>
      </w:r>
      <w:r w:rsidR="00695D4E">
        <w:rPr>
          <w:b/>
        </w:rPr>
        <w:t>ar du frågor som gäller k</w:t>
      </w:r>
      <w:r w:rsidR="0059066D" w:rsidRPr="003734ED">
        <w:rPr>
          <w:b/>
        </w:rPr>
        <w:t>ranskärlsj</w:t>
      </w:r>
      <w:r w:rsidR="00CC6508">
        <w:rPr>
          <w:b/>
        </w:rPr>
        <w:t>ukdom eller</w:t>
      </w:r>
      <w:r w:rsidR="00695D4E">
        <w:rPr>
          <w:b/>
        </w:rPr>
        <w:t xml:space="preserve"> t</w:t>
      </w:r>
      <w:r w:rsidR="003E28A9">
        <w:rPr>
          <w:b/>
        </w:rPr>
        <w:t>ic</w:t>
      </w:r>
      <w:r w:rsidR="0059066D" w:rsidRPr="003734ED">
        <w:rPr>
          <w:b/>
        </w:rPr>
        <w:t>agrelor (Brilique)?</w:t>
      </w:r>
      <w:r w:rsidR="0059066D" w:rsidRPr="0059066D">
        <w:t xml:space="preserve"> </w:t>
      </w:r>
    </w:p>
    <w:p w:rsidR="0059066D" w:rsidRPr="0059066D" w:rsidRDefault="0059066D" w:rsidP="00A540D3">
      <w:pPr>
        <w:rPr>
          <w:caps/>
          <w:szCs w:val="22"/>
        </w:rPr>
      </w:pPr>
      <w:r w:rsidRPr="003734ED">
        <w:t>Kontakta</w:t>
      </w:r>
      <w:r w:rsidR="00695D4E">
        <w:t>,</w:t>
      </w:r>
      <w:r w:rsidRPr="003734ED">
        <w:t xml:space="preserve"> </w:t>
      </w:r>
      <w:r w:rsidR="00A540D3">
        <w:t>Kristian Sjöholm PR-ansvarig, hjärta/kärl, AstraZeneca tel: 08-553 23135</w:t>
      </w:r>
      <w:r w:rsidR="00E862F4">
        <w:t>,</w:t>
      </w:r>
      <w:r w:rsidR="00A540D3">
        <w:t xml:space="preserve"> </w:t>
      </w:r>
      <w:r w:rsidR="00E862F4">
        <w:br/>
      </w:r>
      <w:r w:rsidR="00A540D3">
        <w:t>mob: 073-335 14 26</w:t>
      </w:r>
      <w:r w:rsidR="006F29F8">
        <w:t>,</w:t>
      </w:r>
      <w:r w:rsidR="00A540D3">
        <w:t xml:space="preserve"> </w:t>
      </w:r>
      <w:hyperlink r:id="rId9" w:history="1">
        <w:r w:rsidR="0051412E" w:rsidRPr="00A540D3">
          <w:t>www.astrazeneca.se</w:t>
        </w:r>
      </w:hyperlink>
      <w:r w:rsidR="008D4B94">
        <w:t xml:space="preserve"> </w:t>
      </w:r>
    </w:p>
    <w:p w:rsidR="0006307C" w:rsidRPr="00CD45B3" w:rsidRDefault="0006307C" w:rsidP="0006307C">
      <w:pPr>
        <w:pStyle w:val="Heading5"/>
        <w:rPr>
          <w:rStyle w:val="longtext1"/>
          <w:caps w:val="0"/>
          <w:sz w:val="24"/>
          <w:szCs w:val="28"/>
          <w:shd w:val="clear" w:color="auto" w:fill="FFFFFF"/>
        </w:rPr>
      </w:pPr>
      <w:r w:rsidRPr="00CD45B3">
        <w:rPr>
          <w:caps w:val="0"/>
        </w:rPr>
        <w:t xml:space="preserve">Akut </w:t>
      </w:r>
      <w:r w:rsidRPr="00CD45B3">
        <w:rPr>
          <w:rStyle w:val="longtext1"/>
          <w:caps w:val="0"/>
          <w:sz w:val="28"/>
          <w:szCs w:val="28"/>
          <w:shd w:val="clear" w:color="auto" w:fill="FFFFFF"/>
        </w:rPr>
        <w:t>kranskärlssjukdom</w:t>
      </w:r>
    </w:p>
    <w:p w:rsidR="0006307C" w:rsidRDefault="0006307C" w:rsidP="0006307C">
      <w:pPr>
        <w:spacing w:before="100" w:beforeAutospacing="1" w:after="100" w:afterAutospacing="1"/>
        <w:outlineLvl w:val="4"/>
      </w:pPr>
      <w:r>
        <w:rPr>
          <w:rStyle w:val="longtext1"/>
          <w:rFonts w:cs="Arial"/>
          <w:sz w:val="22"/>
          <w:szCs w:val="22"/>
          <w:shd w:val="clear" w:color="auto" w:fill="FFFFFF"/>
        </w:rPr>
        <w:t>Akut kranskärlsjukdom, a</w:t>
      </w:r>
      <w:r w:rsidRPr="00BF0030">
        <w:rPr>
          <w:rStyle w:val="longtext1"/>
          <w:rFonts w:cs="Arial"/>
          <w:sz w:val="22"/>
          <w:szCs w:val="22"/>
          <w:shd w:val="clear" w:color="auto" w:fill="FFFFFF"/>
        </w:rPr>
        <w:t>kut</w:t>
      </w:r>
      <w:r>
        <w:rPr>
          <w:rStyle w:val="longtext1"/>
          <w:rFonts w:cs="Arial"/>
          <w:sz w:val="22"/>
          <w:szCs w:val="22"/>
          <w:shd w:val="clear" w:color="auto" w:fill="FFFFFF"/>
        </w:rPr>
        <w:t>a koronara</w:t>
      </w:r>
      <w:r w:rsidRPr="00BF0030">
        <w:rPr>
          <w:rStyle w:val="longtext1"/>
          <w:rFonts w:cs="Arial"/>
          <w:sz w:val="22"/>
          <w:szCs w:val="22"/>
          <w:shd w:val="clear" w:color="auto" w:fill="FFFFFF"/>
        </w:rPr>
        <w:t xml:space="preserve"> syndrom (ACS)</w:t>
      </w:r>
      <w:r w:rsidR="00BE59E1">
        <w:rPr>
          <w:rStyle w:val="longtext1"/>
          <w:rFonts w:cs="Arial"/>
          <w:sz w:val="22"/>
          <w:szCs w:val="22"/>
          <w:shd w:val="clear" w:color="auto" w:fill="FFFFFF"/>
        </w:rPr>
        <w:t xml:space="preserve">, </w:t>
      </w:r>
      <w:r w:rsidRPr="00BF0030">
        <w:rPr>
          <w:rStyle w:val="longtext1"/>
          <w:rFonts w:cs="Arial"/>
          <w:sz w:val="22"/>
          <w:szCs w:val="22"/>
          <w:shd w:val="clear" w:color="auto" w:fill="FFFFFF"/>
        </w:rPr>
        <w:t>är ett samlingsnamn för otillräcklig blodtillförsel (</w:t>
      </w:r>
      <w:proofErr w:type="spellStart"/>
      <w:r w:rsidRPr="00BF0030">
        <w:rPr>
          <w:rStyle w:val="longtext1"/>
          <w:rFonts w:cs="Arial"/>
          <w:sz w:val="22"/>
          <w:szCs w:val="22"/>
          <w:shd w:val="clear" w:color="auto" w:fill="FFFFFF"/>
        </w:rPr>
        <w:t>ischemi</w:t>
      </w:r>
      <w:proofErr w:type="spellEnd"/>
      <w:r w:rsidRPr="00BF0030">
        <w:rPr>
          <w:rStyle w:val="longtext1"/>
          <w:rFonts w:cs="Arial"/>
          <w:sz w:val="22"/>
          <w:szCs w:val="22"/>
          <w:shd w:val="clear" w:color="auto" w:fill="FFFFFF"/>
        </w:rPr>
        <w:t xml:space="preserve">) </w:t>
      </w:r>
      <w:r>
        <w:rPr>
          <w:rStyle w:val="longtext1"/>
          <w:rFonts w:cs="Arial"/>
          <w:sz w:val="22"/>
          <w:szCs w:val="22"/>
          <w:shd w:val="clear" w:color="auto" w:fill="FFFFFF"/>
        </w:rPr>
        <w:t>till</w:t>
      </w:r>
      <w:r w:rsidRPr="00BF0030">
        <w:rPr>
          <w:rStyle w:val="longtext1"/>
          <w:rFonts w:cs="Arial"/>
          <w:sz w:val="22"/>
          <w:szCs w:val="22"/>
          <w:shd w:val="clear" w:color="auto" w:fill="FFFFFF"/>
        </w:rPr>
        <w:t xml:space="preserve"> hjärtmuskeln</w:t>
      </w:r>
      <w:r w:rsidR="00BE59E1">
        <w:rPr>
          <w:rStyle w:val="longtext1"/>
          <w:rFonts w:cs="Arial"/>
          <w:sz w:val="22"/>
          <w:szCs w:val="22"/>
          <w:shd w:val="clear" w:color="auto" w:fill="FFFFFF"/>
        </w:rPr>
        <w:t>.</w:t>
      </w:r>
    </w:p>
    <w:p w:rsidR="0006307C" w:rsidRDefault="0006307C" w:rsidP="0006307C">
      <w:pPr>
        <w:spacing w:before="100" w:beforeAutospacing="1" w:after="100" w:afterAutospacing="1"/>
        <w:outlineLvl w:val="4"/>
        <w:rPr>
          <w:rStyle w:val="longtext1"/>
          <w:rFonts w:cs="Arial"/>
          <w:sz w:val="22"/>
          <w:szCs w:val="22"/>
          <w:shd w:val="clear" w:color="auto" w:fill="FFFFFF"/>
        </w:rPr>
      </w:pPr>
      <w:r w:rsidRPr="00F3050F">
        <w:rPr>
          <w:bCs/>
          <w:szCs w:val="22"/>
        </w:rPr>
        <w:t>Vid otillräcklig</w:t>
      </w:r>
      <w:r w:rsidR="00BE59E1">
        <w:rPr>
          <w:bCs/>
          <w:szCs w:val="22"/>
        </w:rPr>
        <w:t xml:space="preserve"> blodtillförsel till hjärtmuskeln </w:t>
      </w:r>
      <w:r w:rsidRPr="00F3050F">
        <w:rPr>
          <w:bCs/>
          <w:szCs w:val="22"/>
        </w:rPr>
        <w:t>har något eller några av hjärtats kranskärl blivit</w:t>
      </w:r>
      <w:r>
        <w:rPr>
          <w:bCs/>
          <w:szCs w:val="22"/>
        </w:rPr>
        <w:t xml:space="preserve"> helt eller till viss del tilltäppta</w:t>
      </w:r>
      <w:r w:rsidRPr="00F3050F">
        <w:rPr>
          <w:bCs/>
          <w:szCs w:val="22"/>
        </w:rPr>
        <w:t xml:space="preserve"> så a</w:t>
      </w:r>
      <w:r>
        <w:rPr>
          <w:bCs/>
          <w:szCs w:val="22"/>
        </w:rPr>
        <w:t>tt hjärtat</w:t>
      </w:r>
      <w:r w:rsidRPr="00F3050F">
        <w:rPr>
          <w:bCs/>
          <w:szCs w:val="22"/>
        </w:rPr>
        <w:t xml:space="preserve"> inte får </w:t>
      </w:r>
      <w:r w:rsidR="00BE59E1">
        <w:rPr>
          <w:bCs/>
          <w:szCs w:val="22"/>
        </w:rPr>
        <w:t>tillräcklig</w:t>
      </w:r>
      <w:r w:rsidRPr="00F3050F">
        <w:rPr>
          <w:bCs/>
          <w:szCs w:val="22"/>
        </w:rPr>
        <w:t xml:space="preserve"> syretillförsel.</w:t>
      </w:r>
      <w:r>
        <w:rPr>
          <w:bCs/>
          <w:szCs w:val="22"/>
        </w:rPr>
        <w:t xml:space="preserve"> </w:t>
      </w:r>
      <w:r w:rsidR="00BE59E1">
        <w:rPr>
          <w:bCs/>
          <w:szCs w:val="22"/>
        </w:rPr>
        <w:t>Det kan bero på att ett kärl blivit för trångt (en dissektion eller ateroskletrotisk förträgning) men ofta beror det på att en propp plötsligt satt sig i vägen.</w:t>
      </w:r>
      <w:r>
        <w:rPr>
          <w:bCs/>
          <w:szCs w:val="22"/>
        </w:rPr>
        <w:t xml:space="preserve"> Vid en blodpropp</w:t>
      </w:r>
      <w:r w:rsidRPr="00F3050F">
        <w:rPr>
          <w:bCs/>
          <w:szCs w:val="22"/>
        </w:rPr>
        <w:t xml:space="preserve"> där en stor del av hjärtmuskeln är påverkad leder det till död av en del av hjärtmuskeln med nedsatt pumpförmåga</w:t>
      </w:r>
      <w:r>
        <w:rPr>
          <w:bCs/>
          <w:szCs w:val="22"/>
        </w:rPr>
        <w:t xml:space="preserve"> (hjärtsvikt) som följd. Detta innebär att hjärtats pumpfunktion </w:t>
      </w:r>
      <w:r w:rsidR="00BE59E1">
        <w:rPr>
          <w:bCs/>
          <w:szCs w:val="22"/>
        </w:rPr>
        <w:t xml:space="preserve">kanske </w:t>
      </w:r>
      <w:r>
        <w:rPr>
          <w:bCs/>
          <w:szCs w:val="22"/>
        </w:rPr>
        <w:t>inte är tillräkligt stark för att</w:t>
      </w:r>
      <w:r w:rsidR="00BE59E1">
        <w:rPr>
          <w:bCs/>
          <w:szCs w:val="22"/>
        </w:rPr>
        <w:t xml:space="preserve"> personen ska orka med fysisk aktivitet</w:t>
      </w:r>
      <w:r w:rsidR="004379C1">
        <w:rPr>
          <w:bCs/>
          <w:szCs w:val="22"/>
        </w:rPr>
        <w:t xml:space="preserve"> eller ens vardagliga sysslor</w:t>
      </w:r>
      <w:r>
        <w:rPr>
          <w:bCs/>
          <w:szCs w:val="22"/>
        </w:rPr>
        <w:t xml:space="preserve">. </w:t>
      </w:r>
      <w:r>
        <w:rPr>
          <w:rStyle w:val="longtext"/>
          <w:szCs w:val="22"/>
          <w:shd w:val="clear" w:color="auto" w:fill="FFFFFF"/>
        </w:rPr>
        <w:br/>
      </w:r>
      <w:r>
        <w:rPr>
          <w:rStyle w:val="longtext"/>
          <w:szCs w:val="22"/>
          <w:shd w:val="clear" w:color="auto" w:fill="FFFFFF"/>
        </w:rPr>
        <w:br/>
      </w:r>
      <w:r>
        <w:rPr>
          <w:rStyle w:val="longtext1"/>
          <w:rFonts w:cs="Arial"/>
          <w:sz w:val="22"/>
          <w:szCs w:val="22"/>
          <w:shd w:val="clear" w:color="auto" w:fill="FFFFFF"/>
        </w:rPr>
        <w:t>Akut kranskärlsjukdom komm</w:t>
      </w:r>
      <w:r w:rsidR="00682754">
        <w:rPr>
          <w:rStyle w:val="longtext1"/>
          <w:rFonts w:cs="Arial"/>
          <w:sz w:val="22"/>
          <w:szCs w:val="22"/>
          <w:shd w:val="clear" w:color="auto" w:fill="FFFFFF"/>
        </w:rPr>
        <w:t>er</w:t>
      </w:r>
      <w:r w:rsidRPr="00BF0030">
        <w:rPr>
          <w:rStyle w:val="longtext1"/>
          <w:rFonts w:cs="Arial"/>
          <w:sz w:val="22"/>
          <w:szCs w:val="22"/>
          <w:shd w:val="clear" w:color="auto" w:fill="FFFFFF"/>
        </w:rPr>
        <w:t xml:space="preserve"> plötsligt och</w:t>
      </w:r>
      <w:r>
        <w:rPr>
          <w:rStyle w:val="longtext1"/>
          <w:rFonts w:cs="Arial"/>
          <w:sz w:val="22"/>
          <w:szCs w:val="22"/>
          <w:shd w:val="clear" w:color="auto" w:fill="FFFFFF"/>
        </w:rPr>
        <w:t xml:space="preserve"> tillstånde</w:t>
      </w:r>
      <w:r w:rsidR="00682754">
        <w:rPr>
          <w:rStyle w:val="longtext1"/>
          <w:rFonts w:cs="Arial"/>
          <w:sz w:val="22"/>
          <w:szCs w:val="22"/>
          <w:shd w:val="clear" w:color="auto" w:fill="FFFFFF"/>
        </w:rPr>
        <w:t>t</w:t>
      </w:r>
      <w:r w:rsidRPr="00BF0030">
        <w:rPr>
          <w:rStyle w:val="longtext1"/>
          <w:rFonts w:cs="Arial"/>
          <w:sz w:val="22"/>
          <w:szCs w:val="22"/>
          <w:shd w:val="clear" w:color="auto" w:fill="FFFFFF"/>
        </w:rPr>
        <w:t xml:space="preserve"> är </w:t>
      </w:r>
      <w:r w:rsidR="00682754">
        <w:rPr>
          <w:rStyle w:val="longtext1"/>
          <w:rFonts w:cs="Arial"/>
          <w:sz w:val="22"/>
          <w:szCs w:val="22"/>
          <w:shd w:val="clear" w:color="auto" w:fill="FFFFFF"/>
        </w:rPr>
        <w:t xml:space="preserve">oftast </w:t>
      </w:r>
      <w:r>
        <w:rPr>
          <w:rStyle w:val="longtext1"/>
          <w:rFonts w:cs="Arial"/>
          <w:sz w:val="22"/>
          <w:szCs w:val="22"/>
          <w:shd w:val="clear" w:color="auto" w:fill="FFFFFF"/>
        </w:rPr>
        <w:t>förknippa</w:t>
      </w:r>
      <w:r w:rsidR="00682754">
        <w:rPr>
          <w:rStyle w:val="longtext1"/>
          <w:rFonts w:cs="Arial"/>
          <w:sz w:val="22"/>
          <w:szCs w:val="22"/>
          <w:shd w:val="clear" w:color="auto" w:fill="FFFFFF"/>
        </w:rPr>
        <w:t>t</w:t>
      </w:r>
      <w:r>
        <w:rPr>
          <w:rStyle w:val="longtext1"/>
          <w:rFonts w:cs="Arial"/>
          <w:sz w:val="22"/>
          <w:szCs w:val="22"/>
          <w:shd w:val="clear" w:color="auto" w:fill="FFFFFF"/>
        </w:rPr>
        <w:t xml:space="preserve"> med bröstsmärtor</w:t>
      </w:r>
      <w:r w:rsidR="00BA0EC7">
        <w:rPr>
          <w:rStyle w:val="longtext1"/>
          <w:rFonts w:cs="Arial"/>
          <w:sz w:val="22"/>
          <w:szCs w:val="22"/>
          <w:shd w:val="clear" w:color="auto" w:fill="FFFFFF"/>
        </w:rPr>
        <w:t>,</w:t>
      </w:r>
      <w:r w:rsidRPr="00BF0030">
        <w:rPr>
          <w:rStyle w:val="longtext1"/>
          <w:rFonts w:cs="Arial"/>
          <w:sz w:val="22"/>
          <w:szCs w:val="22"/>
          <w:shd w:val="clear" w:color="auto" w:fill="FFFFFF"/>
        </w:rPr>
        <w:t xml:space="preserve"> ofta tillsammans med andnöd, illamående och kräkningar. </w:t>
      </w:r>
      <w:r w:rsidR="002C09CD">
        <w:rPr>
          <w:rStyle w:val="longtext1"/>
          <w:rFonts w:cs="Arial"/>
          <w:sz w:val="22"/>
          <w:szCs w:val="22"/>
          <w:shd w:val="clear" w:color="auto" w:fill="FFFFFF"/>
        </w:rPr>
        <w:t xml:space="preserve">Smärtan kan stråla ut i armen, nacken, ut i underkäken eller ryggen. Personen kan uppleva ångest och matthet. </w:t>
      </w:r>
      <w:r>
        <w:rPr>
          <w:rStyle w:val="longtext1"/>
          <w:rFonts w:cs="Arial"/>
          <w:sz w:val="22"/>
          <w:szCs w:val="22"/>
          <w:shd w:val="clear" w:color="auto" w:fill="FFFFFF"/>
        </w:rPr>
        <w:t xml:space="preserve">Symtomen kan variera. </w:t>
      </w:r>
    </w:p>
    <w:p w:rsidR="00950350" w:rsidRDefault="00950350" w:rsidP="00950350">
      <w:pPr>
        <w:spacing w:before="100" w:beforeAutospacing="1" w:after="100" w:afterAutospacing="1"/>
        <w:outlineLvl w:val="4"/>
      </w:pPr>
      <w:r w:rsidRPr="00FC5900">
        <w:t>Akuta kranskärlssjukdomar</w:t>
      </w:r>
      <w:r>
        <w:t xml:space="preserve"> uppdelas i följande tillstånd:</w:t>
      </w:r>
    </w:p>
    <w:p w:rsidR="00950350" w:rsidRDefault="00950350" w:rsidP="00950350">
      <w:pPr>
        <w:spacing w:before="100" w:beforeAutospacing="1" w:after="100" w:afterAutospacing="1"/>
        <w:outlineLvl w:val="4"/>
        <w:rPr>
          <w:rStyle w:val="longtext1"/>
          <w:rFonts w:cs="Arial"/>
          <w:sz w:val="22"/>
          <w:szCs w:val="22"/>
          <w:shd w:val="clear" w:color="auto" w:fill="FFFFFF"/>
        </w:rPr>
      </w:pPr>
      <w:r>
        <w:rPr>
          <w:rStyle w:val="longtext1"/>
          <w:rFonts w:cs="Arial"/>
          <w:b/>
          <w:sz w:val="22"/>
          <w:szCs w:val="22"/>
          <w:u w:val="single"/>
          <w:shd w:val="clear" w:color="auto" w:fill="FFFFFF"/>
        </w:rPr>
        <w:t>I</w:t>
      </w:r>
      <w:r w:rsidRPr="002C09CD">
        <w:rPr>
          <w:rStyle w:val="longtext1"/>
          <w:rFonts w:cs="Arial"/>
          <w:b/>
          <w:sz w:val="22"/>
          <w:szCs w:val="22"/>
          <w:u w:val="single"/>
          <w:shd w:val="clear" w:color="auto" w:fill="FFFFFF"/>
        </w:rPr>
        <w:t>nstabil angina</w:t>
      </w:r>
      <w:r>
        <w:rPr>
          <w:rStyle w:val="longtext1"/>
          <w:rFonts w:cs="Arial"/>
          <w:sz w:val="22"/>
          <w:szCs w:val="22"/>
          <w:shd w:val="clear" w:color="auto" w:fill="FFFFFF"/>
        </w:rPr>
        <w:t xml:space="preserve"> (UA) </w:t>
      </w:r>
      <w:r w:rsidRPr="002C09CD">
        <w:rPr>
          <w:rStyle w:val="longtext1"/>
          <w:rFonts w:cs="Arial"/>
          <w:sz w:val="22"/>
          <w:szCs w:val="22"/>
          <w:shd w:val="clear" w:color="auto" w:fill="FFFFFF"/>
        </w:rPr>
        <w:t xml:space="preserve">förknippas </w:t>
      </w:r>
      <w:r>
        <w:rPr>
          <w:rStyle w:val="longtext1"/>
          <w:rFonts w:cs="Arial"/>
          <w:sz w:val="22"/>
          <w:szCs w:val="22"/>
          <w:shd w:val="clear" w:color="auto" w:fill="FFFFFF"/>
        </w:rPr>
        <w:t xml:space="preserve">inte </w:t>
      </w:r>
      <w:r w:rsidRPr="002C09CD">
        <w:rPr>
          <w:rStyle w:val="longtext1"/>
          <w:rFonts w:cs="Arial"/>
          <w:sz w:val="22"/>
          <w:szCs w:val="22"/>
          <w:shd w:val="clear" w:color="auto" w:fill="FFFFFF"/>
        </w:rPr>
        <w:t>med permanent skada på hjärtmuskeln. Patienten uppvisar symtom</w:t>
      </w:r>
      <w:r>
        <w:rPr>
          <w:rStyle w:val="longtext1"/>
          <w:rFonts w:cs="Arial"/>
          <w:sz w:val="22"/>
          <w:szCs w:val="22"/>
          <w:shd w:val="clear" w:color="auto" w:fill="FFFFFF"/>
        </w:rPr>
        <w:t>,</w:t>
      </w:r>
      <w:r w:rsidRPr="002C09CD">
        <w:rPr>
          <w:rStyle w:val="longtext1"/>
          <w:rFonts w:cs="Arial"/>
          <w:sz w:val="22"/>
          <w:szCs w:val="22"/>
          <w:shd w:val="clear" w:color="auto" w:fill="FFFFFF"/>
        </w:rPr>
        <w:t xml:space="preserve"> och EKG kan visa olika tecken till sjukdom, men hjärtskademarkörer är inte förhöjda. Detta är ett lömskt tillstånd där patienten kan ha så kallade instabila plack som när som</w:t>
      </w:r>
      <w:r>
        <w:rPr>
          <w:rStyle w:val="longtext1"/>
          <w:rFonts w:cs="Arial"/>
          <w:sz w:val="22"/>
          <w:szCs w:val="22"/>
          <w:shd w:val="clear" w:color="auto" w:fill="FFFFFF"/>
        </w:rPr>
        <w:t xml:space="preserve"> helst</w:t>
      </w:r>
      <w:r w:rsidRPr="002C09CD">
        <w:rPr>
          <w:rStyle w:val="longtext1"/>
          <w:rFonts w:cs="Arial"/>
          <w:sz w:val="22"/>
          <w:szCs w:val="22"/>
          <w:shd w:val="clear" w:color="auto" w:fill="FFFFFF"/>
        </w:rPr>
        <w:t xml:space="preserve"> kan täppa till viktiga kranskärl. </w:t>
      </w:r>
      <w:r>
        <w:rPr>
          <w:rStyle w:val="longtext1"/>
          <w:rFonts w:cs="Arial"/>
          <w:sz w:val="22"/>
          <w:szCs w:val="22"/>
          <w:shd w:val="clear" w:color="auto" w:fill="FFFFFF"/>
        </w:rPr>
        <w:t xml:space="preserve">Vid instabil angina har patienten haft något av följande symptom under de föregående fyra veckorna: ökade besvär vid tidigare stabil angina, nytillkommen angina i vila eller rörelse eller allvarlig angina under de första fyra veckorna efter en akut hjärtinfarkt. </w:t>
      </w:r>
    </w:p>
    <w:p w:rsidR="00950350" w:rsidRPr="00C20465" w:rsidRDefault="00950350" w:rsidP="00950350">
      <w:pPr>
        <w:spacing w:before="100" w:beforeAutospacing="1" w:after="100" w:afterAutospacing="1"/>
        <w:outlineLvl w:val="4"/>
        <w:rPr>
          <w:rStyle w:val="longtext1"/>
          <w:rFonts w:cs="Arial"/>
          <w:sz w:val="22"/>
          <w:szCs w:val="22"/>
          <w:shd w:val="clear" w:color="auto" w:fill="FFFFFF"/>
        </w:rPr>
      </w:pPr>
      <w:r w:rsidRPr="00BC152F">
        <w:rPr>
          <w:rStyle w:val="longtext1"/>
          <w:rFonts w:cs="Arial"/>
          <w:b/>
          <w:sz w:val="22"/>
          <w:szCs w:val="22"/>
          <w:u w:val="single"/>
          <w:shd w:val="clear" w:color="auto" w:fill="FFFFFF"/>
        </w:rPr>
        <w:t>Icke ST-höjnings infarkt (NSTEMI)</w:t>
      </w:r>
      <w:r w:rsidR="00160D3D">
        <w:rPr>
          <w:rStyle w:val="longtext1"/>
          <w:rFonts w:cs="Arial"/>
          <w:sz w:val="22"/>
          <w:szCs w:val="22"/>
          <w:shd w:val="clear" w:color="auto" w:fill="FFFFFF"/>
        </w:rPr>
        <w:t xml:space="preserve"> där ST-</w:t>
      </w:r>
      <w:r w:rsidRPr="002C09CD">
        <w:rPr>
          <w:rStyle w:val="longtext1"/>
          <w:rFonts w:cs="Arial"/>
          <w:sz w:val="22"/>
          <w:szCs w:val="22"/>
          <w:shd w:val="clear" w:color="auto" w:fill="FFFFFF"/>
        </w:rPr>
        <w:t xml:space="preserve">sträckan inte är förhöjd men där EKG visar andra tecken till </w:t>
      </w:r>
      <w:r>
        <w:rPr>
          <w:rStyle w:val="longtext1"/>
          <w:rFonts w:cs="Arial"/>
          <w:sz w:val="22"/>
          <w:szCs w:val="22"/>
          <w:shd w:val="clear" w:color="auto" w:fill="FFFFFF"/>
        </w:rPr>
        <w:t>ischemi</w:t>
      </w:r>
      <w:r w:rsidRPr="002C09CD">
        <w:rPr>
          <w:rStyle w:val="longtext1"/>
          <w:rFonts w:cs="Arial"/>
          <w:sz w:val="22"/>
          <w:szCs w:val="22"/>
          <w:shd w:val="clear" w:color="auto" w:fill="FFFFFF"/>
        </w:rPr>
        <w:t xml:space="preserve"> och patienten uppvisar symptom. I jämförelse med UA har patienten vid detta tillstånd förhöjda nivåer av hjärtskademarkörer som tyder på att hjärtmuskelceller skadats. Här är kanske inte ett kranskärl helt tilltäppt men det är så pass tilltäppt att hjärtmuskelceller skadas permanent, men skadan är inte transmural</w:t>
      </w:r>
      <w:r w:rsidR="00E313BC">
        <w:rPr>
          <w:rStyle w:val="longtext1"/>
          <w:rFonts w:cs="Arial"/>
          <w:sz w:val="22"/>
          <w:szCs w:val="22"/>
          <w:shd w:val="clear" w:color="auto" w:fill="FFFFFF"/>
        </w:rPr>
        <w:t xml:space="preserve"> (</w:t>
      </w:r>
      <w:r w:rsidR="002926EE">
        <w:rPr>
          <w:rStyle w:val="longtext1"/>
          <w:rFonts w:cs="Arial"/>
          <w:sz w:val="22"/>
          <w:szCs w:val="22"/>
          <w:shd w:val="clear" w:color="auto" w:fill="FFFFFF"/>
        </w:rPr>
        <w:t xml:space="preserve">dvs inte </w:t>
      </w:r>
      <w:r w:rsidR="00E313BC">
        <w:rPr>
          <w:rStyle w:val="longtext1"/>
          <w:rFonts w:cs="Arial"/>
          <w:sz w:val="22"/>
          <w:szCs w:val="22"/>
          <w:shd w:val="clear" w:color="auto" w:fill="FFFFFF"/>
        </w:rPr>
        <w:t>går igenom hela hjärtmuskelväggen</w:t>
      </w:r>
      <w:r w:rsidR="00BE5619">
        <w:rPr>
          <w:rStyle w:val="longtext1"/>
          <w:rFonts w:cs="Arial"/>
          <w:sz w:val="22"/>
          <w:szCs w:val="22"/>
          <w:shd w:val="clear" w:color="auto" w:fill="FFFFFF"/>
        </w:rPr>
        <w:t xml:space="preserve"> inom det brabbade området</w:t>
      </w:r>
      <w:r w:rsidR="00E313BC">
        <w:rPr>
          <w:rStyle w:val="longtext1"/>
          <w:rFonts w:cs="Arial"/>
          <w:sz w:val="22"/>
          <w:szCs w:val="22"/>
          <w:shd w:val="clear" w:color="auto" w:fill="FFFFFF"/>
        </w:rPr>
        <w:t>)</w:t>
      </w:r>
      <w:r w:rsidRPr="002C09CD">
        <w:rPr>
          <w:rStyle w:val="longtext1"/>
          <w:rFonts w:cs="Arial"/>
          <w:sz w:val="22"/>
          <w:szCs w:val="22"/>
          <w:shd w:val="clear" w:color="auto" w:fill="FFFFFF"/>
        </w:rPr>
        <w:t>.</w:t>
      </w:r>
      <w:r w:rsidR="00BE5619">
        <w:rPr>
          <w:rStyle w:val="longtext1"/>
          <w:rFonts w:cs="Arial"/>
          <w:sz w:val="22"/>
          <w:szCs w:val="22"/>
          <w:shd w:val="clear" w:color="auto" w:fill="FFFFFF"/>
        </w:rPr>
        <w:t xml:space="preserve"> </w:t>
      </w:r>
      <w:r w:rsidRPr="002C09CD">
        <w:rPr>
          <w:rStyle w:val="longtext1"/>
          <w:rFonts w:cs="Arial"/>
          <w:sz w:val="22"/>
          <w:szCs w:val="22"/>
          <w:shd w:val="clear" w:color="auto" w:fill="FFFFFF"/>
        </w:rPr>
        <w:t xml:space="preserve"> </w:t>
      </w:r>
    </w:p>
    <w:p w:rsidR="0006307C" w:rsidRPr="00BD791E" w:rsidRDefault="00950350" w:rsidP="0006307C">
      <w:pPr>
        <w:pStyle w:val="Heading5"/>
        <w:rPr>
          <w:szCs w:val="28"/>
        </w:rPr>
      </w:pPr>
      <w:r>
        <w:rPr>
          <w:rStyle w:val="longtext1"/>
          <w:rFonts w:cs="Arial"/>
          <w:sz w:val="22"/>
          <w:szCs w:val="22"/>
          <w:u w:val="single"/>
          <w:shd w:val="clear" w:color="auto" w:fill="FFFFFF"/>
        </w:rPr>
        <w:t xml:space="preserve">ST-höjningsinfarkt </w:t>
      </w:r>
      <w:r w:rsidRPr="0074171A">
        <w:rPr>
          <w:rStyle w:val="longtext1"/>
          <w:rFonts w:cs="Arial"/>
          <w:sz w:val="22"/>
          <w:szCs w:val="22"/>
          <w:shd w:val="clear" w:color="auto" w:fill="FFFFFF"/>
        </w:rPr>
        <w:t xml:space="preserve">(MI), </w:t>
      </w:r>
      <w:r w:rsidR="00A678C7" w:rsidRPr="00A678C7">
        <w:rPr>
          <w:rStyle w:val="longtext1"/>
          <w:rFonts w:cs="Arial"/>
          <w:b w:val="0"/>
          <w:caps w:val="0"/>
          <w:sz w:val="22"/>
          <w:szCs w:val="22"/>
          <w:shd w:val="clear" w:color="auto" w:fill="FFFFFF"/>
        </w:rPr>
        <w:t>där ofta hjärtmuskelväggen dör inom det drabbade</w:t>
      </w:r>
      <w:r w:rsidRPr="00A678C7">
        <w:rPr>
          <w:rStyle w:val="longtext1"/>
          <w:rFonts w:cs="Arial"/>
          <w:b w:val="0"/>
          <w:sz w:val="22"/>
          <w:szCs w:val="22"/>
          <w:shd w:val="clear" w:color="auto" w:fill="FFFFFF"/>
        </w:rPr>
        <w:t xml:space="preserve">. </w:t>
      </w:r>
      <w:r w:rsidR="00A678C7" w:rsidRPr="00A678C7">
        <w:rPr>
          <w:rStyle w:val="longtext1"/>
          <w:rFonts w:cs="Arial"/>
          <w:b w:val="0"/>
          <w:caps w:val="0"/>
          <w:sz w:val="22"/>
          <w:szCs w:val="22"/>
          <w:shd w:val="clear" w:color="auto" w:fill="FFFFFF"/>
        </w:rPr>
        <w:t xml:space="preserve">En vanlig form av infarkt är </w:t>
      </w:r>
      <w:r w:rsidR="00A678C7">
        <w:rPr>
          <w:rStyle w:val="longtext1"/>
          <w:rFonts w:cs="Arial"/>
          <w:b w:val="0"/>
          <w:caps w:val="0"/>
          <w:sz w:val="22"/>
          <w:szCs w:val="22"/>
          <w:shd w:val="clear" w:color="auto" w:fill="FFFFFF"/>
        </w:rPr>
        <w:t>ST</w:t>
      </w:r>
      <w:r w:rsidR="00A678C7" w:rsidRPr="00A678C7">
        <w:rPr>
          <w:rStyle w:val="longtext1"/>
          <w:rFonts w:cs="Arial"/>
          <w:b w:val="0"/>
          <w:caps w:val="0"/>
          <w:sz w:val="22"/>
          <w:szCs w:val="22"/>
          <w:shd w:val="clear" w:color="auto" w:fill="FFFFFF"/>
        </w:rPr>
        <w:t>-höjningsinfarkt (</w:t>
      </w:r>
      <w:r w:rsidR="00A678C7">
        <w:rPr>
          <w:rStyle w:val="longtext1"/>
          <w:rFonts w:cs="Arial"/>
          <w:b w:val="0"/>
          <w:caps w:val="0"/>
          <w:sz w:val="22"/>
          <w:szCs w:val="22"/>
          <w:shd w:val="clear" w:color="auto" w:fill="FFFFFF"/>
        </w:rPr>
        <w:t>STEMI</w:t>
      </w:r>
      <w:r w:rsidR="00A678C7" w:rsidRPr="00A678C7">
        <w:rPr>
          <w:rStyle w:val="longtext1"/>
          <w:rFonts w:cs="Arial"/>
          <w:b w:val="0"/>
          <w:caps w:val="0"/>
          <w:sz w:val="22"/>
          <w:szCs w:val="22"/>
          <w:shd w:val="clear" w:color="auto" w:fill="FFFFFF"/>
        </w:rPr>
        <w:t xml:space="preserve">) där patienten vanligen har symptom i över </w:t>
      </w:r>
      <w:r w:rsidRPr="00A678C7">
        <w:rPr>
          <w:rStyle w:val="longtext1"/>
          <w:rFonts w:cs="Arial"/>
          <w:b w:val="0"/>
          <w:sz w:val="22"/>
          <w:szCs w:val="22"/>
          <w:shd w:val="clear" w:color="auto" w:fill="FFFFFF"/>
        </w:rPr>
        <w:t>15</w:t>
      </w:r>
      <w:r w:rsidR="00A678C7" w:rsidRPr="00A678C7">
        <w:rPr>
          <w:rStyle w:val="longtext1"/>
          <w:rFonts w:cs="Arial"/>
          <w:b w:val="0"/>
          <w:caps w:val="0"/>
          <w:sz w:val="22"/>
          <w:szCs w:val="22"/>
          <w:shd w:val="clear" w:color="auto" w:fill="FFFFFF"/>
        </w:rPr>
        <w:t xml:space="preserve"> minuter och den så kallade </w:t>
      </w:r>
      <w:r w:rsidR="00A678C7">
        <w:rPr>
          <w:rStyle w:val="longtext1"/>
          <w:rFonts w:cs="Arial"/>
          <w:b w:val="0"/>
          <w:caps w:val="0"/>
          <w:sz w:val="22"/>
          <w:szCs w:val="22"/>
          <w:shd w:val="clear" w:color="auto" w:fill="FFFFFF"/>
        </w:rPr>
        <w:t>ST</w:t>
      </w:r>
      <w:r w:rsidR="00160D3D">
        <w:rPr>
          <w:rStyle w:val="longtext1"/>
          <w:rFonts w:cs="Arial"/>
          <w:b w:val="0"/>
          <w:caps w:val="0"/>
          <w:sz w:val="22"/>
          <w:szCs w:val="22"/>
          <w:shd w:val="clear" w:color="auto" w:fill="FFFFFF"/>
        </w:rPr>
        <w:t>-</w:t>
      </w:r>
      <w:r w:rsidR="00A678C7" w:rsidRPr="00A678C7">
        <w:rPr>
          <w:rStyle w:val="longtext1"/>
          <w:rFonts w:cs="Arial"/>
          <w:b w:val="0"/>
          <w:caps w:val="0"/>
          <w:sz w:val="22"/>
          <w:szCs w:val="22"/>
          <w:shd w:val="clear" w:color="auto" w:fill="FFFFFF"/>
        </w:rPr>
        <w:t xml:space="preserve">sträckan på </w:t>
      </w:r>
      <w:r w:rsidR="00A678C7">
        <w:rPr>
          <w:rStyle w:val="longtext1"/>
          <w:rFonts w:cs="Arial"/>
          <w:b w:val="0"/>
          <w:caps w:val="0"/>
          <w:sz w:val="22"/>
          <w:szCs w:val="22"/>
          <w:shd w:val="clear" w:color="auto" w:fill="FFFFFF"/>
        </w:rPr>
        <w:t>EKG är förhöjt. Vid en ST-höjnings</w:t>
      </w:r>
      <w:r w:rsidR="00A678C7" w:rsidRPr="00A678C7">
        <w:rPr>
          <w:rStyle w:val="longtext1"/>
          <w:rFonts w:cs="Arial"/>
          <w:b w:val="0"/>
          <w:caps w:val="0"/>
          <w:sz w:val="22"/>
          <w:szCs w:val="22"/>
          <w:shd w:val="clear" w:color="auto" w:fill="FFFFFF"/>
        </w:rPr>
        <w:t>infarkt är ofta ett eller flera av kranskärlen tilltäppta så att delar av hjärtmuskeln blir helt utan blodförsörjning. Man brukar kalla denna typ av infarkt för transmural infarkt då hjärtmuskeln</w:t>
      </w:r>
      <w:r w:rsidRPr="00A678C7">
        <w:rPr>
          <w:rStyle w:val="longtext1"/>
          <w:rFonts w:cs="Arial"/>
          <w:b w:val="0"/>
          <w:sz w:val="22"/>
          <w:szCs w:val="22"/>
          <w:shd w:val="clear" w:color="auto" w:fill="FFFFFF"/>
        </w:rPr>
        <w:t>,</w:t>
      </w:r>
      <w:r w:rsidR="00A678C7" w:rsidRPr="00A678C7">
        <w:rPr>
          <w:rStyle w:val="longtext1"/>
          <w:rFonts w:cs="Arial"/>
          <w:b w:val="0"/>
          <w:caps w:val="0"/>
          <w:sz w:val="22"/>
          <w:szCs w:val="22"/>
          <w:shd w:val="clear" w:color="auto" w:fill="FFFFFF"/>
        </w:rPr>
        <w:t xml:space="preserve"> i ett givet segment</w:t>
      </w:r>
      <w:r w:rsidRPr="00A678C7">
        <w:rPr>
          <w:rStyle w:val="longtext1"/>
          <w:rFonts w:cs="Arial"/>
          <w:b w:val="0"/>
          <w:sz w:val="22"/>
          <w:szCs w:val="22"/>
          <w:shd w:val="clear" w:color="auto" w:fill="FFFFFF"/>
        </w:rPr>
        <w:t>,</w:t>
      </w:r>
      <w:r w:rsidR="00A678C7" w:rsidRPr="00A678C7">
        <w:rPr>
          <w:rStyle w:val="longtext1"/>
          <w:rFonts w:cs="Arial"/>
          <w:b w:val="0"/>
          <w:caps w:val="0"/>
          <w:sz w:val="22"/>
          <w:szCs w:val="22"/>
          <w:shd w:val="clear" w:color="auto" w:fill="FFFFFF"/>
        </w:rPr>
        <w:t xml:space="preserve"> blir helt utan blodförsörjning i alla dess lager. Här finns förhöjda hjärtskademarkörer.</w:t>
      </w:r>
      <w:r>
        <w:rPr>
          <w:rStyle w:val="longtext1"/>
          <w:rFonts w:cs="Arial"/>
          <w:sz w:val="22"/>
          <w:szCs w:val="22"/>
          <w:shd w:val="clear" w:color="auto" w:fill="FFFFFF"/>
        </w:rPr>
        <w:t xml:space="preserve"> </w:t>
      </w:r>
      <w:r w:rsidR="00BD791E">
        <w:rPr>
          <w:rStyle w:val="longtext1"/>
          <w:sz w:val="28"/>
          <w:szCs w:val="28"/>
        </w:rPr>
        <w:br/>
      </w:r>
      <w:r w:rsidR="00BD791E">
        <w:rPr>
          <w:rStyle w:val="longtext1"/>
          <w:sz w:val="28"/>
          <w:szCs w:val="28"/>
        </w:rPr>
        <w:br/>
      </w:r>
      <w:r w:rsidR="0006307C" w:rsidRPr="00B06FA3">
        <w:rPr>
          <w:rStyle w:val="longtext1"/>
          <w:sz w:val="28"/>
          <w:szCs w:val="28"/>
        </w:rPr>
        <w:t>Vad orsakar akut kranskärlsjukdom och Is</w:t>
      </w:r>
      <w:r w:rsidR="0006307C">
        <w:rPr>
          <w:rStyle w:val="longtext1"/>
          <w:sz w:val="28"/>
          <w:szCs w:val="28"/>
        </w:rPr>
        <w:t>c</w:t>
      </w:r>
      <w:r w:rsidR="0006307C" w:rsidRPr="00B06FA3">
        <w:rPr>
          <w:rStyle w:val="longtext1"/>
          <w:sz w:val="28"/>
          <w:szCs w:val="28"/>
        </w:rPr>
        <w:t>hemisk hjärtsjukdom</w:t>
      </w:r>
    </w:p>
    <w:p w:rsidR="0006307C" w:rsidRDefault="0006307C" w:rsidP="0006307C">
      <w:pPr>
        <w:spacing w:before="100" w:beforeAutospacing="1" w:after="100" w:afterAutospacing="1"/>
        <w:outlineLvl w:val="4"/>
        <w:rPr>
          <w:bCs/>
          <w:szCs w:val="22"/>
        </w:rPr>
      </w:pPr>
      <w:r w:rsidRPr="00BF0030">
        <w:rPr>
          <w:rStyle w:val="longtext1"/>
          <w:rFonts w:cs="Arial"/>
          <w:sz w:val="22"/>
          <w:szCs w:val="22"/>
        </w:rPr>
        <w:t>Åderförkalkning är d</w:t>
      </w:r>
      <w:r>
        <w:rPr>
          <w:rStyle w:val="longtext1"/>
          <w:rFonts w:cs="Arial"/>
          <w:sz w:val="22"/>
          <w:szCs w:val="22"/>
        </w:rPr>
        <w:t>en huvudsakliga orsaken till ischemisk hjärtsjukdom</w:t>
      </w:r>
      <w:r w:rsidRPr="00BF0030">
        <w:rPr>
          <w:rStyle w:val="longtext1"/>
          <w:rFonts w:cs="Arial"/>
          <w:sz w:val="22"/>
          <w:szCs w:val="22"/>
        </w:rPr>
        <w:t xml:space="preserve">. </w:t>
      </w:r>
      <w:r>
        <w:rPr>
          <w:bCs/>
          <w:szCs w:val="22"/>
        </w:rPr>
        <w:t>Åderförkalkning</w:t>
      </w:r>
      <w:r w:rsidRPr="00801E28">
        <w:rPr>
          <w:bCs/>
          <w:szCs w:val="22"/>
        </w:rPr>
        <w:t xml:space="preserve"> </w:t>
      </w:r>
      <w:r w:rsidR="009F28D5">
        <w:rPr>
          <w:bCs/>
          <w:szCs w:val="22"/>
        </w:rPr>
        <w:t>kallas även</w:t>
      </w:r>
      <w:r w:rsidRPr="00801E28">
        <w:rPr>
          <w:bCs/>
          <w:szCs w:val="22"/>
        </w:rPr>
        <w:t xml:space="preserve"> åderförfettning. Det är en sjuklig process som innebär att fett, kalk och bindväv lagras på insidan av blodkärlens väggar och bildar</w:t>
      </w:r>
      <w:r w:rsidR="009F28D5">
        <w:rPr>
          <w:bCs/>
          <w:szCs w:val="22"/>
        </w:rPr>
        <w:t xml:space="preserve"> aterosklerotiska plack. Placken</w:t>
      </w:r>
      <w:r w:rsidRPr="00801E28">
        <w:rPr>
          <w:bCs/>
          <w:szCs w:val="22"/>
        </w:rPr>
        <w:t xml:space="preserve"> gör att blodkärlen blir stelare och trängre, blodet får svårare att passera och blodproppar kan bildas lättare. Det sker även en inflammatorisk process i kärlen. </w:t>
      </w:r>
      <w:r>
        <w:rPr>
          <w:bCs/>
          <w:szCs w:val="22"/>
        </w:rPr>
        <w:t xml:space="preserve">Placken </w:t>
      </w:r>
      <w:r>
        <w:rPr>
          <w:rStyle w:val="longtext1"/>
          <w:rFonts w:cs="Arial"/>
          <w:sz w:val="22"/>
          <w:szCs w:val="22"/>
        </w:rPr>
        <w:t xml:space="preserve">kan </w:t>
      </w:r>
      <w:r w:rsidR="00E836E4">
        <w:rPr>
          <w:rStyle w:val="longtext1"/>
          <w:rFonts w:cs="Arial"/>
          <w:sz w:val="22"/>
          <w:szCs w:val="22"/>
        </w:rPr>
        <w:t xml:space="preserve">brista och då bildas mycket snabbt en blodpropp som minskar syretillförseln till den delen av hjärtmuskeln. Placken kan också </w:t>
      </w:r>
      <w:r>
        <w:rPr>
          <w:rStyle w:val="longtext1"/>
          <w:rFonts w:cs="Arial"/>
          <w:sz w:val="22"/>
          <w:szCs w:val="22"/>
        </w:rPr>
        <w:t>lossna och flyta iväg med blodbanan och täppa till ett kärl på ett annat ställe</w:t>
      </w:r>
      <w:r w:rsidRPr="00801E28">
        <w:rPr>
          <w:rStyle w:val="longtext1"/>
          <w:rFonts w:cs="Arial"/>
          <w:sz w:val="22"/>
          <w:szCs w:val="22"/>
        </w:rPr>
        <w:t xml:space="preserve"> </w:t>
      </w:r>
      <w:r w:rsidR="00E836E4">
        <w:rPr>
          <w:rStyle w:val="longtext1"/>
          <w:rFonts w:cs="Arial"/>
          <w:sz w:val="22"/>
          <w:szCs w:val="22"/>
        </w:rPr>
        <w:t xml:space="preserve">Dessa händelser </w:t>
      </w:r>
      <w:r>
        <w:rPr>
          <w:rStyle w:val="longtext1"/>
          <w:rFonts w:cs="Arial"/>
          <w:sz w:val="22"/>
          <w:szCs w:val="22"/>
        </w:rPr>
        <w:t>leder till en hjärt-kärlhändelse som instabil angina</w:t>
      </w:r>
      <w:r w:rsidR="009F28D5">
        <w:rPr>
          <w:rStyle w:val="longtext1"/>
          <w:rFonts w:cs="Arial"/>
          <w:sz w:val="22"/>
          <w:szCs w:val="22"/>
        </w:rPr>
        <w:t>, NSTEMI</w:t>
      </w:r>
      <w:r>
        <w:rPr>
          <w:rStyle w:val="longtext1"/>
          <w:rFonts w:cs="Arial"/>
          <w:sz w:val="22"/>
          <w:szCs w:val="22"/>
        </w:rPr>
        <w:t xml:space="preserve"> eller hjärtinfarkt. </w:t>
      </w:r>
    </w:p>
    <w:p w:rsidR="0006307C" w:rsidRDefault="0006307C" w:rsidP="0006307C">
      <w:pPr>
        <w:spacing w:before="100" w:beforeAutospacing="1" w:after="100" w:afterAutospacing="1"/>
        <w:outlineLvl w:val="4"/>
        <w:rPr>
          <w:bCs/>
          <w:szCs w:val="22"/>
        </w:rPr>
      </w:pPr>
      <w:r w:rsidRPr="00B127AD">
        <w:rPr>
          <w:bCs/>
          <w:szCs w:val="22"/>
        </w:rPr>
        <w:t xml:space="preserve">Idag är ateroskleros den viktigaste bakomliggande orsaken till </w:t>
      </w:r>
      <w:r w:rsidR="009070B4">
        <w:rPr>
          <w:bCs/>
          <w:szCs w:val="22"/>
        </w:rPr>
        <w:t>hjärt/kärl</w:t>
      </w:r>
      <w:r w:rsidRPr="00B127AD">
        <w:rPr>
          <w:bCs/>
          <w:szCs w:val="22"/>
        </w:rPr>
        <w:t>sjukdomar, som orsakar över 50 % av alla dödsfall i västvärlden.</w:t>
      </w:r>
      <w:r>
        <w:rPr>
          <w:rStyle w:val="EndnoteReference"/>
          <w:bCs/>
          <w:szCs w:val="22"/>
        </w:rPr>
        <w:endnoteReference w:id="1"/>
      </w:r>
    </w:p>
    <w:p w:rsidR="0006307C" w:rsidRPr="00B06FA3" w:rsidRDefault="005D2C77" w:rsidP="0006307C">
      <w:pPr>
        <w:pStyle w:val="Heading5"/>
        <w:rPr>
          <w:szCs w:val="28"/>
        </w:rPr>
      </w:pPr>
      <w:bookmarkStart w:id="0" w:name="_Toc254013849"/>
      <w:r>
        <w:rPr>
          <w:szCs w:val="28"/>
        </w:rPr>
        <w:br/>
      </w:r>
      <w:r w:rsidR="0006307C" w:rsidRPr="00B06FA3">
        <w:rPr>
          <w:szCs w:val="28"/>
        </w:rPr>
        <w:t xml:space="preserve">Riskfaktorer för </w:t>
      </w:r>
      <w:bookmarkEnd w:id="0"/>
      <w:r w:rsidR="0006307C" w:rsidRPr="00B06FA3">
        <w:rPr>
          <w:szCs w:val="28"/>
        </w:rPr>
        <w:t>akut kranskärlsjukdom</w:t>
      </w:r>
    </w:p>
    <w:p w:rsidR="0006307C" w:rsidRPr="00A014FB" w:rsidRDefault="0006307C" w:rsidP="0006307C">
      <w:pPr>
        <w:pStyle w:val="Head2"/>
        <w:tabs>
          <w:tab w:val="left" w:pos="426"/>
          <w:tab w:val="left" w:pos="720"/>
        </w:tabs>
        <w:spacing w:before="0"/>
        <w:rPr>
          <w:rStyle w:val="longtext1"/>
          <w:rFonts w:ascii="Calibri" w:hAnsi="Calibri"/>
          <w:sz w:val="22"/>
          <w:szCs w:val="22"/>
        </w:rPr>
      </w:pPr>
      <w:r w:rsidRPr="004246CD">
        <w:rPr>
          <w:rFonts w:ascii="Calibri" w:hAnsi="Calibri"/>
          <w:b w:val="0"/>
          <w:szCs w:val="22"/>
        </w:rPr>
        <w:t xml:space="preserve">Förekomsten av </w:t>
      </w:r>
      <w:r>
        <w:rPr>
          <w:rFonts w:ascii="Calibri" w:hAnsi="Calibri"/>
          <w:b w:val="0"/>
          <w:szCs w:val="22"/>
        </w:rPr>
        <w:t>akut kranskärlsjukdom</w:t>
      </w:r>
      <w:r w:rsidRPr="004246CD">
        <w:rPr>
          <w:rFonts w:ascii="Calibri" w:hAnsi="Calibri"/>
          <w:b w:val="0"/>
          <w:szCs w:val="22"/>
        </w:rPr>
        <w:t xml:space="preserve"> varierar utifrån kön, ålder, etniskt ursprung och geografisk hemvist. Som för alla former av </w:t>
      </w:r>
      <w:r w:rsidR="009070B4">
        <w:rPr>
          <w:rFonts w:ascii="Calibri" w:hAnsi="Calibri"/>
          <w:b w:val="0"/>
          <w:szCs w:val="22"/>
        </w:rPr>
        <w:t>hjärt/kärl</w:t>
      </w:r>
      <w:r w:rsidRPr="004246CD">
        <w:rPr>
          <w:rFonts w:ascii="Calibri" w:hAnsi="Calibri"/>
          <w:b w:val="0"/>
          <w:szCs w:val="22"/>
        </w:rPr>
        <w:t>sjukdomar är de huvudsakliga riskfaktorerna följande; högt blodtryck, höga blodfetter, rökning, ohälsosam kost, fysisk inaktivitet, övervikt, diabetes, samt ökande ålder och genetisk predisposition.</w:t>
      </w:r>
      <w:r>
        <w:rPr>
          <w:rStyle w:val="EndnoteReference"/>
          <w:rFonts w:ascii="Calibri" w:hAnsi="Calibri"/>
          <w:b w:val="0"/>
          <w:szCs w:val="22"/>
        </w:rPr>
        <w:endnoteReference w:id="2"/>
      </w:r>
      <w:r w:rsidRPr="004246CD">
        <w:rPr>
          <w:rFonts w:ascii="Calibri" w:hAnsi="Calibri"/>
          <w:b w:val="0"/>
          <w:szCs w:val="22"/>
          <w:vertAlign w:val="superscript"/>
        </w:rPr>
        <w:t xml:space="preserve"> </w:t>
      </w:r>
      <w:r w:rsidRPr="004246CD">
        <w:rPr>
          <w:rFonts w:ascii="Calibri" w:hAnsi="Calibri"/>
          <w:b w:val="0"/>
          <w:szCs w:val="22"/>
        </w:rPr>
        <w:t>Livsstilsförändringar (t ex. rökstopp, motion mm) är en del av den långsiktiga b</w:t>
      </w:r>
      <w:r>
        <w:rPr>
          <w:rFonts w:ascii="Calibri" w:hAnsi="Calibri"/>
          <w:b w:val="0"/>
          <w:szCs w:val="22"/>
        </w:rPr>
        <w:t>ehandlingen av patienter med akut kranskärlsjukdom</w:t>
      </w:r>
      <w:r w:rsidRPr="004246CD">
        <w:rPr>
          <w:rFonts w:ascii="Calibri" w:hAnsi="Calibri"/>
          <w:b w:val="0"/>
          <w:szCs w:val="22"/>
        </w:rPr>
        <w:t>.</w:t>
      </w:r>
      <w:r>
        <w:rPr>
          <w:rStyle w:val="EndnoteReference"/>
          <w:rFonts w:ascii="Calibri" w:hAnsi="Calibri"/>
          <w:szCs w:val="22"/>
        </w:rPr>
        <w:endnoteReference w:id="3"/>
      </w:r>
      <w:r w:rsidRPr="00420F86">
        <w:rPr>
          <w:rFonts w:ascii="Calibri" w:hAnsi="Calibri"/>
          <w:szCs w:val="22"/>
        </w:rPr>
        <w:t xml:space="preserve"> </w:t>
      </w:r>
      <w:r>
        <w:rPr>
          <w:rFonts w:ascii="Calibri" w:hAnsi="Calibri"/>
          <w:szCs w:val="22"/>
        </w:rPr>
        <w:br/>
      </w:r>
    </w:p>
    <w:p w:rsidR="0006307C" w:rsidRPr="00B06FA3" w:rsidRDefault="00C9368D" w:rsidP="0006307C">
      <w:pPr>
        <w:pStyle w:val="Heading5"/>
        <w:rPr>
          <w:szCs w:val="22"/>
        </w:rPr>
      </w:pPr>
      <w:r>
        <w:rPr>
          <w:szCs w:val="28"/>
        </w:rPr>
        <w:t>Tredje vanligaste dödsorsaken</w:t>
      </w:r>
      <w:r w:rsidR="00F34D09">
        <w:rPr>
          <w:szCs w:val="28"/>
        </w:rPr>
        <w:t xml:space="preserve"> i Sverige</w:t>
      </w:r>
    </w:p>
    <w:p w:rsidR="0006307C" w:rsidRDefault="0006307C" w:rsidP="0006307C">
      <w:pPr>
        <w:rPr>
          <w:bCs/>
          <w:szCs w:val="22"/>
        </w:rPr>
      </w:pPr>
      <w:r w:rsidRPr="00FC5900">
        <w:rPr>
          <w:szCs w:val="24"/>
        </w:rPr>
        <w:t xml:space="preserve">Enligt uppskattningar drabbas mer än 1,8 miljoner människor i EU av hjärtinfarkt varje år och i Sverige ca 39 000 personer. </w:t>
      </w:r>
      <w:r w:rsidR="00C9368D">
        <w:rPr>
          <w:szCs w:val="24"/>
        </w:rPr>
        <w:t xml:space="preserve">Under 1998 beräknades 800 </w:t>
      </w:r>
      <w:r w:rsidRPr="00FC5900">
        <w:rPr>
          <w:szCs w:val="24"/>
        </w:rPr>
        <w:t xml:space="preserve">000 dödsfall i Europa ha orsakats av ischemisk hjärtsjukdom. </w:t>
      </w:r>
      <w:r w:rsidRPr="00FC5900">
        <w:rPr>
          <w:bCs/>
          <w:szCs w:val="22"/>
        </w:rPr>
        <w:t>Ischemisk hjärtsjukdom är den tredje vanligaste dödsorsaken i Sverige. Sjukdomstillstånden dödar över 17 000 personer i Sverige varje år.</w:t>
      </w:r>
    </w:p>
    <w:p w:rsidR="00C9368D" w:rsidRPr="00FC5900" w:rsidRDefault="00C9368D" w:rsidP="0006307C">
      <w:pPr>
        <w:rPr>
          <w:bCs/>
          <w:szCs w:val="22"/>
        </w:rPr>
      </w:pPr>
    </w:p>
    <w:p w:rsidR="00805D58" w:rsidRDefault="0006307C" w:rsidP="0006307C">
      <w:pPr>
        <w:rPr>
          <w:szCs w:val="24"/>
        </w:rPr>
      </w:pPr>
      <w:r w:rsidRPr="00FC5900">
        <w:rPr>
          <w:bCs/>
          <w:szCs w:val="22"/>
        </w:rPr>
        <w:t xml:space="preserve">Ser man till de industrialiserade länderna globalt sett är </w:t>
      </w:r>
      <w:r w:rsidR="009070B4">
        <w:rPr>
          <w:bCs/>
          <w:szCs w:val="22"/>
        </w:rPr>
        <w:t>hjärt/kärl</w:t>
      </w:r>
      <w:r w:rsidRPr="00FC5900">
        <w:rPr>
          <w:bCs/>
          <w:szCs w:val="22"/>
        </w:rPr>
        <w:t xml:space="preserve">sjukdomar </w:t>
      </w:r>
      <w:r w:rsidRPr="00FC5900">
        <w:rPr>
          <w:rFonts w:cs="Arial"/>
          <w:szCs w:val="22"/>
        </w:rPr>
        <w:t>idag den ledande dödsorsaken</w:t>
      </w:r>
      <w:r w:rsidR="00F34D09">
        <w:rPr>
          <w:rStyle w:val="EndnoteReference"/>
          <w:szCs w:val="22"/>
        </w:rPr>
        <w:endnoteReference w:id="4"/>
      </w:r>
      <w:r w:rsidR="00C9368D">
        <w:rPr>
          <w:bCs/>
          <w:szCs w:val="22"/>
        </w:rPr>
        <w:t xml:space="preserve">. </w:t>
      </w:r>
      <w:r w:rsidRPr="00FC5900">
        <w:rPr>
          <w:rStyle w:val="cwlinkalt2"/>
          <w:szCs w:val="24"/>
        </w:rPr>
        <w:t>Angina pectoris</w:t>
      </w:r>
      <w:r w:rsidR="00AA0918">
        <w:rPr>
          <w:rStyle w:val="cwlinkalt2"/>
          <w:szCs w:val="24"/>
        </w:rPr>
        <w:t xml:space="preserve"> (stabil åderförkalkning i hjärtats kärl)</w:t>
      </w:r>
      <w:r w:rsidRPr="00FC5900">
        <w:rPr>
          <w:szCs w:val="24"/>
        </w:rPr>
        <w:t xml:space="preserve"> och infarkt är ovanliga hos personer som är yngre än 45 år, utom i fall med stark ärftlighet. Varje år får omkring åtta procent av män</w:t>
      </w:r>
      <w:r w:rsidR="00FA0D5A">
        <w:rPr>
          <w:szCs w:val="24"/>
        </w:rPr>
        <w:t>nen</w:t>
      </w:r>
      <w:r w:rsidRPr="00FC5900">
        <w:rPr>
          <w:szCs w:val="24"/>
        </w:rPr>
        <w:t xml:space="preserve"> och sju procent av kvinnor</w:t>
      </w:r>
      <w:r w:rsidR="00FA0D5A">
        <w:rPr>
          <w:szCs w:val="24"/>
        </w:rPr>
        <w:t>na</w:t>
      </w:r>
      <w:r w:rsidRPr="00FC5900">
        <w:rPr>
          <w:szCs w:val="24"/>
        </w:rPr>
        <w:t xml:space="preserve"> i åldersgruppen 65-74 år </w:t>
      </w:r>
      <w:r w:rsidR="00C9368D">
        <w:rPr>
          <w:szCs w:val="24"/>
        </w:rPr>
        <w:t xml:space="preserve">stabil </w:t>
      </w:r>
      <w:r w:rsidRPr="00FC5900">
        <w:rPr>
          <w:rStyle w:val="cwlinkalt2"/>
          <w:szCs w:val="24"/>
        </w:rPr>
        <w:t>angina pectoris</w:t>
      </w:r>
      <w:r w:rsidRPr="00FC5900">
        <w:rPr>
          <w:szCs w:val="24"/>
        </w:rPr>
        <w:t>. Motsvarande siffror för de som är äldre än 75 år är 11 respektive 10 procent. Upp till hälften av de som får hjärtinfarkt dör inom 20 dagar. Tre av tio drabbade avlider innan de hinner fram till sjukhuset</w:t>
      </w:r>
      <w:r w:rsidR="00C9368D">
        <w:rPr>
          <w:szCs w:val="24"/>
        </w:rPr>
        <w:t>.</w:t>
      </w:r>
      <w:r w:rsidR="00FA0D5A">
        <w:rPr>
          <w:rStyle w:val="EndnoteReference"/>
          <w:szCs w:val="24"/>
        </w:rPr>
        <w:endnoteReference w:id="5"/>
      </w:r>
    </w:p>
    <w:p w:rsidR="00DE5E62" w:rsidRDefault="00DE5E62" w:rsidP="0006307C">
      <w:pPr>
        <w:rPr>
          <w:szCs w:val="24"/>
        </w:rPr>
      </w:pPr>
    </w:p>
    <w:p w:rsidR="00DE5E62" w:rsidRDefault="00DE5E62" w:rsidP="0006307C">
      <w:pPr>
        <w:rPr>
          <w:szCs w:val="24"/>
        </w:rPr>
      </w:pPr>
      <w:r>
        <w:rPr>
          <w:szCs w:val="24"/>
        </w:rPr>
        <w:t>Dödligheten vid sjukhusvårdad akut hjärtinfarkt har min</w:t>
      </w:r>
      <w:r w:rsidR="00AA0918">
        <w:rPr>
          <w:szCs w:val="24"/>
        </w:rPr>
        <w:t>skat de senaste åren. 30-dagars</w:t>
      </w:r>
      <w:r>
        <w:rPr>
          <w:szCs w:val="24"/>
        </w:rPr>
        <w:t>dödligheten är idag cirka 10</w:t>
      </w:r>
      <w:r w:rsidR="00775009">
        <w:rPr>
          <w:szCs w:val="24"/>
        </w:rPr>
        <w:t xml:space="preserve"> </w:t>
      </w:r>
      <w:r>
        <w:rPr>
          <w:szCs w:val="24"/>
        </w:rPr>
        <w:t>%, men varierar med ålder (bättre prognos för yngre, sä</w:t>
      </w:r>
      <w:r w:rsidR="009070B4">
        <w:rPr>
          <w:szCs w:val="24"/>
        </w:rPr>
        <w:t>m</w:t>
      </w:r>
      <w:r>
        <w:rPr>
          <w:szCs w:val="24"/>
        </w:rPr>
        <w:t>re för äldre).</w:t>
      </w:r>
      <w:r>
        <w:rPr>
          <w:rStyle w:val="EndnoteReference"/>
          <w:szCs w:val="24"/>
        </w:rPr>
        <w:endnoteReference w:id="6"/>
      </w:r>
    </w:p>
    <w:p w:rsidR="00805D58" w:rsidRDefault="00805D58" w:rsidP="0006307C">
      <w:pPr>
        <w:rPr>
          <w:szCs w:val="24"/>
        </w:rPr>
      </w:pPr>
    </w:p>
    <w:p w:rsidR="0006307C" w:rsidRDefault="0006307C" w:rsidP="00805D58">
      <w:pPr>
        <w:rPr>
          <w:szCs w:val="22"/>
        </w:rPr>
      </w:pPr>
      <w:r>
        <w:rPr>
          <w:szCs w:val="22"/>
        </w:rPr>
        <w:t xml:space="preserve">Utmaningen är </w:t>
      </w:r>
      <w:r w:rsidR="00322C1F">
        <w:rPr>
          <w:szCs w:val="22"/>
        </w:rPr>
        <w:t xml:space="preserve">till stor </w:t>
      </w:r>
      <w:r w:rsidR="00322C1F" w:rsidRPr="00EB3012">
        <w:rPr>
          <w:szCs w:val="22"/>
        </w:rPr>
        <w:t>del</w:t>
      </w:r>
      <w:r w:rsidRPr="00EB3012">
        <w:rPr>
          <w:szCs w:val="22"/>
        </w:rPr>
        <w:t xml:space="preserve"> att förhindra dödsfall vid en påföljande händelse bland de patienter som</w:t>
      </w:r>
      <w:r w:rsidR="00805D58" w:rsidRPr="00EB3012">
        <w:rPr>
          <w:szCs w:val="22"/>
        </w:rPr>
        <w:t xml:space="preserve"> redan</w:t>
      </w:r>
      <w:r w:rsidRPr="00EB3012">
        <w:rPr>
          <w:szCs w:val="22"/>
        </w:rPr>
        <w:t xml:space="preserve"> haft en UA eller MI. </w:t>
      </w:r>
      <w:r w:rsidR="00775009" w:rsidRPr="00EB3012">
        <w:rPr>
          <w:szCs w:val="22"/>
        </w:rPr>
        <w:t>Utmaningen är även att förhindra dödsfall vid en första händelse samt minimera skadorna vid denna. Det behövs bättre, effektivare och säkrare behandlings alternativ.</w:t>
      </w:r>
      <w:r w:rsidR="00775009">
        <w:rPr>
          <w:szCs w:val="22"/>
        </w:rPr>
        <w:t xml:space="preserve"> </w:t>
      </w:r>
    </w:p>
    <w:p w:rsidR="00322C1F" w:rsidRDefault="00322C1F" w:rsidP="00805D58">
      <w:pPr>
        <w:rPr>
          <w:szCs w:val="22"/>
        </w:rPr>
      </w:pPr>
    </w:p>
    <w:p w:rsidR="00322C1F" w:rsidRDefault="00322C1F" w:rsidP="00805D58">
      <w:pPr>
        <w:rPr>
          <w:szCs w:val="22"/>
        </w:rPr>
      </w:pPr>
    </w:p>
    <w:p w:rsidR="00322C1F" w:rsidRDefault="00322C1F" w:rsidP="00805D58">
      <w:pPr>
        <w:rPr>
          <w:szCs w:val="22"/>
        </w:rPr>
      </w:pPr>
    </w:p>
    <w:p w:rsidR="008D4B94" w:rsidRDefault="000D7254" w:rsidP="00805D58">
      <w:pPr>
        <w:rPr>
          <w:szCs w:val="22"/>
        </w:rPr>
      </w:pPr>
      <w:r w:rsidRPr="000D7254">
        <w:rPr>
          <w:b/>
          <w:noProof/>
          <w:szCs w:val="22"/>
        </w:rPr>
        <w:lastRenderedPageBreak/>
        <w:drawing>
          <wp:inline distT="0" distB="0" distL="0" distR="0">
            <wp:extent cx="5344998" cy="3073139"/>
            <wp:effectExtent l="0" t="0" r="0" b="0"/>
            <wp:docPr id="6" name="Objek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48350" cy="4457700"/>
                      <a:chOff x="1766887" y="1481138"/>
                      <a:chExt cx="5848350" cy="4457700"/>
                    </a:xfrm>
                  </a:grpSpPr>
                  <a:sp>
                    <a:nvSpPr>
                      <a:cNvPr id="3082" name="AutoShape 31"/>
                      <a:cNvSpPr>
                        <a:spLocks noChangeArrowheads="1"/>
                      </a:cNvSpPr>
                    </a:nvSpPr>
                    <a:spPr bwMode="gray">
                      <a:xfrm>
                        <a:off x="1766887" y="1481138"/>
                        <a:ext cx="5848350" cy="642937"/>
                      </a:xfrm>
                      <a:prstGeom prst="rect">
                        <a:avLst/>
                      </a:prstGeom>
                      <a:solidFill>
                        <a:schemeClr val="folHlink"/>
                      </a:solidFill>
                      <a:ln w="9525">
                        <a:noFill/>
                        <a:miter lim="800000"/>
                        <a:headEnd/>
                        <a:tailEnd/>
                      </a:ln>
                    </a:spPr>
                    <a:txSp>
                      <a:txBody>
                        <a:bodyPr lIns="72009" tIns="72009" rIns="72009" bIns="72009"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r>
                            <a:rPr lang="en-US" sz="1400" baseline="0" dirty="0" err="1" smtClean="0">
                              <a:solidFill>
                                <a:schemeClr val="bg1"/>
                              </a:solidFill>
                            </a:rPr>
                            <a:t>Figur</a:t>
                          </a:r>
                          <a:r>
                            <a:rPr lang="en-US" sz="1400" baseline="0" dirty="0" smtClean="0">
                              <a:solidFill>
                                <a:schemeClr val="bg1"/>
                              </a:solidFill>
                            </a:rPr>
                            <a:t> 1: </a:t>
                          </a:r>
                          <a:br>
                            <a:rPr lang="en-US" sz="1400" baseline="0" dirty="0" smtClean="0">
                              <a:solidFill>
                                <a:schemeClr val="bg1"/>
                              </a:solidFill>
                            </a:rPr>
                          </a:br>
                          <a:r>
                            <a:rPr lang="en-US" sz="1400" baseline="0" dirty="0" err="1" smtClean="0">
                              <a:solidFill>
                                <a:schemeClr val="bg1"/>
                              </a:solidFill>
                            </a:rPr>
                            <a:t>Ischemisk</a:t>
                          </a:r>
                          <a:r>
                            <a:rPr lang="en-US" sz="1400" baseline="0" dirty="0" smtClean="0">
                              <a:solidFill>
                                <a:schemeClr val="bg1"/>
                              </a:solidFill>
                            </a:rPr>
                            <a:t> </a:t>
                          </a:r>
                          <a:r>
                            <a:rPr lang="en-US" sz="1400" baseline="0" dirty="0" err="1" smtClean="0">
                              <a:solidFill>
                                <a:schemeClr val="bg1"/>
                              </a:solidFill>
                            </a:rPr>
                            <a:t>hjärtsjukdom</a:t>
                          </a:r>
                          <a:r>
                            <a:rPr lang="en-US" sz="1400" baseline="0" dirty="0" smtClean="0">
                              <a:solidFill>
                                <a:schemeClr val="bg1"/>
                              </a:solidFill>
                            </a:rPr>
                            <a:t> </a:t>
                          </a:r>
                          <a:r>
                            <a:rPr lang="en-US" sz="1400" baseline="0" dirty="0" err="1" smtClean="0">
                              <a:solidFill>
                                <a:schemeClr val="bg1"/>
                              </a:solidFill>
                            </a:rPr>
                            <a:t>är</a:t>
                          </a:r>
                          <a:r>
                            <a:rPr lang="en-US" sz="1400" baseline="0" dirty="0" smtClean="0">
                              <a:solidFill>
                                <a:schemeClr val="bg1"/>
                              </a:solidFill>
                            </a:rPr>
                            <a:t>  </a:t>
                          </a:r>
                          <a:r>
                            <a:rPr lang="en-US" sz="1400" baseline="0" dirty="0" err="1" smtClean="0">
                              <a:solidFill>
                                <a:schemeClr val="bg1"/>
                              </a:solidFill>
                            </a:rPr>
                            <a:t>tredje</a:t>
                          </a:r>
                          <a:r>
                            <a:rPr lang="en-US" sz="1400" baseline="0" dirty="0" smtClean="0">
                              <a:solidFill>
                                <a:schemeClr val="bg1"/>
                              </a:solidFill>
                            </a:rPr>
                            <a:t> </a:t>
                          </a:r>
                          <a:r>
                            <a:rPr lang="en-US" sz="1400" baseline="0" dirty="0" err="1" smtClean="0">
                              <a:solidFill>
                                <a:schemeClr val="bg1"/>
                              </a:solidFill>
                            </a:rPr>
                            <a:t>största</a:t>
                          </a:r>
                          <a:r>
                            <a:rPr lang="en-US" sz="1400" baseline="0" dirty="0" smtClean="0">
                              <a:solidFill>
                                <a:schemeClr val="bg1"/>
                              </a:solidFill>
                            </a:rPr>
                            <a:t> </a:t>
                          </a:r>
                          <a:r>
                            <a:rPr lang="en-US" sz="1400" baseline="0" dirty="0" err="1" smtClean="0">
                              <a:solidFill>
                                <a:schemeClr val="bg1"/>
                              </a:solidFill>
                            </a:rPr>
                            <a:t>dödsorsaken</a:t>
                          </a:r>
                          <a:r>
                            <a:rPr lang="en-US" sz="1400" baseline="0" dirty="0" smtClean="0">
                              <a:solidFill>
                                <a:schemeClr val="bg1"/>
                              </a:solidFill>
                            </a:rPr>
                            <a:t> </a:t>
                          </a:r>
                          <a:r>
                            <a:rPr lang="en-US" sz="1400" baseline="0" dirty="0" err="1" smtClean="0">
                              <a:solidFill>
                                <a:schemeClr val="bg1"/>
                              </a:solidFill>
                            </a:rPr>
                            <a:t>i</a:t>
                          </a:r>
                          <a:r>
                            <a:rPr lang="en-US" sz="1400" baseline="0" dirty="0" smtClean="0">
                              <a:solidFill>
                                <a:schemeClr val="bg1"/>
                              </a:solidFill>
                            </a:rPr>
                            <a:t> </a:t>
                          </a:r>
                          <a:r>
                            <a:rPr lang="en-US" sz="1400" baseline="0" dirty="0" err="1">
                              <a:solidFill>
                                <a:schemeClr val="bg1"/>
                              </a:solidFill>
                            </a:rPr>
                            <a:t>S</a:t>
                          </a:r>
                          <a:r>
                            <a:rPr lang="en-US" sz="1400" baseline="0" dirty="0" err="1" smtClean="0">
                              <a:solidFill>
                                <a:schemeClr val="bg1"/>
                              </a:solidFill>
                            </a:rPr>
                            <a:t>verige</a:t>
                          </a:r>
                          <a:endParaRPr lang="en-US" sz="1400" baseline="0" dirty="0">
                            <a:solidFill>
                              <a:schemeClr val="bg1"/>
                            </a:solidFill>
                          </a:endParaRPr>
                        </a:p>
                      </a:txBody>
                      <a:useSpRect/>
                    </a:txSp>
                  </a:sp>
                  <a:sp>
                    <a:nvSpPr>
                      <a:cNvPr id="3083" name="Line 38"/>
                      <a:cNvSpPr>
                        <a:spLocks noChangeShapeType="1"/>
                      </a:cNvSpPr>
                    </a:nvSpPr>
                    <a:spPr bwMode="gray">
                      <a:xfrm>
                        <a:off x="4737100" y="3035300"/>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sp>
                    <a:nvSpPr>
                      <a:cNvPr id="3084" name="Line 35"/>
                      <a:cNvSpPr>
                        <a:spLocks noChangeShapeType="1"/>
                      </a:cNvSpPr>
                    </a:nvSpPr>
                    <a:spPr bwMode="gray">
                      <a:xfrm>
                        <a:off x="6146800" y="3949700"/>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sp>
                    <a:nvSpPr>
                      <a:cNvPr id="3085" name="Line 37"/>
                      <a:cNvSpPr>
                        <a:spLocks noChangeShapeType="1"/>
                      </a:cNvSpPr>
                    </a:nvSpPr>
                    <a:spPr bwMode="gray">
                      <a:xfrm>
                        <a:off x="7299325" y="5311775"/>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sp>
                    <a:nvSpPr>
                      <a:cNvPr id="3086" name="Line 33"/>
                      <a:cNvSpPr>
                        <a:spLocks noChangeShapeType="1"/>
                      </a:cNvSpPr>
                    </a:nvSpPr>
                    <a:spPr bwMode="gray">
                      <a:xfrm>
                        <a:off x="6537325" y="4854575"/>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sp>
                    <a:nvSpPr>
                      <a:cNvPr id="3087" name="Line 34"/>
                      <a:cNvSpPr>
                        <a:spLocks noChangeShapeType="1"/>
                      </a:cNvSpPr>
                    </a:nvSpPr>
                    <a:spPr bwMode="gray">
                      <a:xfrm>
                        <a:off x="6356350" y="4397375"/>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sp>
                    <a:nvSpPr>
                      <a:cNvPr id="3088" name="Line 36"/>
                      <a:cNvSpPr>
                        <a:spLocks noChangeShapeType="1"/>
                      </a:cNvSpPr>
                    </a:nvSpPr>
                    <a:spPr bwMode="gray">
                      <a:xfrm>
                        <a:off x="5518150" y="3492500"/>
                        <a:ext cx="0" cy="123825"/>
                      </a:xfrm>
                      <a:prstGeom prst="line">
                        <a:avLst/>
                      </a:prstGeom>
                      <a:noFill/>
                      <a:ln w="3175">
                        <a:solidFill>
                          <a:schemeClr val="tx1"/>
                        </a:solidFill>
                        <a:prstDash val="lgDash"/>
                        <a:round/>
                        <a:headEnd/>
                        <a:tailEnd/>
                      </a:ln>
                    </a:spPr>
                    <a:txSp>
                      <a:txBody>
                        <a:bodyPr wrap="none"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endParaRPr lang="sv-SE"/>
                        </a:p>
                      </a:txBody>
                      <a:useSpRect/>
                    </a:txSp>
                  </a:sp>
                  <a:pic>
                    <a:nvPicPr>
                      <a:cNvPr id="0" name="Object 39"/>
                      <a:cNvPicPr>
                        <a:picLocks noChangeArrowheads="1"/>
                      </a:cNvPicPr>
                    </a:nvPicPr>
                    <a:blipFill>
                      <a:blip r:embed="rId10"/>
                      <a:srcRect/>
                      <a:stretch>
                        <a:fillRect/>
                      </a:stretch>
                    </a:blipFill>
                    <a:spPr bwMode="gray">
                      <a:xfrm>
                        <a:off x="3803650" y="2549525"/>
                        <a:ext cx="3598863" cy="3389313"/>
                      </a:xfrm>
                      <a:prstGeom prst="rect">
                        <a:avLst/>
                      </a:prstGeom>
                      <a:noFill/>
                      <a:ln w="9525">
                        <a:noFill/>
                        <a:miter lim="800000"/>
                        <a:headEnd/>
                        <a:tailEnd/>
                      </a:ln>
                      <a:effectLst/>
                    </a:spPr>
                  </a:pic>
                  <a:sp>
                    <a:nvSpPr>
                      <a:cNvPr id="3089" name="Rectangle 45"/>
                      <a:cNvSpPr>
                        <a:spLocks noChangeArrowheads="1"/>
                      </a:cNvSpPr>
                    </a:nvSpPr>
                    <a:spPr bwMode="gray">
                      <a:xfrm>
                        <a:off x="1804988" y="5480050"/>
                        <a:ext cx="957262" cy="244475"/>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0E6306E0-2C02-434C-82C8-A5D4D69A4572}" type="datetime'''''''''''''''''''''''T''''''o''''''''''''''''''t''a''l'''''''">
                            <a:rPr lang="en-US" sz="1400" b="0" baseline="0" smtClean="0">
                              <a:solidFill>
                                <a:srgbClr val="808080"/>
                              </a:solidFill>
                            </a:rPr>
                            <a:pPr defTabSz="895350">
                              <a:buClr>
                                <a:schemeClr val="tx2"/>
                              </a:buClr>
                            </a:pPr>
                            <a:t>Total</a:t>
                          </a:fld>
                          <a:r>
                            <a:rPr lang="en-US" sz="1400" b="0" baseline="0" dirty="0" smtClean="0">
                              <a:solidFill>
                                <a:srgbClr val="808080"/>
                              </a:solidFill>
                            </a:rPr>
                            <a:t>t</a:t>
                          </a:r>
                          <a:endParaRPr lang="en-US" sz="1400" b="0" baseline="0" dirty="0">
                            <a:solidFill>
                              <a:srgbClr val="808080"/>
                            </a:solidFill>
                          </a:endParaRPr>
                        </a:p>
                      </a:txBody>
                      <a:useSpRect/>
                    </a:txSp>
                  </a:sp>
                  <a:sp>
                    <a:nvSpPr>
                      <a:cNvPr id="3090" name="Rectangle 44"/>
                      <a:cNvSpPr>
                        <a:spLocks noChangeArrowheads="1"/>
                      </a:cNvSpPr>
                    </a:nvSpPr>
                    <a:spPr bwMode="gray">
                      <a:xfrm>
                        <a:off x="7324725" y="5480050"/>
                        <a:ext cx="276225"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C76722C8-ED8C-4884-A9A0-04B66C4AC33F}" type="datetime'''''9''''''''2'''''''''''''''''''">
                            <a:rPr lang="en-US" sz="1400" b="0" baseline="0">
                              <a:solidFill>
                                <a:srgbClr val="808080"/>
                              </a:solidFill>
                            </a:rPr>
                            <a:pPr defTabSz="895350">
                              <a:buClr>
                                <a:schemeClr val="tx2"/>
                              </a:buClr>
                            </a:pPr>
                            <a:t>92</a:t>
                          </a:fld>
                          <a:endParaRPr lang="en-US" sz="1400" b="0" baseline="0" dirty="0">
                            <a:solidFill>
                              <a:srgbClr val="808080"/>
                            </a:solidFill>
                          </a:endParaRPr>
                        </a:p>
                      </a:txBody>
                      <a:useSpRect/>
                    </a:txSp>
                  </a:sp>
                  <a:sp>
                    <a:nvSpPr>
                      <a:cNvPr id="3091" name="Rectangle 43"/>
                      <a:cNvSpPr>
                        <a:spLocks noChangeArrowheads="1"/>
                      </a:cNvSpPr>
                    </a:nvSpPr>
                    <a:spPr bwMode="gray">
                      <a:xfrm>
                        <a:off x="1804987" y="5022850"/>
                        <a:ext cx="1881187" cy="225425"/>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en-US" sz="1400" b="0" baseline="0" dirty="0" err="1" smtClean="0">
                              <a:solidFill>
                                <a:srgbClr val="808080"/>
                              </a:solidFill>
                            </a:rPr>
                            <a:t>Andra</a:t>
                          </a:r>
                          <a:r>
                            <a:rPr lang="en-US" sz="1400" b="0" baseline="0" dirty="0" smtClean="0">
                              <a:solidFill>
                                <a:srgbClr val="808080"/>
                              </a:solidFill>
                            </a:rPr>
                            <a:t> </a:t>
                          </a:r>
                          <a:r>
                            <a:rPr lang="en-US" sz="1400" b="0" baseline="0" dirty="0" err="1" smtClean="0">
                              <a:solidFill>
                                <a:srgbClr val="808080"/>
                              </a:solidFill>
                            </a:rPr>
                            <a:t>åkommor</a:t>
                          </a:r>
                          <a:endParaRPr lang="en-US" sz="1400" b="0" baseline="0" dirty="0">
                            <a:solidFill>
                              <a:srgbClr val="808080"/>
                            </a:solidFill>
                          </a:endParaRPr>
                        </a:p>
                      </a:txBody>
                      <a:useSpRect/>
                    </a:txSp>
                  </a:sp>
                  <a:sp>
                    <a:nvSpPr>
                      <a:cNvPr id="3092" name="Rectangle 42"/>
                      <a:cNvSpPr>
                        <a:spLocks noChangeArrowheads="1"/>
                      </a:cNvSpPr>
                    </a:nvSpPr>
                    <a:spPr bwMode="gray">
                      <a:xfrm>
                        <a:off x="7324725" y="5022850"/>
                        <a:ext cx="276225"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1B105254-C19B-496A-9BF4-63B45C5DE233}" type="datetime'''''''''''2''''''''''''1'''''''''''''''''''''''''''">
                            <a:rPr lang="en-US" sz="1400" b="0" baseline="0">
                              <a:solidFill>
                                <a:srgbClr val="808080"/>
                              </a:solidFill>
                            </a:rPr>
                            <a:pPr defTabSz="895350">
                              <a:buClr>
                                <a:schemeClr val="tx2"/>
                              </a:buClr>
                            </a:pPr>
                            <a:t>21</a:t>
                          </a:fld>
                          <a:endParaRPr lang="en-US" sz="1400" b="0" baseline="0" dirty="0">
                            <a:solidFill>
                              <a:srgbClr val="808080"/>
                            </a:solidFill>
                          </a:endParaRPr>
                        </a:p>
                      </a:txBody>
                      <a:useSpRect/>
                    </a:txSp>
                  </a:sp>
                  <a:sp>
                    <a:nvSpPr>
                      <a:cNvPr id="3093" name="Rectangle 41"/>
                      <a:cNvSpPr>
                        <a:spLocks noChangeArrowheads="1"/>
                      </a:cNvSpPr>
                    </a:nvSpPr>
                    <a:spPr bwMode="gray">
                      <a:xfrm>
                        <a:off x="1804988" y="4565650"/>
                        <a:ext cx="1890712" cy="244475"/>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en-US" sz="1400" b="0" baseline="0" dirty="0" err="1" smtClean="0">
                              <a:solidFill>
                                <a:srgbClr val="808080"/>
                              </a:solidFill>
                            </a:rPr>
                            <a:t>Psykiska</a:t>
                          </a:r>
                          <a:r>
                            <a:rPr lang="en-US" sz="1400" b="0" baseline="0" dirty="0" smtClean="0">
                              <a:solidFill>
                                <a:srgbClr val="808080"/>
                              </a:solidFill>
                            </a:rPr>
                            <a:t> </a:t>
                          </a:r>
                          <a:r>
                            <a:rPr lang="en-US" sz="1400" b="0" baseline="0" dirty="0" err="1" smtClean="0">
                              <a:solidFill>
                                <a:srgbClr val="808080"/>
                              </a:solidFill>
                            </a:rPr>
                            <a:t>sjukdomar</a:t>
                          </a:r>
                          <a:endParaRPr lang="en-US" sz="1400" b="0" baseline="0" dirty="0">
                            <a:solidFill>
                              <a:srgbClr val="808080"/>
                            </a:solidFill>
                          </a:endParaRPr>
                        </a:p>
                      </a:txBody>
                      <a:useSpRect/>
                    </a:txSp>
                  </a:sp>
                  <a:sp>
                    <a:nvSpPr>
                      <a:cNvPr id="3094" name="Rectangle 40"/>
                      <a:cNvSpPr>
                        <a:spLocks noChangeArrowheads="1"/>
                      </a:cNvSpPr>
                    </a:nvSpPr>
                    <a:spPr bwMode="gray">
                      <a:xfrm>
                        <a:off x="6562725" y="4565650"/>
                        <a:ext cx="163513"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C464D2AA-6B65-4B74-BD7B-A729B1781F6A}" type="datetime'''''''5'''''''''''''''''''''''''''''''">
                            <a:rPr lang="en-US" sz="1400" b="0" baseline="0">
                              <a:solidFill>
                                <a:srgbClr val="808080"/>
                              </a:solidFill>
                            </a:rPr>
                            <a:pPr defTabSz="895350">
                              <a:buClr>
                                <a:schemeClr val="tx2"/>
                              </a:buClr>
                            </a:pPr>
                            <a:t>5</a:t>
                          </a:fld>
                          <a:endParaRPr lang="en-US" sz="1400" b="0" baseline="0" dirty="0">
                            <a:solidFill>
                              <a:srgbClr val="808080"/>
                            </a:solidFill>
                          </a:endParaRPr>
                        </a:p>
                      </a:txBody>
                      <a:useSpRect/>
                    </a:txSp>
                  </a:sp>
                  <a:sp>
                    <a:nvSpPr>
                      <a:cNvPr id="3095" name="Rectangle 46"/>
                      <a:cNvSpPr>
                        <a:spLocks noChangeArrowheads="1"/>
                      </a:cNvSpPr>
                    </a:nvSpPr>
                    <a:spPr bwMode="gray">
                      <a:xfrm>
                        <a:off x="1781175" y="4122738"/>
                        <a:ext cx="1366837" cy="244475"/>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sv-SE" sz="1400" b="0" baseline="0" dirty="0" smtClean="0">
                              <a:solidFill>
                                <a:srgbClr val="808080"/>
                              </a:solidFill>
                            </a:rPr>
                            <a:t>Lungåkommor</a:t>
                          </a:r>
                          <a:endParaRPr lang="sv-SE" sz="1400" b="0" baseline="0" dirty="0">
                            <a:solidFill>
                              <a:srgbClr val="808080"/>
                            </a:solidFill>
                          </a:endParaRPr>
                        </a:p>
                      </a:txBody>
                      <a:useSpRect/>
                    </a:txSp>
                  </a:sp>
                  <a:sp>
                    <a:nvSpPr>
                      <a:cNvPr id="3096" name="Rectangle 47"/>
                      <a:cNvSpPr>
                        <a:spLocks noChangeArrowheads="1"/>
                      </a:cNvSpPr>
                    </a:nvSpPr>
                    <a:spPr bwMode="gray">
                      <a:xfrm>
                        <a:off x="6381750" y="4113213"/>
                        <a:ext cx="163513"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86FC47B6-BD90-4CB3-84C5-70BF844E7209}" type="datetime'''''6'''''''''''''''''''''''''''''''''''''''''''''''''">
                            <a:rPr lang="en-US" sz="1400" b="0" baseline="0">
                              <a:solidFill>
                                <a:srgbClr val="808080"/>
                              </a:solidFill>
                            </a:rPr>
                            <a:pPr defTabSz="895350">
                              <a:buClr>
                                <a:schemeClr val="tx2"/>
                              </a:buClr>
                            </a:pPr>
                            <a:t>6</a:t>
                          </a:fld>
                          <a:endParaRPr lang="en-US" sz="1400" b="0" baseline="0" dirty="0">
                            <a:solidFill>
                              <a:srgbClr val="808080"/>
                            </a:solidFill>
                          </a:endParaRPr>
                        </a:p>
                      </a:txBody>
                      <a:useSpRect/>
                    </a:txSp>
                  </a:sp>
                  <a:sp>
                    <a:nvSpPr>
                      <a:cNvPr id="3097" name="Rectangle 48"/>
                      <a:cNvSpPr>
                        <a:spLocks noChangeArrowheads="1"/>
                      </a:cNvSpPr>
                    </a:nvSpPr>
                    <a:spPr bwMode="gray">
                      <a:xfrm>
                        <a:off x="1790700" y="3660775"/>
                        <a:ext cx="2076450" cy="292100"/>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en-US" sz="1400" b="0" baseline="0" dirty="0" err="1" smtClean="0">
                              <a:solidFill>
                                <a:schemeClr val="folHlink"/>
                              </a:solidFill>
                            </a:rPr>
                            <a:t>Ishemisk</a:t>
                          </a:r>
                          <a:r>
                            <a:rPr lang="en-US" sz="1400" b="0" baseline="0" dirty="0" smtClean="0">
                              <a:solidFill>
                                <a:schemeClr val="folHlink"/>
                              </a:solidFill>
                            </a:rPr>
                            <a:t> </a:t>
                          </a:r>
                          <a:r>
                            <a:rPr lang="en-US" sz="1400" b="0" baseline="0" dirty="0" err="1" smtClean="0">
                              <a:solidFill>
                                <a:schemeClr val="folHlink"/>
                              </a:solidFill>
                            </a:rPr>
                            <a:t>hjärsjukdom</a:t>
                          </a:r>
                          <a:endParaRPr lang="en-US" sz="1400" b="0" baseline="0" dirty="0">
                            <a:solidFill>
                              <a:schemeClr val="folHlink"/>
                            </a:solidFill>
                          </a:endParaRPr>
                        </a:p>
                      </a:txBody>
                      <a:useSpRect/>
                    </a:txSp>
                  </a:sp>
                  <a:sp>
                    <a:nvSpPr>
                      <a:cNvPr id="3098" name="Rectangle 49"/>
                      <a:cNvSpPr>
                        <a:spLocks noChangeArrowheads="1"/>
                      </a:cNvSpPr>
                    </a:nvSpPr>
                    <a:spPr bwMode="gray">
                      <a:xfrm>
                        <a:off x="6172200" y="3660775"/>
                        <a:ext cx="276225"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92A1CE9E-4A3A-41F4-B795-51267B35BAC6}" type="datetime'''''''''''''''''''17'''''''''">
                            <a:rPr lang="en-US" sz="1400" b="0" baseline="0">
                              <a:solidFill>
                                <a:schemeClr val="folHlink"/>
                              </a:solidFill>
                            </a:rPr>
                            <a:pPr defTabSz="895350">
                              <a:buClr>
                                <a:schemeClr val="tx2"/>
                              </a:buClr>
                            </a:pPr>
                            <a:t>17</a:t>
                          </a:fld>
                          <a:endParaRPr lang="en-US" sz="1400" b="0" baseline="0" dirty="0">
                            <a:solidFill>
                              <a:schemeClr val="folHlink"/>
                            </a:solidFill>
                          </a:endParaRPr>
                        </a:p>
                      </a:txBody>
                      <a:useSpRect/>
                    </a:txSp>
                  </a:sp>
                  <a:sp>
                    <a:nvSpPr>
                      <a:cNvPr id="3099" name="Rectangle 50"/>
                      <a:cNvSpPr>
                        <a:spLocks noChangeArrowheads="1"/>
                      </a:cNvSpPr>
                    </a:nvSpPr>
                    <a:spPr bwMode="gray">
                      <a:xfrm>
                        <a:off x="1787525" y="3203575"/>
                        <a:ext cx="1992312" cy="244475"/>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en-US" sz="1400" b="0" baseline="0" dirty="0" err="1" smtClean="0">
                              <a:solidFill>
                                <a:srgbClr val="808080"/>
                              </a:solidFill>
                            </a:rPr>
                            <a:t>Andra</a:t>
                          </a:r>
                          <a:r>
                            <a:rPr lang="en-US" sz="1400" b="0" baseline="0" dirty="0" smtClean="0">
                              <a:solidFill>
                                <a:srgbClr val="808080"/>
                              </a:solidFill>
                            </a:rPr>
                            <a:t> </a:t>
                          </a:r>
                          <a:r>
                            <a:rPr lang="en-US" sz="1400" b="0" baseline="0" dirty="0" err="1" smtClean="0">
                              <a:solidFill>
                                <a:srgbClr val="808080"/>
                              </a:solidFill>
                            </a:rPr>
                            <a:t>hjärtåkommor</a:t>
                          </a:r>
                          <a:r>
                            <a:rPr lang="en-US" sz="1400" b="0" baseline="0" dirty="0" smtClean="0">
                              <a:solidFill>
                                <a:srgbClr val="808080"/>
                              </a:solidFill>
                            </a:rPr>
                            <a:t> </a:t>
                          </a:r>
                          <a:endParaRPr lang="en-US" sz="1400" b="0" baseline="0" dirty="0">
                            <a:solidFill>
                              <a:srgbClr val="808080"/>
                            </a:solidFill>
                          </a:endParaRPr>
                        </a:p>
                      </a:txBody>
                      <a:useSpRect/>
                    </a:txSp>
                  </a:sp>
                  <a:sp>
                    <a:nvSpPr>
                      <a:cNvPr id="3100" name="Rectangle 51"/>
                      <a:cNvSpPr>
                        <a:spLocks noChangeArrowheads="1"/>
                      </a:cNvSpPr>
                    </a:nvSpPr>
                    <a:spPr bwMode="gray">
                      <a:xfrm>
                        <a:off x="5543550" y="3203575"/>
                        <a:ext cx="276225"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FB56BCE1-747E-47E3-8F09-EDAB3D4693F0}" type="datetime'2''''''''''''''''''''''''''''''''''''''''1'''">
                            <a:rPr lang="en-US" sz="1400" b="0" baseline="0">
                              <a:solidFill>
                                <a:srgbClr val="808080"/>
                              </a:solidFill>
                            </a:rPr>
                            <a:pPr defTabSz="895350">
                              <a:buClr>
                                <a:schemeClr val="tx2"/>
                              </a:buClr>
                            </a:pPr>
                            <a:t>21</a:t>
                          </a:fld>
                          <a:endParaRPr lang="en-US" sz="1400" b="0" baseline="0" dirty="0">
                            <a:solidFill>
                              <a:srgbClr val="808080"/>
                            </a:solidFill>
                          </a:endParaRPr>
                        </a:p>
                      </a:txBody>
                      <a:useSpRect/>
                    </a:txSp>
                  </a:sp>
                  <a:sp>
                    <a:nvSpPr>
                      <a:cNvPr id="3101" name="Rectangle 52"/>
                      <a:cNvSpPr>
                        <a:spLocks noChangeArrowheads="1"/>
                      </a:cNvSpPr>
                    </a:nvSpPr>
                    <a:spPr bwMode="gray">
                      <a:xfrm>
                        <a:off x="1806575" y="2746376"/>
                        <a:ext cx="955675" cy="234950"/>
                      </a:xfrm>
                      <a:prstGeom prst="rect">
                        <a:avLst/>
                      </a:prstGeom>
                      <a:noFill/>
                      <a:ln w="9525">
                        <a:noFill/>
                        <a:miter lim="800000"/>
                        <a:headEnd/>
                        <a:tailEnd/>
                      </a:ln>
                    </a:spPr>
                    <a:txSp>
                      <a:txBody>
                        <a:bodyPr lIns="0" tIns="0" rIns="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r>
                            <a:rPr lang="en-US" sz="1400" b="0" baseline="0" dirty="0" err="1" smtClean="0">
                              <a:solidFill>
                                <a:srgbClr val="808080"/>
                              </a:solidFill>
                            </a:rPr>
                            <a:t>Tumörer</a:t>
                          </a:r>
                          <a:endParaRPr lang="en-US" sz="1400" b="0" baseline="0" dirty="0">
                            <a:solidFill>
                              <a:srgbClr val="808080"/>
                            </a:solidFill>
                          </a:endParaRPr>
                        </a:p>
                      </a:txBody>
                      <a:useSpRect/>
                    </a:txSp>
                  </a:sp>
                  <a:sp>
                    <a:nvSpPr>
                      <a:cNvPr id="3102" name="Rectangle 53"/>
                      <a:cNvSpPr>
                        <a:spLocks noChangeArrowheads="1"/>
                      </a:cNvSpPr>
                    </a:nvSpPr>
                    <a:spPr bwMode="gray">
                      <a:xfrm>
                        <a:off x="4762500" y="2746375"/>
                        <a:ext cx="276225" cy="244475"/>
                      </a:xfrm>
                      <a:prstGeom prst="rect">
                        <a:avLst/>
                      </a:prstGeom>
                      <a:noFill/>
                      <a:ln w="9525">
                        <a:noFill/>
                        <a:miter lim="800000"/>
                        <a:headEnd/>
                        <a:tailEnd/>
                      </a:ln>
                    </a:spPr>
                    <a:txSp>
                      <a:txBody>
                        <a:bodyPr wrap="none" lIns="25400" tIns="0" rIns="25400" bIns="0" anchor="ct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pPr defTabSz="895350">
                            <a:buClr>
                              <a:schemeClr val="tx2"/>
                            </a:buClr>
                          </a:pPr>
                          <a:fld id="{092A6721-3F86-436A-885A-FA212539A691}" type="datetime'2''''''''''''''''''''''''''''''''''''''''3'''''''">
                            <a:rPr lang="en-US" sz="1400" b="0" baseline="0">
                              <a:solidFill>
                                <a:srgbClr val="808080"/>
                              </a:solidFill>
                            </a:rPr>
                            <a:pPr defTabSz="895350">
                              <a:buClr>
                                <a:schemeClr val="tx2"/>
                              </a:buClr>
                            </a:pPr>
                            <a:t>23</a:t>
                          </a:fld>
                          <a:endParaRPr lang="en-US" sz="1400" b="0" baseline="0" dirty="0">
                            <a:solidFill>
                              <a:srgbClr val="808080"/>
                            </a:solidFill>
                          </a:endParaRPr>
                        </a:p>
                      </a:txBody>
                      <a:useSpRect/>
                    </a:txSp>
                  </a:sp>
                  <a:sp>
                    <a:nvSpPr>
                      <a:cNvPr id="3103" name="AutoShape 54"/>
                      <a:cNvSpPr>
                        <a:spLocks noChangeArrowheads="1"/>
                      </a:cNvSpPr>
                    </a:nvSpPr>
                    <a:spPr bwMode="gray">
                      <a:xfrm>
                        <a:off x="1766887" y="2236240"/>
                        <a:ext cx="4964113" cy="233910"/>
                      </a:xfrm>
                      <a:prstGeom prst="leftRightArrow">
                        <a:avLst>
                          <a:gd name="adj1" fmla="val 100000"/>
                          <a:gd name="adj2" fmla="val 0"/>
                        </a:avLst>
                      </a:prstGeom>
                      <a:noFill/>
                      <a:ln w="9525">
                        <a:noFill/>
                        <a:miter lim="800000"/>
                        <a:headEnd/>
                        <a:tailEnd/>
                      </a:ln>
                    </a:spPr>
                    <a:txSp>
                      <a:txBody>
                        <a:bodyPr lIns="0" tIns="0" rIns="0" bIns="18288" anchor="b">
                          <a:spAutoFit/>
                        </a:bodyPr>
                        <a:lstStyle>
                          <a:defPPr>
                            <a:defRPr lang="en-US"/>
                          </a:defPPr>
                          <a:lvl1pPr algn="l" rtl="0" fontAlgn="base">
                            <a:spcBef>
                              <a:spcPct val="0"/>
                            </a:spcBef>
                            <a:spcAft>
                              <a:spcPct val="0"/>
                            </a:spcAft>
                            <a:defRPr sz="1600" b="1" kern="1200" baseline="30000">
                              <a:solidFill>
                                <a:schemeClr val="tx1"/>
                              </a:solidFill>
                              <a:latin typeface="Arial" charset="0"/>
                              <a:ea typeface="+mn-ea"/>
                              <a:cs typeface="Arial" charset="0"/>
                            </a:defRPr>
                          </a:lvl1pPr>
                          <a:lvl2pPr marL="457200" algn="l" rtl="0" fontAlgn="base">
                            <a:spcBef>
                              <a:spcPct val="0"/>
                            </a:spcBef>
                            <a:spcAft>
                              <a:spcPct val="0"/>
                            </a:spcAft>
                            <a:defRPr sz="1600" b="1" kern="1200" baseline="30000">
                              <a:solidFill>
                                <a:schemeClr val="tx1"/>
                              </a:solidFill>
                              <a:latin typeface="Arial" charset="0"/>
                              <a:ea typeface="+mn-ea"/>
                              <a:cs typeface="Arial" charset="0"/>
                            </a:defRPr>
                          </a:lvl2pPr>
                          <a:lvl3pPr marL="914400" algn="l" rtl="0" fontAlgn="base">
                            <a:spcBef>
                              <a:spcPct val="0"/>
                            </a:spcBef>
                            <a:spcAft>
                              <a:spcPct val="0"/>
                            </a:spcAft>
                            <a:defRPr sz="1600" b="1" kern="1200" baseline="30000">
                              <a:solidFill>
                                <a:schemeClr val="tx1"/>
                              </a:solidFill>
                              <a:latin typeface="Arial" charset="0"/>
                              <a:ea typeface="+mn-ea"/>
                              <a:cs typeface="Arial" charset="0"/>
                            </a:defRPr>
                          </a:lvl3pPr>
                          <a:lvl4pPr marL="1371600" algn="l" rtl="0" fontAlgn="base">
                            <a:spcBef>
                              <a:spcPct val="0"/>
                            </a:spcBef>
                            <a:spcAft>
                              <a:spcPct val="0"/>
                            </a:spcAft>
                            <a:defRPr sz="1600" b="1" kern="1200" baseline="30000">
                              <a:solidFill>
                                <a:schemeClr val="tx1"/>
                              </a:solidFill>
                              <a:latin typeface="Arial" charset="0"/>
                              <a:ea typeface="+mn-ea"/>
                              <a:cs typeface="Arial" charset="0"/>
                            </a:defRPr>
                          </a:lvl4pPr>
                          <a:lvl5pPr marL="1828800" algn="l" rtl="0" fontAlgn="base">
                            <a:spcBef>
                              <a:spcPct val="0"/>
                            </a:spcBef>
                            <a:spcAft>
                              <a:spcPct val="0"/>
                            </a:spcAft>
                            <a:defRPr sz="1600" b="1" kern="1200" baseline="30000">
                              <a:solidFill>
                                <a:schemeClr val="tx1"/>
                              </a:solidFill>
                              <a:latin typeface="Arial" charset="0"/>
                              <a:ea typeface="+mn-ea"/>
                              <a:cs typeface="Arial" charset="0"/>
                            </a:defRPr>
                          </a:lvl5pPr>
                          <a:lvl6pPr marL="2286000" algn="l" defTabSz="914400" rtl="0" eaLnBrk="1" latinLnBrk="0" hangingPunct="1">
                            <a:defRPr sz="1600" b="1" kern="1200" baseline="30000">
                              <a:solidFill>
                                <a:schemeClr val="tx1"/>
                              </a:solidFill>
                              <a:latin typeface="Arial" charset="0"/>
                              <a:ea typeface="+mn-ea"/>
                              <a:cs typeface="Arial" charset="0"/>
                            </a:defRPr>
                          </a:lvl6pPr>
                          <a:lvl7pPr marL="2743200" algn="l" defTabSz="914400" rtl="0" eaLnBrk="1" latinLnBrk="0" hangingPunct="1">
                            <a:defRPr sz="1600" b="1" kern="1200" baseline="30000">
                              <a:solidFill>
                                <a:schemeClr val="tx1"/>
                              </a:solidFill>
                              <a:latin typeface="Arial" charset="0"/>
                              <a:ea typeface="+mn-ea"/>
                              <a:cs typeface="Arial" charset="0"/>
                            </a:defRPr>
                          </a:lvl7pPr>
                          <a:lvl8pPr marL="3200400" algn="l" defTabSz="914400" rtl="0" eaLnBrk="1" latinLnBrk="0" hangingPunct="1">
                            <a:defRPr sz="1600" b="1" kern="1200" baseline="30000">
                              <a:solidFill>
                                <a:schemeClr val="tx1"/>
                              </a:solidFill>
                              <a:latin typeface="Arial" charset="0"/>
                              <a:ea typeface="+mn-ea"/>
                              <a:cs typeface="Arial" charset="0"/>
                            </a:defRPr>
                          </a:lvl8pPr>
                          <a:lvl9pPr marL="3657600" algn="l" defTabSz="914400" rtl="0" eaLnBrk="1" latinLnBrk="0" hangingPunct="1">
                            <a:defRPr sz="1600" b="1" kern="1200" baseline="30000">
                              <a:solidFill>
                                <a:schemeClr val="tx1"/>
                              </a:solidFill>
                              <a:latin typeface="Arial" charset="0"/>
                              <a:ea typeface="+mn-ea"/>
                              <a:cs typeface="Arial" charset="0"/>
                            </a:defRPr>
                          </a:lvl9pPr>
                        </a:lstStyle>
                        <a:p>
                          <a:r>
                            <a:rPr lang="en-US" sz="1400" b="0" u="sng" baseline="0" dirty="0" err="1" smtClean="0">
                              <a:solidFill>
                                <a:srgbClr val="808080"/>
                              </a:solidFill>
                            </a:rPr>
                            <a:t>Tusentals</a:t>
                          </a:r>
                          <a:r>
                            <a:rPr lang="en-US" sz="1400" b="0" u="sng" baseline="0" dirty="0" smtClean="0">
                              <a:solidFill>
                                <a:srgbClr val="808080"/>
                              </a:solidFill>
                            </a:rPr>
                            <a:t> </a:t>
                          </a:r>
                          <a:r>
                            <a:rPr lang="en-US" sz="1400" b="0" u="sng" baseline="0" dirty="0" err="1" smtClean="0">
                              <a:solidFill>
                                <a:srgbClr val="808080"/>
                              </a:solidFill>
                            </a:rPr>
                            <a:t>döda</a:t>
                          </a:r>
                          <a:r>
                            <a:rPr lang="en-US" sz="1400" b="0" u="sng" baseline="0" dirty="0" smtClean="0">
                              <a:solidFill>
                                <a:srgbClr val="808080"/>
                              </a:solidFill>
                            </a:rPr>
                            <a:t>, </a:t>
                          </a:r>
                          <a:r>
                            <a:rPr lang="en-US" sz="1400" b="0" u="sng" baseline="0" dirty="0" err="1" smtClean="0">
                              <a:solidFill>
                                <a:srgbClr val="808080"/>
                              </a:solidFill>
                            </a:rPr>
                            <a:t>årligen</a:t>
                          </a:r>
                          <a:endParaRPr lang="en-US" sz="1400" b="0" u="sng" baseline="0" dirty="0">
                            <a:solidFill>
                              <a:srgbClr val="808080"/>
                            </a:solidFill>
                          </a:endParaRPr>
                        </a:p>
                      </a:txBody>
                      <a:useSpRect/>
                    </a:txSp>
                  </a:sp>
                </lc:lockedCanvas>
              </a:graphicData>
            </a:graphic>
          </wp:inline>
        </w:drawing>
      </w:r>
    </w:p>
    <w:p w:rsidR="00322C1F" w:rsidRPr="00805D58" w:rsidRDefault="00322C1F" w:rsidP="00805D58">
      <w:pPr>
        <w:rPr>
          <w:szCs w:val="24"/>
        </w:rPr>
      </w:pPr>
    </w:p>
    <w:p w:rsidR="008D4B94" w:rsidRDefault="008D4B94" w:rsidP="0006307C">
      <w:pPr>
        <w:pStyle w:val="Heading5"/>
      </w:pPr>
    </w:p>
    <w:p w:rsidR="0006307C" w:rsidRDefault="0006307C" w:rsidP="0006307C">
      <w:pPr>
        <w:pStyle w:val="Heading5"/>
      </w:pPr>
      <w:r w:rsidRPr="00341699">
        <w:t>Förändrar patientens liv</w:t>
      </w:r>
    </w:p>
    <w:p w:rsidR="0006307C" w:rsidRPr="00AC4D28" w:rsidRDefault="0006307C" w:rsidP="00AC4D28">
      <w:pPr>
        <w:spacing w:before="100" w:beforeAutospacing="1" w:after="100" w:afterAutospacing="1"/>
        <w:outlineLvl w:val="4"/>
        <w:rPr>
          <w:rStyle w:val="longtext1"/>
          <w:b/>
          <w:sz w:val="28"/>
          <w:szCs w:val="28"/>
        </w:rPr>
      </w:pPr>
      <w:r w:rsidRPr="004C1A46">
        <w:rPr>
          <w:rFonts w:cs="Arial"/>
          <w:szCs w:val="22"/>
        </w:rPr>
        <w:t xml:space="preserve">För en patient som överlever en hjärtinfarkt förändras tillvaron dramatiskt. De har drabbats av en åkomma som markant </w:t>
      </w:r>
      <w:r>
        <w:rPr>
          <w:rFonts w:cs="Arial"/>
          <w:szCs w:val="22"/>
        </w:rPr>
        <w:t xml:space="preserve">kan försämra deras livskvalitet, i synnerhet om de drabbas av fler påföljande </w:t>
      </w:r>
      <w:r w:rsidR="00805D58">
        <w:rPr>
          <w:rFonts w:cs="Arial"/>
          <w:szCs w:val="22"/>
        </w:rPr>
        <w:t>ischemiska hjärt</w:t>
      </w:r>
      <w:r>
        <w:rPr>
          <w:rFonts w:cs="Arial"/>
          <w:szCs w:val="22"/>
        </w:rPr>
        <w:t>händelser. Den sänkta livskvaliteten kan förklaras a</w:t>
      </w:r>
      <w:r w:rsidR="00805D58">
        <w:rPr>
          <w:rFonts w:cs="Arial"/>
          <w:szCs w:val="22"/>
        </w:rPr>
        <w:t>v en rädsla för t ex en mer allvarlig hjärtinfarkt</w:t>
      </w:r>
      <w:r>
        <w:rPr>
          <w:rFonts w:cs="Arial"/>
          <w:szCs w:val="22"/>
        </w:rPr>
        <w:t>, minskad kontakt med arbetslivet/arbetsplatsen, en allmän sjukdomskänsla och identifiering av sig själv som sjuk samt depressiva besvär.</w:t>
      </w:r>
      <w:r>
        <w:rPr>
          <w:rStyle w:val="EndnoteReference"/>
          <w:szCs w:val="22"/>
        </w:rPr>
        <w:endnoteReference w:id="7"/>
      </w:r>
      <w:r>
        <w:rPr>
          <w:rFonts w:cs="Arial"/>
          <w:szCs w:val="22"/>
        </w:rPr>
        <w:t xml:space="preserve"> </w:t>
      </w:r>
      <w:r w:rsidR="00805D58">
        <w:rPr>
          <w:rFonts w:cs="Arial"/>
          <w:szCs w:val="22"/>
        </w:rPr>
        <w:t xml:space="preserve">De som överlever en STEMI av större </w:t>
      </w:r>
      <w:r w:rsidR="00DE0849">
        <w:rPr>
          <w:rFonts w:cs="Arial"/>
          <w:szCs w:val="22"/>
        </w:rPr>
        <w:t>omfattning</w:t>
      </w:r>
      <w:r w:rsidR="00805D58">
        <w:rPr>
          <w:rFonts w:cs="Arial"/>
          <w:szCs w:val="22"/>
        </w:rPr>
        <w:t xml:space="preserve"> får dessutom </w:t>
      </w:r>
      <w:r w:rsidR="004379C1">
        <w:rPr>
          <w:rFonts w:cs="Arial"/>
          <w:szCs w:val="22"/>
        </w:rPr>
        <w:t xml:space="preserve">ofta </w:t>
      </w:r>
      <w:r w:rsidR="00805D58">
        <w:rPr>
          <w:rFonts w:cs="Arial"/>
          <w:szCs w:val="22"/>
        </w:rPr>
        <w:t xml:space="preserve">en hjärtmuskel med sämre pumpförmåga vilket leder till hjärtsvikt med flera systemeffekter däribland minskad fysisk ork. </w:t>
      </w:r>
      <w:r w:rsidR="00AC4D28">
        <w:rPr>
          <w:rFonts w:cs="Arial"/>
          <w:szCs w:val="22"/>
        </w:rPr>
        <w:br/>
      </w:r>
    </w:p>
    <w:p w:rsidR="0006307C" w:rsidRDefault="0006307C" w:rsidP="0006307C">
      <w:pPr>
        <w:pStyle w:val="Heading5"/>
        <w:rPr>
          <w:rStyle w:val="longtext1"/>
          <w:rFonts w:cs="Arial"/>
          <w:b w:val="0"/>
          <w:sz w:val="22"/>
          <w:szCs w:val="22"/>
        </w:rPr>
      </w:pPr>
      <w:r w:rsidRPr="00B007B9">
        <w:rPr>
          <w:rStyle w:val="longtext1"/>
          <w:rFonts w:cs="Arial"/>
          <w:sz w:val="28"/>
          <w:szCs w:val="28"/>
        </w:rPr>
        <w:t>Viktigt med både akut och långsiktig behandling</w:t>
      </w:r>
    </w:p>
    <w:p w:rsidR="00D676CA" w:rsidRDefault="0006307C" w:rsidP="0006307C">
      <w:pPr>
        <w:pStyle w:val="Head2"/>
        <w:tabs>
          <w:tab w:val="left" w:pos="426"/>
          <w:tab w:val="left" w:pos="720"/>
        </w:tabs>
        <w:spacing w:before="0"/>
        <w:rPr>
          <w:rStyle w:val="longtext1"/>
          <w:rFonts w:ascii="Calibri" w:hAnsi="Calibri" w:cs="Arial"/>
          <w:b w:val="0"/>
          <w:sz w:val="22"/>
          <w:szCs w:val="22"/>
        </w:rPr>
      </w:pPr>
      <w:r w:rsidRPr="00B007B9">
        <w:rPr>
          <w:rStyle w:val="longtext1"/>
          <w:rFonts w:ascii="Calibri" w:hAnsi="Calibri" w:cs="Arial"/>
          <w:b w:val="0"/>
          <w:sz w:val="22"/>
          <w:szCs w:val="22"/>
        </w:rPr>
        <w:t>Dödligheten i hjärtinfarkt och instabil angina är efter 6 månader jämförbara (12 % vs 13 %)</w:t>
      </w:r>
      <w:r w:rsidR="00D676CA">
        <w:rPr>
          <w:rStyle w:val="EndnoteReference"/>
          <w:rFonts w:ascii="Calibri" w:hAnsi="Calibri"/>
          <w:b w:val="0"/>
          <w:szCs w:val="22"/>
        </w:rPr>
        <w:endnoteReference w:id="8"/>
      </w:r>
      <w:r w:rsidRPr="00B007B9">
        <w:rPr>
          <w:rStyle w:val="longtext1"/>
          <w:rFonts w:ascii="Calibri" w:hAnsi="Calibri" w:cs="Arial"/>
          <w:b w:val="0"/>
          <w:sz w:val="22"/>
          <w:szCs w:val="22"/>
        </w:rPr>
        <w:t xml:space="preserve">. Detta innebär att behandlingsstrategierna för akuta </w:t>
      </w:r>
      <w:r w:rsidR="004379C1">
        <w:rPr>
          <w:rStyle w:val="longtext1"/>
          <w:rFonts w:ascii="Calibri" w:hAnsi="Calibri" w:cs="Arial"/>
          <w:b w:val="0"/>
          <w:sz w:val="22"/>
          <w:szCs w:val="22"/>
        </w:rPr>
        <w:t>kranskärls</w:t>
      </w:r>
      <w:r w:rsidRPr="00B007B9">
        <w:rPr>
          <w:rStyle w:val="longtext1"/>
          <w:rFonts w:ascii="Calibri" w:hAnsi="Calibri" w:cs="Arial"/>
          <w:b w:val="0"/>
          <w:sz w:val="22"/>
          <w:szCs w:val="22"/>
        </w:rPr>
        <w:t xml:space="preserve">syndrom måste fokusera på såväl akut som långsiktig behandling av patienten. </w:t>
      </w:r>
    </w:p>
    <w:p w:rsidR="0006307C" w:rsidRDefault="00DE5E62" w:rsidP="0006307C">
      <w:pPr>
        <w:pStyle w:val="Head2"/>
        <w:tabs>
          <w:tab w:val="left" w:pos="426"/>
          <w:tab w:val="left" w:pos="720"/>
        </w:tabs>
        <w:spacing w:before="0"/>
        <w:rPr>
          <w:rStyle w:val="longtext1"/>
          <w:rFonts w:ascii="Calibri" w:hAnsi="Calibri" w:cs="Arial"/>
          <w:b w:val="0"/>
          <w:sz w:val="22"/>
          <w:szCs w:val="22"/>
        </w:rPr>
      </w:pPr>
      <w:r>
        <w:rPr>
          <w:rStyle w:val="longtext1"/>
          <w:rFonts w:ascii="Calibri" w:hAnsi="Calibri" w:cs="Arial"/>
          <w:b w:val="0"/>
          <w:sz w:val="22"/>
          <w:szCs w:val="22"/>
        </w:rPr>
        <w:t xml:space="preserve">Den akuta behandlingen har som huvudmål att lindra smärta och dämpa ångest, förlänga livet, minimera skada och undvika komplikationer samt förhindra återinsjuknande. Den långsiktiga behandlingen har som mål att förbättra livskvalitet samt förebygga fler ischemiska händelser. </w:t>
      </w:r>
    </w:p>
    <w:p w:rsidR="00775009" w:rsidRDefault="00775009" w:rsidP="0006307C">
      <w:pPr>
        <w:pStyle w:val="Head2"/>
        <w:tabs>
          <w:tab w:val="left" w:pos="426"/>
          <w:tab w:val="left" w:pos="720"/>
        </w:tabs>
        <w:spacing w:before="0"/>
        <w:rPr>
          <w:rStyle w:val="longtext1"/>
          <w:rFonts w:ascii="Calibri" w:hAnsi="Calibri"/>
          <w:sz w:val="22"/>
          <w:szCs w:val="22"/>
        </w:rPr>
      </w:pPr>
      <w:r w:rsidRPr="00EB3012">
        <w:rPr>
          <w:rStyle w:val="longtext1"/>
          <w:rFonts w:ascii="Calibri" w:hAnsi="Calibri" w:cs="Arial"/>
          <w:b w:val="0"/>
          <w:sz w:val="22"/>
          <w:szCs w:val="22"/>
        </w:rPr>
        <w:t xml:space="preserve">Det är </w:t>
      </w:r>
      <w:r w:rsidR="009070B4" w:rsidRPr="00EB3012">
        <w:rPr>
          <w:rStyle w:val="longtext1"/>
          <w:rFonts w:ascii="Calibri" w:hAnsi="Calibri" w:cs="Arial"/>
          <w:b w:val="0"/>
          <w:sz w:val="22"/>
          <w:szCs w:val="22"/>
        </w:rPr>
        <w:t xml:space="preserve">avgörande </w:t>
      </w:r>
      <w:r w:rsidRPr="00EB3012">
        <w:rPr>
          <w:rStyle w:val="longtext1"/>
          <w:rFonts w:ascii="Calibri" w:hAnsi="Calibri" w:cs="Arial"/>
          <w:b w:val="0"/>
          <w:sz w:val="22"/>
          <w:szCs w:val="22"/>
        </w:rPr>
        <w:t>med snabb behandling för att minimera skadan på hjärtmuskeln – både för at</w:t>
      </w:r>
      <w:r w:rsidR="00977802" w:rsidRPr="00EB3012">
        <w:rPr>
          <w:rStyle w:val="longtext1"/>
          <w:rFonts w:ascii="Calibri" w:hAnsi="Calibri" w:cs="Arial"/>
          <w:b w:val="0"/>
          <w:sz w:val="22"/>
          <w:szCs w:val="22"/>
        </w:rPr>
        <w:t>t rädda liv och för att bibehålla</w:t>
      </w:r>
      <w:r w:rsidRPr="00EB3012">
        <w:rPr>
          <w:rStyle w:val="longtext1"/>
          <w:rFonts w:ascii="Calibri" w:hAnsi="Calibri" w:cs="Arial"/>
          <w:b w:val="0"/>
          <w:sz w:val="22"/>
          <w:szCs w:val="22"/>
        </w:rPr>
        <w:t xml:space="preserve"> ett så väl fungerande hjärta som möjligt. </w:t>
      </w:r>
      <w:r w:rsidR="009070B4" w:rsidRPr="00EB3012">
        <w:rPr>
          <w:rStyle w:val="longtext1"/>
          <w:rFonts w:ascii="Calibri" w:hAnsi="Calibri" w:cs="Arial"/>
          <w:b w:val="0"/>
          <w:sz w:val="22"/>
          <w:szCs w:val="22"/>
        </w:rPr>
        <w:t>Det handlar om minut</w:t>
      </w:r>
      <w:r w:rsidR="003E28A9" w:rsidRPr="00EB3012">
        <w:rPr>
          <w:rStyle w:val="longtext1"/>
          <w:rFonts w:ascii="Calibri" w:hAnsi="Calibri" w:cs="Arial"/>
          <w:b w:val="0"/>
          <w:sz w:val="22"/>
          <w:szCs w:val="22"/>
        </w:rPr>
        <w:t>er</w:t>
      </w:r>
      <w:r w:rsidR="00977802" w:rsidRPr="00EB3012">
        <w:rPr>
          <w:rStyle w:val="longtext1"/>
          <w:rFonts w:ascii="Calibri" w:hAnsi="Calibri" w:cs="Arial"/>
          <w:b w:val="0"/>
          <w:sz w:val="22"/>
          <w:szCs w:val="22"/>
        </w:rPr>
        <w:t xml:space="preserve"> som kan vara avgörande för om hjärtmuskelceller överlever eller inte.</w:t>
      </w:r>
      <w:r w:rsidR="00977802">
        <w:rPr>
          <w:rStyle w:val="longtext1"/>
          <w:rFonts w:ascii="Calibri" w:hAnsi="Calibri" w:cs="Arial"/>
          <w:b w:val="0"/>
          <w:sz w:val="22"/>
          <w:szCs w:val="22"/>
        </w:rPr>
        <w:t xml:space="preserve"> </w:t>
      </w:r>
    </w:p>
    <w:p w:rsidR="003B3993" w:rsidRDefault="00D676CA" w:rsidP="0006307C">
      <w:pPr>
        <w:pStyle w:val="Heading5"/>
        <w:rPr>
          <w:rStyle w:val="longtext1"/>
          <w:sz w:val="28"/>
          <w:szCs w:val="28"/>
        </w:rPr>
      </w:pPr>
      <w:r>
        <w:rPr>
          <w:sz w:val="22"/>
          <w:szCs w:val="22"/>
        </w:rPr>
        <w:br/>
      </w:r>
      <w:r w:rsidR="0006307C" w:rsidRPr="004C1A46">
        <w:rPr>
          <w:sz w:val="22"/>
          <w:szCs w:val="22"/>
        </w:rPr>
        <w:br/>
      </w:r>
    </w:p>
    <w:p w:rsidR="0006307C" w:rsidRPr="00CD45B3" w:rsidRDefault="0006307C" w:rsidP="0006307C">
      <w:pPr>
        <w:pStyle w:val="Heading5"/>
        <w:rPr>
          <w:szCs w:val="22"/>
        </w:rPr>
      </w:pPr>
      <w:r w:rsidRPr="00CD45B3">
        <w:rPr>
          <w:rStyle w:val="longtext1"/>
          <w:sz w:val="28"/>
          <w:szCs w:val="28"/>
        </w:rPr>
        <w:lastRenderedPageBreak/>
        <w:t>Behandling av akut kranskärlsjukdom</w:t>
      </w:r>
      <w:r w:rsidRPr="00CD45B3">
        <w:rPr>
          <w:rStyle w:val="longtext1"/>
          <w:sz w:val="28"/>
          <w:szCs w:val="22"/>
        </w:rPr>
        <w:t xml:space="preserve"> </w:t>
      </w:r>
    </w:p>
    <w:p w:rsidR="00563097" w:rsidRPr="00563097" w:rsidRDefault="00563097" w:rsidP="0006307C">
      <w:pPr>
        <w:spacing w:before="100" w:beforeAutospacing="1" w:after="100" w:afterAutospacing="1"/>
        <w:outlineLvl w:val="4"/>
        <w:rPr>
          <w:rStyle w:val="longtext1"/>
          <w:rFonts w:cs="Arial"/>
          <w:b/>
          <w:i/>
          <w:sz w:val="22"/>
          <w:szCs w:val="22"/>
        </w:rPr>
      </w:pPr>
      <w:r w:rsidRPr="00563097">
        <w:rPr>
          <w:rStyle w:val="longtext1"/>
          <w:rFonts w:cs="Arial"/>
          <w:b/>
          <w:i/>
          <w:sz w:val="22"/>
          <w:szCs w:val="22"/>
        </w:rPr>
        <w:t>I det akuta skedet</w:t>
      </w:r>
    </w:p>
    <w:p w:rsidR="0006307C" w:rsidRDefault="0006307C" w:rsidP="0006307C">
      <w:pPr>
        <w:spacing w:before="100" w:beforeAutospacing="1" w:after="100" w:afterAutospacing="1"/>
        <w:outlineLvl w:val="4"/>
        <w:rPr>
          <w:rStyle w:val="longtext1"/>
          <w:rFonts w:cs="Arial"/>
          <w:sz w:val="22"/>
          <w:szCs w:val="22"/>
        </w:rPr>
      </w:pPr>
      <w:r w:rsidRPr="00BF0030">
        <w:rPr>
          <w:rStyle w:val="longtext1"/>
          <w:rFonts w:cs="Arial"/>
          <w:sz w:val="22"/>
          <w:szCs w:val="22"/>
        </w:rPr>
        <w:t xml:space="preserve">De två huvudsakliga målen för </w:t>
      </w:r>
      <w:r>
        <w:rPr>
          <w:rStyle w:val="longtext1"/>
          <w:rFonts w:cs="Arial"/>
          <w:sz w:val="22"/>
          <w:szCs w:val="22"/>
        </w:rPr>
        <w:t xml:space="preserve">behandling av </w:t>
      </w:r>
      <w:r w:rsidR="00D676CA">
        <w:rPr>
          <w:rStyle w:val="longtext1"/>
          <w:rFonts w:cs="Arial"/>
          <w:sz w:val="22"/>
          <w:szCs w:val="22"/>
        </w:rPr>
        <w:t>akut kranskärlsjukdom</w:t>
      </w:r>
      <w:r>
        <w:rPr>
          <w:rStyle w:val="longtext1"/>
          <w:rFonts w:cs="Arial"/>
          <w:sz w:val="22"/>
          <w:szCs w:val="22"/>
        </w:rPr>
        <w:t xml:space="preserve"> </w:t>
      </w:r>
      <w:r w:rsidRPr="00BF0030">
        <w:rPr>
          <w:rStyle w:val="longtext1"/>
          <w:rFonts w:cs="Arial"/>
          <w:sz w:val="22"/>
          <w:szCs w:val="22"/>
        </w:rPr>
        <w:t>är</w:t>
      </w:r>
      <w:r>
        <w:rPr>
          <w:rStyle w:val="longtext1"/>
          <w:rFonts w:cs="Arial"/>
          <w:sz w:val="22"/>
          <w:szCs w:val="22"/>
        </w:rPr>
        <w:t xml:space="preserve"> att</w:t>
      </w:r>
      <w:r w:rsidRPr="00BF0030">
        <w:rPr>
          <w:rStyle w:val="longtext1"/>
          <w:rFonts w:cs="Arial"/>
          <w:sz w:val="22"/>
          <w:szCs w:val="22"/>
        </w:rPr>
        <w:t xml:space="preserve"> snabb</w:t>
      </w:r>
      <w:r>
        <w:rPr>
          <w:rStyle w:val="longtext1"/>
          <w:rFonts w:cs="Arial"/>
          <w:sz w:val="22"/>
          <w:szCs w:val="22"/>
        </w:rPr>
        <w:t>t se till att återställa</w:t>
      </w:r>
      <w:r w:rsidRPr="00BF0030">
        <w:rPr>
          <w:rStyle w:val="longtext1"/>
          <w:rFonts w:cs="Arial"/>
          <w:sz w:val="22"/>
          <w:szCs w:val="22"/>
        </w:rPr>
        <w:t xml:space="preserve"> blodflödet till hjärtmuskeln </w:t>
      </w:r>
      <w:r>
        <w:rPr>
          <w:rStyle w:val="longtext1"/>
          <w:rFonts w:cs="Arial"/>
          <w:sz w:val="22"/>
          <w:szCs w:val="22"/>
        </w:rPr>
        <w:t>och därefter minska risken för ytterligare blodproppar.</w:t>
      </w:r>
      <w:r w:rsidR="00DE5E62">
        <w:rPr>
          <w:rStyle w:val="longtext1"/>
          <w:rFonts w:cs="Arial"/>
          <w:sz w:val="22"/>
          <w:szCs w:val="22"/>
        </w:rPr>
        <w:t xml:space="preserve"> </w:t>
      </w:r>
    </w:p>
    <w:p w:rsidR="0006307C" w:rsidRDefault="0006307C" w:rsidP="0006307C">
      <w:pPr>
        <w:rPr>
          <w:rFonts w:cs="Arial"/>
          <w:szCs w:val="22"/>
        </w:rPr>
      </w:pPr>
      <w:r w:rsidRPr="00BF0030">
        <w:rPr>
          <w:rStyle w:val="longtext1"/>
          <w:rFonts w:cs="Arial"/>
          <w:sz w:val="22"/>
          <w:szCs w:val="22"/>
        </w:rPr>
        <w:t>Beroende på svårighetsgraden av</w:t>
      </w:r>
      <w:r>
        <w:rPr>
          <w:rStyle w:val="longtext1"/>
          <w:rFonts w:cs="Arial"/>
          <w:sz w:val="22"/>
          <w:szCs w:val="22"/>
        </w:rPr>
        <w:t xml:space="preserve"> händelsen behandlas en ACS patient i det akuta skedet antingen genom invasiva ingrepp (mekan</w:t>
      </w:r>
      <w:r w:rsidR="00563097">
        <w:rPr>
          <w:rStyle w:val="longtext1"/>
          <w:rFonts w:cs="Arial"/>
          <w:sz w:val="22"/>
          <w:szCs w:val="22"/>
        </w:rPr>
        <w:t xml:space="preserve">iska ingrepp, se nedan) </w:t>
      </w:r>
      <w:r>
        <w:rPr>
          <w:rStyle w:val="longtext1"/>
          <w:rFonts w:cs="Arial"/>
          <w:sz w:val="22"/>
          <w:szCs w:val="22"/>
        </w:rPr>
        <w:t xml:space="preserve">eller </w:t>
      </w:r>
      <w:r w:rsidR="00563097">
        <w:rPr>
          <w:rStyle w:val="longtext1"/>
          <w:rFonts w:cs="Arial"/>
          <w:sz w:val="22"/>
          <w:szCs w:val="22"/>
        </w:rPr>
        <w:t xml:space="preserve">enbart </w:t>
      </w:r>
      <w:r>
        <w:rPr>
          <w:rStyle w:val="longtext1"/>
          <w:rFonts w:cs="Arial"/>
          <w:sz w:val="22"/>
          <w:szCs w:val="22"/>
        </w:rPr>
        <w:t>med</w:t>
      </w:r>
      <w:r w:rsidRPr="00BF0030">
        <w:rPr>
          <w:rStyle w:val="longtext1"/>
          <w:rFonts w:cs="Arial"/>
          <w:sz w:val="22"/>
          <w:szCs w:val="22"/>
        </w:rPr>
        <w:t xml:space="preserve"> receptbelagda läkemedel</w:t>
      </w:r>
      <w:r w:rsidR="00563097">
        <w:rPr>
          <w:rStyle w:val="longtext1"/>
          <w:rFonts w:cs="Arial"/>
          <w:sz w:val="22"/>
          <w:szCs w:val="22"/>
        </w:rPr>
        <w:t xml:space="preserve"> </w:t>
      </w:r>
      <w:r w:rsidRPr="00BF0030">
        <w:rPr>
          <w:rStyle w:val="longtext1"/>
          <w:rFonts w:cs="Arial"/>
          <w:sz w:val="22"/>
          <w:szCs w:val="22"/>
        </w:rPr>
        <w:t xml:space="preserve">för att minska </w:t>
      </w:r>
      <w:r>
        <w:rPr>
          <w:rStyle w:val="longtext1"/>
          <w:rFonts w:cs="Arial"/>
          <w:sz w:val="22"/>
          <w:szCs w:val="22"/>
        </w:rPr>
        <w:t>de akuta skadorna</w:t>
      </w:r>
      <w:r w:rsidRPr="00BF0030">
        <w:rPr>
          <w:rStyle w:val="longtext1"/>
          <w:rFonts w:cs="Arial"/>
          <w:sz w:val="22"/>
          <w:szCs w:val="22"/>
        </w:rPr>
        <w:t xml:space="preserve">. </w:t>
      </w:r>
      <w:r>
        <w:rPr>
          <w:rStyle w:val="longtext1"/>
          <w:rFonts w:cs="Arial"/>
          <w:sz w:val="22"/>
          <w:szCs w:val="22"/>
        </w:rPr>
        <w:t>Patienter med STEMI kan få så kallad trombolys (</w:t>
      </w:r>
      <w:r w:rsidR="00563097">
        <w:rPr>
          <w:rStyle w:val="longtext1"/>
          <w:rFonts w:cs="Arial"/>
          <w:sz w:val="22"/>
          <w:szCs w:val="22"/>
        </w:rPr>
        <w:t xml:space="preserve">farmakologisk </w:t>
      </w:r>
      <w:r>
        <w:rPr>
          <w:rStyle w:val="longtext1"/>
          <w:rFonts w:cs="Arial"/>
          <w:sz w:val="22"/>
          <w:szCs w:val="22"/>
        </w:rPr>
        <w:t xml:space="preserve">behandling som snabbt löser upp blodproppar och därigenom gör blodet mer lättflytande) om </w:t>
      </w:r>
      <w:r w:rsidR="00563097">
        <w:rPr>
          <w:rStyle w:val="longtext1"/>
          <w:rFonts w:cs="Arial"/>
          <w:sz w:val="22"/>
          <w:szCs w:val="22"/>
        </w:rPr>
        <w:t>de inte är aktuella för invasiva</w:t>
      </w:r>
      <w:r>
        <w:rPr>
          <w:rStyle w:val="longtext1"/>
          <w:rFonts w:cs="Arial"/>
          <w:sz w:val="22"/>
          <w:szCs w:val="22"/>
        </w:rPr>
        <w:t xml:space="preserve"> akut</w:t>
      </w:r>
      <w:r w:rsidR="00563097">
        <w:rPr>
          <w:rStyle w:val="longtext1"/>
          <w:rFonts w:cs="Arial"/>
          <w:sz w:val="22"/>
          <w:szCs w:val="22"/>
        </w:rPr>
        <w:t>a</w:t>
      </w:r>
      <w:r>
        <w:rPr>
          <w:rStyle w:val="longtext1"/>
          <w:rFonts w:cs="Arial"/>
          <w:sz w:val="22"/>
          <w:szCs w:val="22"/>
        </w:rPr>
        <w:t xml:space="preserve"> ingrepp. </w:t>
      </w:r>
      <w:r w:rsidRPr="00BF0030">
        <w:rPr>
          <w:rFonts w:cs="Arial"/>
          <w:szCs w:val="22"/>
        </w:rPr>
        <w:br/>
      </w:r>
      <w:r w:rsidRPr="00BF0030">
        <w:rPr>
          <w:rFonts w:cs="Arial"/>
          <w:szCs w:val="22"/>
        </w:rPr>
        <w:br/>
      </w:r>
      <w:r w:rsidRPr="00BE59E1">
        <w:rPr>
          <w:rStyle w:val="TitleChar"/>
          <w:b w:val="0"/>
          <w:lang w:val="sv-SE"/>
        </w:rPr>
        <w:t>Invasiva ingrepp</w:t>
      </w:r>
      <w:r w:rsidRPr="00BF0030">
        <w:rPr>
          <w:rStyle w:val="longtext1"/>
          <w:rFonts w:cs="Arial"/>
          <w:sz w:val="22"/>
          <w:szCs w:val="22"/>
        </w:rPr>
        <w:t xml:space="preserve"> </w:t>
      </w:r>
      <w:r w:rsidRPr="00BF0030">
        <w:rPr>
          <w:rFonts w:cs="Arial"/>
          <w:szCs w:val="22"/>
        </w:rPr>
        <w:br/>
      </w:r>
      <w:r>
        <w:rPr>
          <w:rStyle w:val="longtext1"/>
          <w:rFonts w:cs="Arial"/>
          <w:sz w:val="22"/>
          <w:szCs w:val="22"/>
        </w:rPr>
        <w:t>De vanligaste ingreppen är så kallad</w:t>
      </w:r>
      <w:r w:rsidRPr="00BF0030">
        <w:rPr>
          <w:rStyle w:val="longtext1"/>
          <w:rFonts w:cs="Arial"/>
          <w:sz w:val="22"/>
          <w:szCs w:val="22"/>
        </w:rPr>
        <w:t xml:space="preserve"> perkutan koronar intervention (PCI), </w:t>
      </w:r>
      <w:r>
        <w:rPr>
          <w:rStyle w:val="longtext1"/>
          <w:rFonts w:cs="Arial"/>
          <w:sz w:val="22"/>
          <w:szCs w:val="22"/>
        </w:rPr>
        <w:t>där man</w:t>
      </w:r>
      <w:r w:rsidRPr="00BF0030">
        <w:rPr>
          <w:rStyle w:val="longtext1"/>
          <w:rFonts w:cs="Arial"/>
          <w:sz w:val="22"/>
          <w:szCs w:val="22"/>
        </w:rPr>
        <w:t xml:space="preserve"> öppna</w:t>
      </w:r>
      <w:r>
        <w:rPr>
          <w:rStyle w:val="longtext1"/>
          <w:rFonts w:cs="Arial"/>
          <w:sz w:val="22"/>
          <w:szCs w:val="22"/>
        </w:rPr>
        <w:t>r</w:t>
      </w:r>
      <w:r w:rsidRPr="00BF0030">
        <w:rPr>
          <w:rStyle w:val="longtext1"/>
          <w:rFonts w:cs="Arial"/>
          <w:sz w:val="22"/>
          <w:szCs w:val="22"/>
        </w:rPr>
        <w:t xml:space="preserve"> befintliga blockerade </w:t>
      </w:r>
      <w:r>
        <w:rPr>
          <w:rStyle w:val="longtext1"/>
          <w:rFonts w:cs="Arial"/>
          <w:sz w:val="22"/>
          <w:szCs w:val="22"/>
        </w:rPr>
        <w:t>kranskärl</w:t>
      </w:r>
      <w:r w:rsidRPr="00BF0030">
        <w:rPr>
          <w:rStyle w:val="longtext1"/>
          <w:rFonts w:cs="Arial"/>
          <w:sz w:val="22"/>
          <w:szCs w:val="22"/>
        </w:rPr>
        <w:t xml:space="preserve"> (äve</w:t>
      </w:r>
      <w:r>
        <w:rPr>
          <w:rStyle w:val="longtext1"/>
          <w:rFonts w:cs="Arial"/>
          <w:sz w:val="22"/>
          <w:szCs w:val="22"/>
        </w:rPr>
        <w:t>n känt</w:t>
      </w:r>
      <w:r w:rsidRPr="00BF0030">
        <w:rPr>
          <w:rStyle w:val="longtext1"/>
          <w:rFonts w:cs="Arial"/>
          <w:sz w:val="22"/>
          <w:szCs w:val="22"/>
        </w:rPr>
        <w:t xml:space="preserve"> som angioplastik</w:t>
      </w:r>
      <w:r>
        <w:rPr>
          <w:rStyle w:val="longtext1"/>
          <w:rFonts w:cs="Arial"/>
          <w:sz w:val="22"/>
          <w:szCs w:val="22"/>
        </w:rPr>
        <w:t xml:space="preserve"> eller ballongvidgning). Under detta förfarande förs e</w:t>
      </w:r>
      <w:r w:rsidR="005967EE">
        <w:rPr>
          <w:rStyle w:val="longtext1"/>
          <w:rFonts w:cs="Arial"/>
          <w:sz w:val="22"/>
          <w:szCs w:val="22"/>
        </w:rPr>
        <w:t>n tunn slang (kateter) med en uppblåsbar ballong på spetsen in i det tilltäppta kärlet och blåses upp varpå förträngningen försvinner. Oftast lämnas ett s</w:t>
      </w:r>
      <w:r w:rsidR="00A44E8D">
        <w:rPr>
          <w:rStyle w:val="longtext1"/>
          <w:rFonts w:cs="Arial"/>
          <w:sz w:val="22"/>
          <w:szCs w:val="22"/>
        </w:rPr>
        <w:t>.</w:t>
      </w:r>
      <w:r w:rsidR="005967EE">
        <w:rPr>
          <w:rStyle w:val="longtext1"/>
          <w:rFonts w:cs="Arial"/>
          <w:sz w:val="22"/>
          <w:szCs w:val="22"/>
        </w:rPr>
        <w:t>k</w:t>
      </w:r>
      <w:r w:rsidR="00A44E8D">
        <w:rPr>
          <w:rStyle w:val="longtext1"/>
          <w:rFonts w:cs="Arial"/>
          <w:sz w:val="22"/>
          <w:szCs w:val="22"/>
        </w:rPr>
        <w:t>.</w:t>
      </w:r>
      <w:r w:rsidR="005967EE">
        <w:rPr>
          <w:rStyle w:val="longtext1"/>
          <w:rFonts w:cs="Arial"/>
          <w:sz w:val="22"/>
          <w:szCs w:val="22"/>
        </w:rPr>
        <w:t xml:space="preserve"> </w:t>
      </w:r>
      <w:proofErr w:type="spellStart"/>
      <w:r w:rsidR="005967EE">
        <w:rPr>
          <w:rStyle w:val="longtext1"/>
          <w:rFonts w:cs="Arial"/>
          <w:sz w:val="22"/>
          <w:szCs w:val="22"/>
        </w:rPr>
        <w:t>stent</w:t>
      </w:r>
      <w:proofErr w:type="spellEnd"/>
      <w:r w:rsidRPr="00BF0030">
        <w:rPr>
          <w:rStyle w:val="longtext1"/>
          <w:rFonts w:cs="Arial"/>
          <w:sz w:val="22"/>
          <w:szCs w:val="22"/>
        </w:rPr>
        <w:t xml:space="preserve"> (ett rör, vanl</w:t>
      </w:r>
      <w:r>
        <w:rPr>
          <w:rStyle w:val="longtext1"/>
          <w:rFonts w:cs="Arial"/>
          <w:sz w:val="22"/>
          <w:szCs w:val="22"/>
        </w:rPr>
        <w:t xml:space="preserve">igtvis ett metallnät) </w:t>
      </w:r>
      <w:r w:rsidR="005967EE">
        <w:rPr>
          <w:rStyle w:val="longtext1"/>
          <w:rFonts w:cs="Arial"/>
          <w:sz w:val="22"/>
          <w:szCs w:val="22"/>
        </w:rPr>
        <w:t>kvar</w:t>
      </w:r>
      <w:r>
        <w:rPr>
          <w:rStyle w:val="longtext1"/>
          <w:rFonts w:cs="Arial"/>
          <w:sz w:val="22"/>
          <w:szCs w:val="22"/>
        </w:rPr>
        <w:t xml:space="preserve"> för att hålla de drabbade kärlen</w:t>
      </w:r>
      <w:r w:rsidRPr="00BF0030">
        <w:rPr>
          <w:rStyle w:val="longtext1"/>
          <w:rFonts w:cs="Arial"/>
          <w:sz w:val="22"/>
          <w:szCs w:val="22"/>
        </w:rPr>
        <w:t xml:space="preserve"> öppna. Alternativt k</w:t>
      </w:r>
      <w:r>
        <w:rPr>
          <w:rStyle w:val="longtext1"/>
          <w:rFonts w:cs="Arial"/>
          <w:sz w:val="22"/>
          <w:szCs w:val="22"/>
        </w:rPr>
        <w:t>an patienten få genomgå en</w:t>
      </w:r>
      <w:r w:rsidRPr="00BF0030">
        <w:rPr>
          <w:rStyle w:val="longtext1"/>
          <w:rFonts w:cs="Arial"/>
          <w:sz w:val="22"/>
          <w:szCs w:val="22"/>
        </w:rPr>
        <w:t xml:space="preserve"> bypass</w:t>
      </w:r>
      <w:r>
        <w:rPr>
          <w:rStyle w:val="longtext1"/>
          <w:rFonts w:cs="Arial"/>
          <w:sz w:val="22"/>
          <w:szCs w:val="22"/>
        </w:rPr>
        <w:t>operation</w:t>
      </w:r>
      <w:r w:rsidRPr="00BF0030">
        <w:rPr>
          <w:rStyle w:val="longtext1"/>
          <w:rFonts w:cs="Arial"/>
          <w:sz w:val="22"/>
          <w:szCs w:val="22"/>
        </w:rPr>
        <w:t>,</w:t>
      </w:r>
      <w:r>
        <w:rPr>
          <w:rStyle w:val="longtext1"/>
          <w:rFonts w:cs="Arial"/>
          <w:sz w:val="22"/>
          <w:szCs w:val="22"/>
        </w:rPr>
        <w:t xml:space="preserve"> vilket innebär att man </w:t>
      </w:r>
      <w:r w:rsidR="005967EE">
        <w:rPr>
          <w:rStyle w:val="longtext1"/>
          <w:rFonts w:cs="Arial"/>
          <w:sz w:val="22"/>
          <w:szCs w:val="22"/>
        </w:rPr>
        <w:t>syr in nya blodkärl runt det tilltäppta</w:t>
      </w:r>
      <w:r>
        <w:rPr>
          <w:rStyle w:val="longtext1"/>
          <w:rFonts w:cs="Arial"/>
          <w:sz w:val="22"/>
          <w:szCs w:val="22"/>
        </w:rPr>
        <w:t xml:space="preserve"> </w:t>
      </w:r>
      <w:proofErr w:type="gramStart"/>
      <w:r>
        <w:rPr>
          <w:rStyle w:val="longtext1"/>
          <w:rFonts w:cs="Arial"/>
          <w:sz w:val="22"/>
          <w:szCs w:val="22"/>
        </w:rPr>
        <w:t xml:space="preserve">blodkärlet </w:t>
      </w:r>
      <w:r w:rsidRPr="00BF0030">
        <w:rPr>
          <w:rStyle w:val="longtext1"/>
          <w:rFonts w:cs="Arial"/>
          <w:sz w:val="22"/>
          <w:szCs w:val="22"/>
        </w:rPr>
        <w:t xml:space="preserve"> så</w:t>
      </w:r>
      <w:proofErr w:type="gramEnd"/>
      <w:r w:rsidRPr="00BF0030">
        <w:rPr>
          <w:rStyle w:val="longtext1"/>
          <w:rFonts w:cs="Arial"/>
          <w:sz w:val="22"/>
          <w:szCs w:val="22"/>
        </w:rPr>
        <w:t xml:space="preserve"> att blodet kan nå </w:t>
      </w:r>
      <w:r>
        <w:rPr>
          <w:rStyle w:val="longtext1"/>
          <w:rFonts w:cs="Arial"/>
          <w:sz w:val="22"/>
          <w:szCs w:val="22"/>
        </w:rPr>
        <w:t>alla delar av hjärtmuskeln</w:t>
      </w:r>
      <w:r w:rsidRPr="00BF0030">
        <w:rPr>
          <w:rStyle w:val="longtext1"/>
          <w:rFonts w:cs="Arial"/>
          <w:sz w:val="22"/>
          <w:szCs w:val="22"/>
        </w:rPr>
        <w:t>.</w:t>
      </w:r>
      <w:r w:rsidRPr="002537DA">
        <w:rPr>
          <w:rStyle w:val="longtext1"/>
          <w:rFonts w:cs="Arial"/>
          <w:b/>
          <w:sz w:val="22"/>
          <w:szCs w:val="22"/>
          <w:highlight w:val="cyan"/>
        </w:rPr>
        <w:t xml:space="preserve"> </w:t>
      </w:r>
      <w:r w:rsidRPr="00BF0030">
        <w:rPr>
          <w:rFonts w:cs="Arial"/>
          <w:szCs w:val="22"/>
        </w:rPr>
        <w:br/>
      </w:r>
      <w:r w:rsidRPr="00BF0030">
        <w:rPr>
          <w:rFonts w:cs="Arial"/>
          <w:szCs w:val="22"/>
        </w:rPr>
        <w:br/>
      </w:r>
      <w:r w:rsidRPr="00BE59E1">
        <w:rPr>
          <w:rStyle w:val="TitleChar"/>
          <w:b w:val="0"/>
          <w:lang w:val="sv-SE"/>
        </w:rPr>
        <w:t>Farmakologisk behandling</w:t>
      </w:r>
      <w:r w:rsidRPr="00CD45B3">
        <w:rPr>
          <w:rStyle w:val="longtext1"/>
          <w:rFonts w:cs="Arial"/>
          <w:b/>
          <w:sz w:val="22"/>
          <w:szCs w:val="22"/>
        </w:rPr>
        <w:t xml:space="preserve"> </w:t>
      </w:r>
    </w:p>
    <w:p w:rsidR="0006307C" w:rsidRDefault="0006307C" w:rsidP="0006307C">
      <w:pPr>
        <w:rPr>
          <w:rStyle w:val="longtext1"/>
          <w:rFonts w:cs="Arial"/>
          <w:sz w:val="22"/>
          <w:szCs w:val="22"/>
        </w:rPr>
      </w:pPr>
      <w:r>
        <w:rPr>
          <w:rStyle w:val="longtext1"/>
          <w:rFonts w:cs="Arial"/>
          <w:sz w:val="22"/>
          <w:szCs w:val="22"/>
        </w:rPr>
        <w:t xml:space="preserve">I det akuta omhändertagandet </w:t>
      </w:r>
      <w:r w:rsidR="00850B25">
        <w:rPr>
          <w:rStyle w:val="longtext1"/>
          <w:rFonts w:cs="Arial"/>
          <w:sz w:val="22"/>
          <w:szCs w:val="22"/>
        </w:rPr>
        <w:t>finns</w:t>
      </w:r>
      <w:r>
        <w:rPr>
          <w:rStyle w:val="longtext1"/>
          <w:rFonts w:cs="Arial"/>
          <w:sz w:val="22"/>
          <w:szCs w:val="22"/>
        </w:rPr>
        <w:t xml:space="preserve"> </w:t>
      </w:r>
      <w:r w:rsidR="00850B25">
        <w:rPr>
          <w:rStyle w:val="longtext1"/>
          <w:rFonts w:cs="Arial"/>
          <w:sz w:val="22"/>
          <w:szCs w:val="22"/>
        </w:rPr>
        <w:t>fem komponenter att tillgå -  SATSA:</w:t>
      </w:r>
    </w:p>
    <w:p w:rsidR="0006307C" w:rsidRDefault="0006307C" w:rsidP="0006307C">
      <w:pPr>
        <w:rPr>
          <w:rStyle w:val="longtext1"/>
          <w:rFonts w:cs="Arial"/>
          <w:sz w:val="22"/>
          <w:szCs w:val="22"/>
        </w:rPr>
      </w:pPr>
    </w:p>
    <w:p w:rsidR="00850B25" w:rsidRPr="00850B25" w:rsidRDefault="00850B25" w:rsidP="0006307C">
      <w:pPr>
        <w:rPr>
          <w:rStyle w:val="longtext1"/>
          <w:rFonts w:cs="Arial"/>
          <w:sz w:val="22"/>
          <w:szCs w:val="22"/>
        </w:rPr>
      </w:pPr>
      <w:r w:rsidRPr="00850B25">
        <w:rPr>
          <w:rStyle w:val="longtext1"/>
          <w:rFonts w:cs="Arial"/>
          <w:b/>
          <w:sz w:val="22"/>
          <w:szCs w:val="22"/>
        </w:rPr>
        <w:t>S</w:t>
      </w:r>
      <w:r w:rsidRPr="00850B25">
        <w:rPr>
          <w:rStyle w:val="longtext1"/>
          <w:rFonts w:cs="Arial"/>
          <w:sz w:val="22"/>
          <w:szCs w:val="22"/>
        </w:rPr>
        <w:t>märtlindring</w:t>
      </w:r>
      <w:r>
        <w:rPr>
          <w:rStyle w:val="longtext1"/>
          <w:rFonts w:cs="Arial"/>
          <w:sz w:val="22"/>
          <w:szCs w:val="22"/>
        </w:rPr>
        <w:t xml:space="preserve"> (morfin, syrgas, sedativa mm)</w:t>
      </w:r>
    </w:p>
    <w:p w:rsidR="0006307C" w:rsidRDefault="00850B25" w:rsidP="0006307C">
      <w:pPr>
        <w:rPr>
          <w:rStyle w:val="longtext1"/>
          <w:rFonts w:cs="Arial"/>
          <w:sz w:val="22"/>
          <w:szCs w:val="22"/>
        </w:rPr>
      </w:pPr>
      <w:r w:rsidRPr="00850B25">
        <w:rPr>
          <w:rStyle w:val="longtext1"/>
          <w:rFonts w:cs="Arial"/>
          <w:b/>
          <w:sz w:val="22"/>
          <w:szCs w:val="22"/>
        </w:rPr>
        <w:t>A</w:t>
      </w:r>
      <w:r w:rsidRPr="00850B25">
        <w:rPr>
          <w:rStyle w:val="longtext1"/>
          <w:rFonts w:cs="Arial"/>
          <w:sz w:val="22"/>
          <w:szCs w:val="22"/>
        </w:rPr>
        <w:t>ntiischemisk behandling</w:t>
      </w:r>
      <w:r>
        <w:rPr>
          <w:rStyle w:val="longtext1"/>
          <w:rFonts w:cs="Arial"/>
          <w:sz w:val="22"/>
          <w:szCs w:val="22"/>
        </w:rPr>
        <w:t xml:space="preserve"> (betablockad, nitrater mm)</w:t>
      </w:r>
    </w:p>
    <w:p w:rsidR="00850B25" w:rsidRDefault="00850B25" w:rsidP="0006307C">
      <w:pPr>
        <w:rPr>
          <w:rStyle w:val="longtext1"/>
          <w:rFonts w:cs="Arial"/>
          <w:sz w:val="22"/>
          <w:szCs w:val="22"/>
        </w:rPr>
      </w:pPr>
      <w:proofErr w:type="spellStart"/>
      <w:r w:rsidRPr="00850B25">
        <w:rPr>
          <w:rStyle w:val="longtext1"/>
          <w:rFonts w:cs="Arial"/>
          <w:b/>
          <w:sz w:val="22"/>
          <w:szCs w:val="22"/>
        </w:rPr>
        <w:t>T</w:t>
      </w:r>
      <w:r>
        <w:rPr>
          <w:rStyle w:val="longtext1"/>
          <w:rFonts w:cs="Arial"/>
          <w:sz w:val="22"/>
          <w:szCs w:val="22"/>
        </w:rPr>
        <w:t>rombosbehandling</w:t>
      </w:r>
      <w:proofErr w:type="spellEnd"/>
      <w:r>
        <w:rPr>
          <w:rStyle w:val="longtext1"/>
          <w:rFonts w:cs="Arial"/>
          <w:sz w:val="22"/>
          <w:szCs w:val="22"/>
        </w:rPr>
        <w:t xml:space="preserve"> (ASA</w:t>
      </w:r>
      <w:r w:rsidR="00D676CA">
        <w:rPr>
          <w:rStyle w:val="longtext1"/>
          <w:rFonts w:cs="Arial"/>
          <w:sz w:val="22"/>
          <w:szCs w:val="22"/>
        </w:rPr>
        <w:t xml:space="preserve"> (</w:t>
      </w:r>
      <w:proofErr w:type="spellStart"/>
      <w:r w:rsidR="00D676CA">
        <w:rPr>
          <w:rStyle w:val="longtext1"/>
          <w:rFonts w:cs="Arial"/>
          <w:sz w:val="22"/>
          <w:szCs w:val="22"/>
        </w:rPr>
        <w:t>a</w:t>
      </w:r>
      <w:r w:rsidR="00C7600A">
        <w:rPr>
          <w:rStyle w:val="longtext1"/>
          <w:rFonts w:cs="Arial"/>
          <w:sz w:val="22"/>
          <w:szCs w:val="22"/>
        </w:rPr>
        <w:t>c</w:t>
      </w:r>
      <w:r w:rsidR="00D676CA">
        <w:rPr>
          <w:rStyle w:val="longtext1"/>
          <w:rFonts w:cs="Arial"/>
          <w:sz w:val="22"/>
          <w:szCs w:val="22"/>
        </w:rPr>
        <w:t>etylsalisylsyra</w:t>
      </w:r>
      <w:proofErr w:type="spellEnd"/>
      <w:r w:rsidR="00D676CA">
        <w:rPr>
          <w:rStyle w:val="longtext1"/>
          <w:rFonts w:cs="Arial"/>
          <w:sz w:val="22"/>
          <w:szCs w:val="22"/>
        </w:rPr>
        <w:t xml:space="preserve">), </w:t>
      </w:r>
      <w:proofErr w:type="spellStart"/>
      <w:r w:rsidR="00D676CA">
        <w:rPr>
          <w:rStyle w:val="longtext1"/>
          <w:rFonts w:cs="Arial"/>
          <w:sz w:val="22"/>
          <w:szCs w:val="22"/>
        </w:rPr>
        <w:t>P</w:t>
      </w:r>
      <w:r>
        <w:rPr>
          <w:rStyle w:val="longtext1"/>
          <w:rFonts w:cs="Arial"/>
          <w:sz w:val="22"/>
          <w:szCs w:val="22"/>
        </w:rPr>
        <w:t>l</w:t>
      </w:r>
      <w:r w:rsidR="00D676CA">
        <w:rPr>
          <w:rStyle w:val="longtext1"/>
          <w:rFonts w:cs="Arial"/>
          <w:sz w:val="22"/>
          <w:szCs w:val="22"/>
        </w:rPr>
        <w:t>avix</w:t>
      </w:r>
      <w:proofErr w:type="spellEnd"/>
      <w:r w:rsidR="00D676CA">
        <w:rPr>
          <w:rStyle w:val="longtext1"/>
          <w:rFonts w:cs="Arial"/>
          <w:sz w:val="22"/>
          <w:szCs w:val="22"/>
        </w:rPr>
        <w:t>, H</w:t>
      </w:r>
      <w:r w:rsidR="006D5D4D">
        <w:rPr>
          <w:rStyle w:val="longtext1"/>
          <w:rFonts w:cs="Arial"/>
          <w:sz w:val="22"/>
          <w:szCs w:val="22"/>
        </w:rPr>
        <w:t>e</w:t>
      </w:r>
      <w:r>
        <w:rPr>
          <w:rStyle w:val="longtext1"/>
          <w:rFonts w:cs="Arial"/>
          <w:sz w:val="22"/>
          <w:szCs w:val="22"/>
        </w:rPr>
        <w:t xml:space="preserve">parin, </w:t>
      </w:r>
      <w:proofErr w:type="spellStart"/>
      <w:r>
        <w:rPr>
          <w:rStyle w:val="longtext1"/>
          <w:rFonts w:cs="Arial"/>
          <w:sz w:val="22"/>
          <w:szCs w:val="22"/>
        </w:rPr>
        <w:t>lmw-heparin</w:t>
      </w:r>
      <w:proofErr w:type="spellEnd"/>
      <w:r>
        <w:rPr>
          <w:rStyle w:val="longtext1"/>
          <w:rFonts w:cs="Arial"/>
          <w:sz w:val="22"/>
          <w:szCs w:val="22"/>
        </w:rPr>
        <w:t>, fibrinogenreceptorblockad, trombolys)</w:t>
      </w:r>
    </w:p>
    <w:p w:rsidR="00850B25" w:rsidRDefault="00850B25" w:rsidP="0006307C">
      <w:pPr>
        <w:rPr>
          <w:rStyle w:val="longtext1"/>
          <w:rFonts w:cs="Arial"/>
          <w:sz w:val="22"/>
          <w:szCs w:val="22"/>
        </w:rPr>
      </w:pPr>
      <w:r w:rsidRPr="00850B25">
        <w:rPr>
          <w:rStyle w:val="longtext1"/>
          <w:rFonts w:cs="Arial"/>
          <w:b/>
          <w:sz w:val="22"/>
          <w:szCs w:val="22"/>
        </w:rPr>
        <w:t>S</w:t>
      </w:r>
      <w:r>
        <w:rPr>
          <w:rStyle w:val="longtext1"/>
          <w:rFonts w:cs="Arial"/>
          <w:sz w:val="22"/>
          <w:szCs w:val="22"/>
        </w:rPr>
        <w:t>viktbehandling (diuretika, nitrater, ACE hämmare)</w:t>
      </w:r>
    </w:p>
    <w:p w:rsidR="00850B25" w:rsidRPr="00850B25" w:rsidRDefault="00850B25" w:rsidP="0006307C">
      <w:pPr>
        <w:rPr>
          <w:rStyle w:val="longtext1"/>
          <w:rFonts w:cs="Arial"/>
          <w:sz w:val="22"/>
          <w:szCs w:val="22"/>
        </w:rPr>
      </w:pPr>
      <w:r w:rsidRPr="00850B25">
        <w:rPr>
          <w:rStyle w:val="longtext1"/>
          <w:rFonts w:cs="Arial"/>
          <w:b/>
          <w:sz w:val="22"/>
          <w:szCs w:val="22"/>
        </w:rPr>
        <w:t>A</w:t>
      </w:r>
      <w:r>
        <w:rPr>
          <w:rStyle w:val="longtext1"/>
          <w:rFonts w:cs="Arial"/>
          <w:sz w:val="22"/>
          <w:szCs w:val="22"/>
        </w:rPr>
        <w:t>rytmibehandling (defibrillering</w:t>
      </w:r>
      <w:r w:rsidR="00C7600A">
        <w:rPr>
          <w:rStyle w:val="longtext1"/>
          <w:rFonts w:cs="Arial"/>
          <w:sz w:val="22"/>
          <w:szCs w:val="22"/>
        </w:rPr>
        <w:t>, antiarytmika</w:t>
      </w:r>
      <w:r>
        <w:rPr>
          <w:rStyle w:val="longtext1"/>
          <w:rFonts w:cs="Arial"/>
          <w:sz w:val="22"/>
          <w:szCs w:val="22"/>
        </w:rPr>
        <w:t>)</w:t>
      </w:r>
    </w:p>
    <w:p w:rsidR="0006307C" w:rsidRDefault="0006307C" w:rsidP="00850B25">
      <w:pPr>
        <w:rPr>
          <w:rStyle w:val="CommentReference"/>
          <w:rFonts w:cs="Arial"/>
          <w:sz w:val="22"/>
          <w:szCs w:val="22"/>
        </w:rPr>
      </w:pPr>
      <w:r w:rsidRPr="00BF0030">
        <w:rPr>
          <w:rFonts w:cs="Arial"/>
          <w:szCs w:val="22"/>
        </w:rPr>
        <w:t xml:space="preserve"> </w:t>
      </w:r>
      <w:r w:rsidRPr="00BF0030">
        <w:rPr>
          <w:rFonts w:cs="Arial"/>
          <w:szCs w:val="22"/>
        </w:rPr>
        <w:br/>
      </w:r>
      <w:proofErr w:type="spellStart"/>
      <w:r w:rsidR="00563097">
        <w:rPr>
          <w:rStyle w:val="CommentReference"/>
          <w:rFonts w:cs="Arial"/>
          <w:sz w:val="22"/>
          <w:szCs w:val="22"/>
        </w:rPr>
        <w:t>Trombolys</w:t>
      </w:r>
      <w:proofErr w:type="spellEnd"/>
      <w:r w:rsidR="00563097">
        <w:rPr>
          <w:rStyle w:val="CommentReference"/>
          <w:rFonts w:cs="Arial"/>
          <w:sz w:val="22"/>
          <w:szCs w:val="22"/>
        </w:rPr>
        <w:t xml:space="preserve"> är en behandling som kan ges om patienten</w:t>
      </w:r>
      <w:r w:rsidR="00C7600A">
        <w:rPr>
          <w:rStyle w:val="CommentReference"/>
          <w:rFonts w:cs="Arial"/>
          <w:sz w:val="22"/>
          <w:szCs w:val="22"/>
        </w:rPr>
        <w:t xml:space="preserve"> inte kan åtgärdas med PCI eller bypassoperation samt </w:t>
      </w:r>
      <w:r w:rsidR="00563097">
        <w:rPr>
          <w:rStyle w:val="CommentReference"/>
          <w:rFonts w:cs="Arial"/>
          <w:sz w:val="22"/>
          <w:szCs w:val="22"/>
        </w:rPr>
        <w:t xml:space="preserve">uppfyller ett antal kriterier samt att händelsen inträffat inom ett inte allt för långt tidsspann. </w:t>
      </w:r>
    </w:p>
    <w:p w:rsidR="0006307C" w:rsidRDefault="0006307C" w:rsidP="0006307C">
      <w:pPr>
        <w:jc w:val="both"/>
        <w:rPr>
          <w:rStyle w:val="CommentReference"/>
          <w:rFonts w:cs="Arial"/>
          <w:sz w:val="22"/>
          <w:szCs w:val="22"/>
        </w:rPr>
      </w:pPr>
    </w:p>
    <w:p w:rsidR="00563097" w:rsidRDefault="00563097" w:rsidP="0006307C">
      <w:pPr>
        <w:jc w:val="both"/>
        <w:rPr>
          <w:rStyle w:val="CommentReference"/>
          <w:rFonts w:cs="Arial"/>
          <w:b/>
          <w:i/>
          <w:sz w:val="22"/>
          <w:szCs w:val="22"/>
        </w:rPr>
      </w:pPr>
      <w:r w:rsidRPr="00563097">
        <w:rPr>
          <w:rStyle w:val="CommentReference"/>
          <w:rFonts w:cs="Arial"/>
          <w:b/>
          <w:i/>
          <w:sz w:val="22"/>
          <w:szCs w:val="22"/>
        </w:rPr>
        <w:t>I det mer långsiktiga perspektivet</w:t>
      </w:r>
    </w:p>
    <w:p w:rsidR="00563097" w:rsidRPr="00563097" w:rsidRDefault="00563097" w:rsidP="0006307C">
      <w:pPr>
        <w:jc w:val="both"/>
        <w:rPr>
          <w:rStyle w:val="CommentReference"/>
          <w:rFonts w:cs="Arial"/>
          <w:b/>
          <w:i/>
          <w:sz w:val="22"/>
          <w:szCs w:val="22"/>
        </w:rPr>
      </w:pPr>
    </w:p>
    <w:p w:rsidR="00563097" w:rsidRDefault="00563097" w:rsidP="0006307C">
      <w:pPr>
        <w:jc w:val="both"/>
        <w:rPr>
          <w:rStyle w:val="CommentReference"/>
          <w:rFonts w:cs="Arial"/>
          <w:sz w:val="22"/>
          <w:szCs w:val="22"/>
        </w:rPr>
      </w:pPr>
      <w:r w:rsidRPr="00BE59E1">
        <w:rPr>
          <w:rStyle w:val="TitleChar"/>
          <w:b w:val="0"/>
          <w:lang w:val="sv-SE"/>
        </w:rPr>
        <w:t>Farmakologisk behandling</w:t>
      </w:r>
    </w:p>
    <w:p w:rsidR="0006307C" w:rsidRDefault="0006307C" w:rsidP="00111C0F">
      <w:pPr>
        <w:rPr>
          <w:rStyle w:val="CommentReference"/>
          <w:rFonts w:cs="Arial"/>
          <w:sz w:val="22"/>
          <w:szCs w:val="22"/>
        </w:rPr>
      </w:pPr>
      <w:r>
        <w:rPr>
          <w:rStyle w:val="CommentReference"/>
          <w:rFonts w:cs="Arial"/>
          <w:sz w:val="22"/>
          <w:szCs w:val="22"/>
        </w:rPr>
        <w:t xml:space="preserve">När en patient som genomgått en </w:t>
      </w:r>
      <w:r w:rsidR="00111C0F">
        <w:rPr>
          <w:rStyle w:val="CommentReference"/>
          <w:rFonts w:cs="Arial"/>
          <w:sz w:val="22"/>
          <w:szCs w:val="22"/>
        </w:rPr>
        <w:t>akut kranskärlsjukdom</w:t>
      </w:r>
      <w:r>
        <w:rPr>
          <w:rStyle w:val="CommentReference"/>
          <w:rFonts w:cs="Arial"/>
          <w:sz w:val="22"/>
          <w:szCs w:val="22"/>
        </w:rPr>
        <w:t xml:space="preserve"> skrivs hem från sjukhuset idag har de ofta med sig följande läkemedel: ASA, </w:t>
      </w:r>
      <w:proofErr w:type="spellStart"/>
      <w:r w:rsidR="008107E6">
        <w:rPr>
          <w:rStyle w:val="CommentReference"/>
          <w:rFonts w:cs="Arial"/>
          <w:sz w:val="22"/>
          <w:szCs w:val="22"/>
        </w:rPr>
        <w:t>clopidogrel</w:t>
      </w:r>
      <w:proofErr w:type="spellEnd"/>
      <w:r>
        <w:rPr>
          <w:rStyle w:val="CommentReference"/>
          <w:rFonts w:cs="Arial"/>
          <w:sz w:val="22"/>
          <w:szCs w:val="22"/>
        </w:rPr>
        <w:t xml:space="preserve"> (i </w:t>
      </w:r>
      <w:r w:rsidR="008107E6">
        <w:rPr>
          <w:rStyle w:val="CommentReference"/>
          <w:rFonts w:cs="Arial"/>
          <w:sz w:val="22"/>
          <w:szCs w:val="22"/>
        </w:rPr>
        <w:t>3-12</w:t>
      </w:r>
      <w:r>
        <w:rPr>
          <w:rStyle w:val="CommentReference"/>
          <w:rFonts w:cs="Arial"/>
          <w:sz w:val="22"/>
          <w:szCs w:val="22"/>
        </w:rPr>
        <w:t xml:space="preserve"> månader om de genomgått PCI annars inte alls), betablockerare, ACE hämmare, statin samt ni</w:t>
      </w:r>
      <w:r w:rsidR="00A678C7">
        <w:rPr>
          <w:rStyle w:val="CommentReference"/>
          <w:rFonts w:cs="Arial"/>
          <w:sz w:val="22"/>
          <w:szCs w:val="22"/>
        </w:rPr>
        <w:t>troglycerin. Dessa behandlingar</w:t>
      </w:r>
      <w:r w:rsidR="008107E6">
        <w:rPr>
          <w:rStyle w:val="CommentReference"/>
          <w:rFonts w:cs="Arial"/>
          <w:sz w:val="22"/>
          <w:szCs w:val="22"/>
        </w:rPr>
        <w:t xml:space="preserve"> (utom </w:t>
      </w:r>
      <w:proofErr w:type="spellStart"/>
      <w:r w:rsidR="008107E6">
        <w:rPr>
          <w:rStyle w:val="CommentReference"/>
          <w:rFonts w:cs="Arial"/>
          <w:sz w:val="22"/>
          <w:szCs w:val="22"/>
        </w:rPr>
        <w:t>clopidogrel</w:t>
      </w:r>
      <w:proofErr w:type="spellEnd"/>
      <w:r w:rsidR="008107E6">
        <w:rPr>
          <w:rStyle w:val="CommentReference"/>
          <w:rFonts w:cs="Arial"/>
          <w:sz w:val="22"/>
          <w:szCs w:val="22"/>
        </w:rPr>
        <w:t xml:space="preserve">) </w:t>
      </w:r>
      <w:r>
        <w:rPr>
          <w:rStyle w:val="CommentReference"/>
          <w:rFonts w:cs="Arial"/>
          <w:sz w:val="22"/>
          <w:szCs w:val="22"/>
        </w:rPr>
        <w:t xml:space="preserve">är </w:t>
      </w:r>
      <w:r w:rsidR="00850B25">
        <w:rPr>
          <w:rStyle w:val="CommentReference"/>
          <w:rFonts w:cs="Arial"/>
          <w:sz w:val="22"/>
          <w:szCs w:val="22"/>
        </w:rPr>
        <w:t xml:space="preserve">att betrakta som </w:t>
      </w:r>
      <w:r>
        <w:rPr>
          <w:rStyle w:val="CommentReference"/>
          <w:rFonts w:cs="Arial"/>
          <w:sz w:val="22"/>
          <w:szCs w:val="22"/>
        </w:rPr>
        <w:t xml:space="preserve">livslånga. </w:t>
      </w:r>
    </w:p>
    <w:p w:rsidR="00563097" w:rsidRDefault="00563097" w:rsidP="0006307C">
      <w:pPr>
        <w:jc w:val="both"/>
        <w:rPr>
          <w:rStyle w:val="CommentReference"/>
          <w:rFonts w:cs="Arial"/>
          <w:sz w:val="22"/>
          <w:szCs w:val="22"/>
        </w:rPr>
      </w:pPr>
    </w:p>
    <w:p w:rsidR="00563097" w:rsidRDefault="00563097" w:rsidP="00563097">
      <w:pPr>
        <w:rPr>
          <w:rStyle w:val="longtext1"/>
          <w:rFonts w:cs="Arial"/>
          <w:sz w:val="22"/>
          <w:szCs w:val="22"/>
        </w:rPr>
      </w:pPr>
      <w:r w:rsidRPr="00BE59E1">
        <w:rPr>
          <w:rStyle w:val="TitleChar"/>
          <w:b w:val="0"/>
          <w:lang w:val="sv-SE"/>
        </w:rPr>
        <w:t>Invasiva ingrepp</w:t>
      </w:r>
    </w:p>
    <w:p w:rsidR="00563097" w:rsidRDefault="00563097" w:rsidP="00111C0F">
      <w:pPr>
        <w:rPr>
          <w:rStyle w:val="longtext1"/>
          <w:rFonts w:cs="Arial"/>
          <w:sz w:val="22"/>
          <w:szCs w:val="22"/>
        </w:rPr>
      </w:pPr>
      <w:r>
        <w:rPr>
          <w:rStyle w:val="longtext1"/>
          <w:rFonts w:cs="Arial"/>
          <w:sz w:val="22"/>
          <w:szCs w:val="22"/>
        </w:rPr>
        <w:t>Även i mer lugnt skede kan patienter behandlas invasivt för att förbättra flöde i kranskärl som är för trånga. Här kan PCI vara ett alternativ</w:t>
      </w:r>
      <w:r w:rsidR="008107E6">
        <w:rPr>
          <w:rStyle w:val="longtext1"/>
          <w:rFonts w:cs="Arial"/>
          <w:sz w:val="22"/>
          <w:szCs w:val="22"/>
        </w:rPr>
        <w:t>,</w:t>
      </w:r>
      <w:r>
        <w:rPr>
          <w:rStyle w:val="longtext1"/>
          <w:rFonts w:cs="Arial"/>
          <w:sz w:val="22"/>
          <w:szCs w:val="22"/>
        </w:rPr>
        <w:t xml:space="preserve"> bypass</w:t>
      </w:r>
      <w:r w:rsidR="008107E6">
        <w:rPr>
          <w:rStyle w:val="longtext1"/>
          <w:rFonts w:cs="Arial"/>
          <w:sz w:val="22"/>
          <w:szCs w:val="22"/>
        </w:rPr>
        <w:t>operation</w:t>
      </w:r>
      <w:r>
        <w:rPr>
          <w:rStyle w:val="longtext1"/>
          <w:rFonts w:cs="Arial"/>
          <w:sz w:val="22"/>
          <w:szCs w:val="22"/>
        </w:rPr>
        <w:t xml:space="preserve"> ett annat. </w:t>
      </w:r>
    </w:p>
    <w:p w:rsidR="00563097" w:rsidRDefault="00563097" w:rsidP="00563097">
      <w:pPr>
        <w:jc w:val="both"/>
        <w:rPr>
          <w:rStyle w:val="longtext1"/>
          <w:rFonts w:cs="Arial"/>
          <w:sz w:val="22"/>
          <w:szCs w:val="22"/>
        </w:rPr>
      </w:pPr>
    </w:p>
    <w:p w:rsidR="00563097" w:rsidRDefault="00563097" w:rsidP="00563097">
      <w:pPr>
        <w:jc w:val="both"/>
        <w:rPr>
          <w:rStyle w:val="longtext1"/>
          <w:rFonts w:cs="Arial"/>
          <w:sz w:val="22"/>
          <w:szCs w:val="22"/>
        </w:rPr>
      </w:pPr>
      <w:r>
        <w:rPr>
          <w:rStyle w:val="longtext1"/>
          <w:rFonts w:cs="Arial"/>
          <w:sz w:val="22"/>
          <w:szCs w:val="22"/>
        </w:rPr>
        <w:t>LIVSSTILSFÖRÄNDRINGAR</w:t>
      </w:r>
    </w:p>
    <w:p w:rsidR="00563097" w:rsidRPr="000F6FA4" w:rsidRDefault="00563097" w:rsidP="00111C0F">
      <w:r>
        <w:rPr>
          <w:rStyle w:val="longtext1"/>
          <w:rFonts w:cs="Arial"/>
          <w:sz w:val="22"/>
          <w:szCs w:val="22"/>
        </w:rPr>
        <w:t xml:space="preserve">Alla patienter som genomgår en </w:t>
      </w:r>
      <w:r w:rsidR="00111C0F">
        <w:rPr>
          <w:rStyle w:val="longtext1"/>
          <w:rFonts w:cs="Arial"/>
          <w:sz w:val="22"/>
          <w:szCs w:val="22"/>
        </w:rPr>
        <w:t>akut kranskärlsjukdom</w:t>
      </w:r>
      <w:r>
        <w:rPr>
          <w:rStyle w:val="longtext1"/>
          <w:rFonts w:cs="Arial"/>
          <w:sz w:val="22"/>
          <w:szCs w:val="22"/>
        </w:rPr>
        <w:t xml:space="preserve"> bör justera sin livsstil. Här gäller totalt och omedelbart rökstopp. Patienter kan behöva sjukgymnastik för att återgå till normal fysisk aktivitet. </w:t>
      </w:r>
      <w:r>
        <w:rPr>
          <w:rStyle w:val="longtext1"/>
          <w:rFonts w:cs="Arial"/>
          <w:sz w:val="22"/>
          <w:szCs w:val="22"/>
        </w:rPr>
        <w:lastRenderedPageBreak/>
        <w:t xml:space="preserve">Rehabiliteringen rent fysiskt får anpassas till hjärtats förmåga. Insatser som stödjer psyket och återanpassning till vardagen är också av stor betydelse. </w:t>
      </w:r>
    </w:p>
    <w:p w:rsidR="0006307C" w:rsidRDefault="00563097" w:rsidP="00563097">
      <w:pPr>
        <w:tabs>
          <w:tab w:val="left" w:pos="6775"/>
        </w:tabs>
        <w:jc w:val="both"/>
        <w:rPr>
          <w:rFonts w:cs="Arial"/>
          <w:szCs w:val="22"/>
        </w:rPr>
      </w:pPr>
      <w:r>
        <w:rPr>
          <w:rFonts w:cs="Arial"/>
          <w:szCs w:val="22"/>
        </w:rPr>
        <w:tab/>
      </w:r>
    </w:p>
    <w:p w:rsidR="0006307C" w:rsidRPr="00341699" w:rsidRDefault="0006307C" w:rsidP="00111C0F">
      <w:r w:rsidRPr="00952A91">
        <w:t>Trots att nuvarande behand</w:t>
      </w:r>
      <w:r w:rsidR="00111C0F">
        <w:t>lingar har förbättrat vården av</w:t>
      </w:r>
      <w:r w:rsidRPr="00952A91">
        <w:t xml:space="preserve"> patienter</w:t>
      </w:r>
      <w:r w:rsidR="00111C0F">
        <w:t xml:space="preserve"> med akut kranskärlsjukdom</w:t>
      </w:r>
      <w:r w:rsidRPr="00952A91">
        <w:t>, beräknas e</w:t>
      </w:r>
      <w:r w:rsidR="003E78AB">
        <w:t xml:space="preserve">n av tre dö i en ytterligare </w:t>
      </w:r>
      <w:proofErr w:type="spellStart"/>
      <w:r w:rsidR="008107E6">
        <w:t>hjärt</w:t>
      </w:r>
      <w:r w:rsidR="00A678C7">
        <w:t>/</w:t>
      </w:r>
      <w:r w:rsidR="008107E6">
        <w:t>kärlhändelse</w:t>
      </w:r>
      <w:proofErr w:type="spellEnd"/>
      <w:r w:rsidRPr="00952A91">
        <w:t xml:space="preserve"> eller återigen hamna under sjukhusvård inom sex månader från den första </w:t>
      </w:r>
      <w:r w:rsidR="009070B4">
        <w:t>hjärt/kärl</w:t>
      </w:r>
      <w:r w:rsidR="00850B25">
        <w:t>händelsen</w:t>
      </w:r>
      <w:r>
        <w:rPr>
          <w:vertAlign w:val="superscript"/>
        </w:rPr>
        <w:t xml:space="preserve"> </w:t>
      </w:r>
      <w:r>
        <w:rPr>
          <w:rStyle w:val="EndnoteReference"/>
          <w:szCs w:val="22"/>
        </w:rPr>
        <w:endnoteReference w:id="9"/>
      </w:r>
      <w:r>
        <w:rPr>
          <w:vertAlign w:val="superscript"/>
        </w:rPr>
        <w:t xml:space="preserve"> </w:t>
      </w:r>
      <w:r w:rsidRPr="00952A91">
        <w:rPr>
          <w:vertAlign w:val="superscript"/>
        </w:rPr>
        <w:t xml:space="preserve"> </w:t>
      </w:r>
      <w:r w:rsidRPr="00952A91">
        <w:t xml:space="preserve">vilket understryker att den preventiva aspekten </w:t>
      </w:r>
      <w:r w:rsidR="00850B25">
        <w:t>vid</w:t>
      </w:r>
      <w:r w:rsidRPr="00952A91">
        <w:t xml:space="preserve"> </w:t>
      </w:r>
      <w:r w:rsidR="008107E6">
        <w:t xml:space="preserve">vård av </w:t>
      </w:r>
      <w:r w:rsidR="00111C0F">
        <w:t>akut kranskärlsjukdom</w:t>
      </w:r>
      <w:r w:rsidRPr="00952A91">
        <w:t xml:space="preserve"> är</w:t>
      </w:r>
      <w:r>
        <w:t xml:space="preserve"> betyd</w:t>
      </w:r>
      <w:r w:rsidR="008107E6">
        <w:t>elsefull</w:t>
      </w:r>
      <w:r w:rsidRPr="00952A91">
        <w:t xml:space="preserve">.  </w:t>
      </w:r>
    </w:p>
    <w:p w:rsidR="0006307C" w:rsidRPr="000F6FA4" w:rsidRDefault="0006307C" w:rsidP="00111C0F">
      <w:r w:rsidRPr="000F6FA4">
        <w:t xml:space="preserve"> </w:t>
      </w:r>
    </w:p>
    <w:p w:rsidR="0006307C" w:rsidRPr="00CD45B3" w:rsidRDefault="0006307C" w:rsidP="0006307C">
      <w:pPr>
        <w:pStyle w:val="Heading5"/>
      </w:pPr>
      <w:r w:rsidRPr="00CD45B3">
        <w:t xml:space="preserve">Behovet av en mer flexibel antitrombotisk behandling </w:t>
      </w:r>
    </w:p>
    <w:p w:rsidR="0006307C" w:rsidRPr="00BE59E1" w:rsidRDefault="0006307C" w:rsidP="0006307C">
      <w:r w:rsidRPr="00456374">
        <w:t>P</w:t>
      </w:r>
      <w:r>
        <w:t xml:space="preserve">rioriteten vid behandling av </w:t>
      </w:r>
      <w:r w:rsidRPr="00456374">
        <w:t>patienter</w:t>
      </w:r>
      <w:r>
        <w:t xml:space="preserve"> med akut kranskärlsjukdom</w:t>
      </w:r>
      <w:r w:rsidRPr="00456374">
        <w:t xml:space="preserve"> är att behandla bildade blodproppar och förhindr</w:t>
      </w:r>
      <w:r>
        <w:t>a uppkomsten av nya</w:t>
      </w:r>
      <w:r w:rsidRPr="00456374">
        <w:t xml:space="preserve">. </w:t>
      </w:r>
      <w:r w:rsidR="003A30F7">
        <w:t>Ofta</w:t>
      </w:r>
      <w:r w:rsidRPr="00456374">
        <w:t xml:space="preserve"> sätts</w:t>
      </w:r>
      <w:r>
        <w:t xml:space="preserve"> antitrombotisk behandlling</w:t>
      </w:r>
      <w:r w:rsidRPr="00456374">
        <w:t xml:space="preserve"> in</w:t>
      </w:r>
      <w:r>
        <w:t xml:space="preserve"> direkt</w:t>
      </w:r>
      <w:r w:rsidRPr="00456374">
        <w:t xml:space="preserve"> medan läkaren samlar in kompletterande undersökningar och </w:t>
      </w:r>
      <w:r>
        <w:t>uppgifter från patienten.</w:t>
      </w:r>
      <w:r w:rsidRPr="00456374">
        <w:t xml:space="preserve"> </w:t>
      </w:r>
    </w:p>
    <w:p w:rsidR="0006307C" w:rsidRPr="00456374" w:rsidRDefault="0006307C" w:rsidP="0006307C">
      <w:pPr>
        <w:pStyle w:val="Title"/>
        <w:jc w:val="both"/>
        <w:rPr>
          <w:rFonts w:cs="Arial"/>
          <w:b w:val="0"/>
          <w:szCs w:val="22"/>
          <w:lang w:val="sv-SE"/>
        </w:rPr>
      </w:pPr>
    </w:p>
    <w:p w:rsidR="0006307C" w:rsidRPr="00456374" w:rsidRDefault="0006307C" w:rsidP="0006307C">
      <w:pPr>
        <w:autoSpaceDE w:val="0"/>
        <w:autoSpaceDN w:val="0"/>
        <w:adjustRightInd w:val="0"/>
        <w:rPr>
          <w:rFonts w:cs="Arial"/>
          <w:szCs w:val="22"/>
        </w:rPr>
      </w:pPr>
      <w:r w:rsidRPr="00456374">
        <w:rPr>
          <w:rFonts w:cs="Arial"/>
          <w:szCs w:val="22"/>
        </w:rPr>
        <w:t>Rekommendationen</w:t>
      </w:r>
      <w:r>
        <w:rPr>
          <w:rStyle w:val="EndnoteReference"/>
          <w:szCs w:val="22"/>
        </w:rPr>
        <w:endnoteReference w:id="10"/>
      </w:r>
      <w:r w:rsidRPr="00456374">
        <w:rPr>
          <w:rFonts w:cs="Arial"/>
          <w:szCs w:val="22"/>
        </w:rPr>
        <w:t xml:space="preserve"> är att ge antitrombotisk behandling så fort som möjligt till patient</w:t>
      </w:r>
      <w:r>
        <w:rPr>
          <w:rFonts w:cs="Arial"/>
          <w:szCs w:val="22"/>
        </w:rPr>
        <w:t>er med STEMI som ska genomgå exempelvis ballongvidgning</w:t>
      </w:r>
      <w:r w:rsidRPr="00456374">
        <w:rPr>
          <w:rFonts w:cs="Arial"/>
          <w:szCs w:val="22"/>
        </w:rPr>
        <w:t>. Detta för att de ska hinna få maximal effekt a</w:t>
      </w:r>
      <w:r>
        <w:rPr>
          <w:rFonts w:cs="Arial"/>
          <w:szCs w:val="22"/>
        </w:rPr>
        <w:t>v behandlingen innan ingreppet i</w:t>
      </w:r>
      <w:r w:rsidRPr="00456374">
        <w:rPr>
          <w:rFonts w:cs="Arial"/>
          <w:szCs w:val="22"/>
        </w:rPr>
        <w:t xml:space="preserve"> syfte att minimera </w:t>
      </w:r>
      <w:r>
        <w:rPr>
          <w:rFonts w:cs="Arial"/>
          <w:szCs w:val="22"/>
        </w:rPr>
        <w:t>risken för ytterligare blodproppar då ingreppet görs</w:t>
      </w:r>
      <w:r w:rsidRPr="00456374">
        <w:rPr>
          <w:rFonts w:cs="Arial"/>
          <w:szCs w:val="22"/>
        </w:rPr>
        <w:t xml:space="preserve">. </w:t>
      </w:r>
    </w:p>
    <w:p w:rsidR="0006307C" w:rsidRPr="00456374" w:rsidRDefault="0006307C" w:rsidP="0006307C">
      <w:pPr>
        <w:pStyle w:val="Title"/>
        <w:jc w:val="both"/>
        <w:rPr>
          <w:rFonts w:cs="Arial"/>
          <w:b w:val="0"/>
          <w:szCs w:val="22"/>
          <w:lang w:val="sv-SE"/>
        </w:rPr>
      </w:pPr>
      <w:r w:rsidRPr="00456374">
        <w:rPr>
          <w:rFonts w:cs="Arial"/>
          <w:b w:val="0"/>
          <w:szCs w:val="22"/>
          <w:lang w:val="sv-SE"/>
        </w:rPr>
        <w:t xml:space="preserve"> </w:t>
      </w:r>
    </w:p>
    <w:p w:rsidR="0006307C" w:rsidRPr="00456374" w:rsidRDefault="0006307C" w:rsidP="0006307C">
      <w:r w:rsidRPr="00456374">
        <w:t>Om det däremot visar sig att patienten behöver g</w:t>
      </w:r>
      <w:r w:rsidR="00111C0F">
        <w:t>enomgå en bypass</w:t>
      </w:r>
      <w:r>
        <w:t>operation</w:t>
      </w:r>
      <w:r w:rsidRPr="00456374">
        <w:t>, så behöver antitrombotisk behandling stoppas omedelbart</w:t>
      </w:r>
      <w:r w:rsidR="003A30F7">
        <w:t xml:space="preserve">. Antitrombotisk behandling ökar risken för blödningskomplikationer vid kirurgin. </w:t>
      </w:r>
      <w:r w:rsidRPr="00456374">
        <w:t xml:space="preserve"> </w:t>
      </w:r>
    </w:p>
    <w:p w:rsidR="0006307C" w:rsidRPr="00456374" w:rsidRDefault="0006307C" w:rsidP="0006307C"/>
    <w:p w:rsidR="0006307C" w:rsidRDefault="0006307C" w:rsidP="0043362D">
      <w:r w:rsidRPr="00456374">
        <w:t>Det är alltså en balansgång mellan att göra blodet mer lättfly</w:t>
      </w:r>
      <w:r>
        <w:t>tande inför exempelvis en ballongvidgning</w:t>
      </w:r>
      <w:r w:rsidRPr="00456374">
        <w:t xml:space="preserve"> som ska vägas mot risken att patienten behöver en öppen hjärtoperation då de inte ska ha behandling som ökar blödningsbenägenheten.</w:t>
      </w:r>
    </w:p>
    <w:p w:rsidR="00111C0F" w:rsidRPr="0043362D" w:rsidRDefault="00111C0F" w:rsidP="0043362D"/>
    <w:p w:rsidR="0006307C" w:rsidRDefault="0006307C" w:rsidP="0006307C">
      <w:pPr>
        <w:pStyle w:val="Heading5"/>
      </w:pPr>
      <w:r>
        <w:t>Akut kranskärlsjukdom medför s</w:t>
      </w:r>
      <w:r w:rsidRPr="00D26C3C">
        <w:t>tora kostnader för samhället</w:t>
      </w:r>
    </w:p>
    <w:p w:rsidR="0006307C" w:rsidRPr="005B5D41" w:rsidRDefault="0006307C" w:rsidP="0006307C">
      <w:pPr>
        <w:spacing w:before="100" w:beforeAutospacing="1" w:after="100" w:afterAutospacing="1"/>
        <w:outlineLvl w:val="4"/>
        <w:rPr>
          <w:szCs w:val="22"/>
          <w:vertAlign w:val="superscript"/>
        </w:rPr>
      </w:pPr>
      <w:r>
        <w:rPr>
          <w:szCs w:val="22"/>
        </w:rPr>
        <w:t xml:space="preserve">Behandlingen av </w:t>
      </w:r>
      <w:r w:rsidR="00111C0F">
        <w:rPr>
          <w:szCs w:val="22"/>
        </w:rPr>
        <w:t>akut kranskärlsjukdom</w:t>
      </w:r>
      <w:r>
        <w:rPr>
          <w:szCs w:val="22"/>
        </w:rPr>
        <w:t xml:space="preserve"> har en betydande inverk</w:t>
      </w:r>
      <w:r w:rsidR="00657B7E">
        <w:rPr>
          <w:szCs w:val="22"/>
        </w:rPr>
        <w:t>an på</w:t>
      </w:r>
      <w:r w:rsidR="00111C0F">
        <w:rPr>
          <w:szCs w:val="22"/>
        </w:rPr>
        <w:t xml:space="preserve"> samhällets </w:t>
      </w:r>
      <w:r w:rsidR="003A30F7">
        <w:rPr>
          <w:szCs w:val="22"/>
        </w:rPr>
        <w:t>hälso- och sjukvårdskostna</w:t>
      </w:r>
      <w:r>
        <w:rPr>
          <w:szCs w:val="22"/>
        </w:rPr>
        <w:t>der.</w:t>
      </w:r>
      <w:r w:rsidRPr="00084DAB">
        <w:rPr>
          <w:szCs w:val="22"/>
        </w:rPr>
        <w:t xml:space="preserve"> Nya</w:t>
      </w:r>
      <w:r w:rsidR="00185463">
        <w:rPr>
          <w:szCs w:val="22"/>
        </w:rPr>
        <w:t xml:space="preserve"> amerikanska</w:t>
      </w:r>
      <w:r w:rsidRPr="00084DAB">
        <w:rPr>
          <w:szCs w:val="22"/>
        </w:rPr>
        <w:t xml:space="preserve"> studier visar att den beräknade kostnaden för det f</w:t>
      </w:r>
      <w:r w:rsidR="00111C0F">
        <w:rPr>
          <w:szCs w:val="22"/>
        </w:rPr>
        <w:t>örsta behandlingsåret för en</w:t>
      </w:r>
      <w:r w:rsidRPr="00084DAB">
        <w:rPr>
          <w:szCs w:val="22"/>
        </w:rPr>
        <w:t xml:space="preserve"> patient</w:t>
      </w:r>
      <w:r w:rsidR="00111C0F">
        <w:rPr>
          <w:szCs w:val="22"/>
        </w:rPr>
        <w:t xml:space="preserve"> med akut kranskärlsjukdom</w:t>
      </w:r>
      <w:r w:rsidRPr="00084DAB">
        <w:rPr>
          <w:szCs w:val="22"/>
        </w:rPr>
        <w:t xml:space="preserve"> är cirka $22,500-30,000</w:t>
      </w:r>
      <w:r>
        <w:rPr>
          <w:szCs w:val="22"/>
        </w:rPr>
        <w:t xml:space="preserve"> </w:t>
      </w:r>
      <w:r w:rsidRPr="00185463">
        <w:rPr>
          <w:szCs w:val="22"/>
        </w:rPr>
        <w:t>(</w:t>
      </w:r>
      <w:r w:rsidR="00185463" w:rsidRPr="00185463">
        <w:rPr>
          <w:szCs w:val="22"/>
        </w:rPr>
        <w:t>ca 160 000 - 210 000 sek</w:t>
      </w:r>
      <w:r w:rsidRPr="00185463">
        <w:rPr>
          <w:szCs w:val="22"/>
        </w:rPr>
        <w:t>)</w:t>
      </w:r>
      <w:r w:rsidRPr="00084DAB">
        <w:rPr>
          <w:szCs w:val="22"/>
        </w:rPr>
        <w:t xml:space="preserve"> per patient. </w:t>
      </w:r>
      <w:r w:rsidRPr="00B43736">
        <w:rPr>
          <w:szCs w:val="22"/>
        </w:rPr>
        <w:t>Här utgör sjukhusvistelsen cirka 75</w:t>
      </w:r>
      <w:r w:rsidR="003A30F7">
        <w:rPr>
          <w:szCs w:val="22"/>
        </w:rPr>
        <w:t xml:space="preserve"> </w:t>
      </w:r>
      <w:r w:rsidRPr="00B43736">
        <w:rPr>
          <w:szCs w:val="22"/>
        </w:rPr>
        <w:t xml:space="preserve">% av kostnaden </w:t>
      </w:r>
      <w:r>
        <w:rPr>
          <w:szCs w:val="22"/>
        </w:rPr>
        <w:t>och kos</w:t>
      </w:r>
      <w:r w:rsidRPr="00B43736">
        <w:rPr>
          <w:szCs w:val="22"/>
        </w:rPr>
        <w:t xml:space="preserve">tnaden för läkemedel utgör bara cirka 7 %. </w:t>
      </w:r>
      <w:r w:rsidRPr="00341699">
        <w:rPr>
          <w:szCs w:val="22"/>
        </w:rPr>
        <w:t>Re</w:t>
      </w:r>
      <w:r>
        <w:rPr>
          <w:szCs w:val="22"/>
        </w:rPr>
        <w:t>sterande kostnader förknippas m</w:t>
      </w:r>
      <w:r w:rsidRPr="00341699">
        <w:rPr>
          <w:szCs w:val="22"/>
        </w:rPr>
        <w:t>ed öppen sjukhusvård och annat.</w:t>
      </w:r>
      <w:bookmarkStart w:id="1" w:name="_Ref212954810"/>
      <w:r w:rsidRPr="005728B0">
        <w:rPr>
          <w:rStyle w:val="EndnoteReference"/>
          <w:szCs w:val="22"/>
          <w:lang w:val="en-US"/>
        </w:rPr>
        <w:endnoteReference w:id="11"/>
      </w:r>
      <w:bookmarkStart w:id="2" w:name="_Ref212954836"/>
      <w:bookmarkEnd w:id="1"/>
      <w:r w:rsidRPr="00341699">
        <w:rPr>
          <w:szCs w:val="22"/>
          <w:vertAlign w:val="superscript"/>
        </w:rPr>
        <w:t>,</w:t>
      </w:r>
      <w:bookmarkStart w:id="3" w:name="_Ref212960129"/>
      <w:r w:rsidRPr="005728B0">
        <w:rPr>
          <w:rStyle w:val="EndnoteReference"/>
          <w:szCs w:val="22"/>
          <w:lang w:val="en-US"/>
        </w:rPr>
        <w:endnoteReference w:id="12"/>
      </w:r>
      <w:bookmarkEnd w:id="2"/>
      <w:bookmarkEnd w:id="3"/>
      <w:r w:rsidRPr="00341699">
        <w:rPr>
          <w:szCs w:val="22"/>
        </w:rPr>
        <w:t xml:space="preserve"> </w:t>
      </w:r>
    </w:p>
    <w:p w:rsidR="0006307C" w:rsidRPr="00341699" w:rsidRDefault="0006307C" w:rsidP="0006307C">
      <w:pPr>
        <w:rPr>
          <w:szCs w:val="22"/>
        </w:rPr>
      </w:pPr>
      <w:r w:rsidRPr="00341699">
        <w:rPr>
          <w:szCs w:val="22"/>
        </w:rPr>
        <w:t xml:space="preserve">Kostnader för akut sjukhusvård i samband med en </w:t>
      </w:r>
      <w:r w:rsidR="00657B7E">
        <w:rPr>
          <w:szCs w:val="22"/>
        </w:rPr>
        <w:t>akut kranskärlsjukdoms</w:t>
      </w:r>
      <w:r w:rsidRPr="00341699">
        <w:rPr>
          <w:szCs w:val="22"/>
        </w:rPr>
        <w:t xml:space="preserve">händelse är betydande. Varje sådan händelse som kan förebyggas sparar givetvis liv och lidande men även stora summor för sjukvården. </w:t>
      </w:r>
    </w:p>
    <w:p w:rsidR="0006307C" w:rsidRPr="005443A4" w:rsidRDefault="0043362D" w:rsidP="0006307C">
      <w:pPr>
        <w:spacing w:before="100" w:beforeAutospacing="1" w:after="100" w:afterAutospacing="1"/>
        <w:outlineLvl w:val="4"/>
        <w:rPr>
          <w:b/>
          <w:szCs w:val="22"/>
        </w:rPr>
      </w:pPr>
      <w:r>
        <w:rPr>
          <w:b/>
          <w:szCs w:val="22"/>
        </w:rPr>
        <w:t>___________________________________________________________________________</w:t>
      </w:r>
    </w:p>
    <w:p w:rsidR="002219CD" w:rsidRDefault="002219CD" w:rsidP="0006307C">
      <w:pPr>
        <w:pStyle w:val="Heading5"/>
      </w:pPr>
    </w:p>
    <w:p w:rsidR="00BD791E" w:rsidRDefault="00BD791E" w:rsidP="0006307C">
      <w:pPr>
        <w:pStyle w:val="Heading5"/>
      </w:pPr>
    </w:p>
    <w:p w:rsidR="00BD791E" w:rsidRDefault="00BD791E" w:rsidP="0006307C">
      <w:pPr>
        <w:pStyle w:val="Heading5"/>
      </w:pPr>
    </w:p>
    <w:p w:rsidR="0006307C" w:rsidRDefault="0006307C" w:rsidP="0006307C">
      <w:pPr>
        <w:pStyle w:val="Heading5"/>
        <w:rPr>
          <w:color w:val="FF0000"/>
        </w:rPr>
      </w:pPr>
      <w:r>
        <w:t>Ticagrelor</w:t>
      </w:r>
      <w:r w:rsidR="004309F6">
        <w:t xml:space="preserve"> en trombocythämmare under utveckling </w:t>
      </w:r>
    </w:p>
    <w:p w:rsidR="0006307C" w:rsidRPr="00AE0D73" w:rsidRDefault="0006307C" w:rsidP="0006307C">
      <w:pPr>
        <w:spacing w:before="100" w:beforeAutospacing="1" w:after="100" w:afterAutospacing="1"/>
        <w:outlineLvl w:val="4"/>
        <w:rPr>
          <w:szCs w:val="22"/>
        </w:rPr>
      </w:pPr>
      <w:r w:rsidRPr="00AE0D73">
        <w:rPr>
          <w:szCs w:val="22"/>
        </w:rPr>
        <w:lastRenderedPageBreak/>
        <w:t>Läkemedlet</w:t>
      </w:r>
      <w:r>
        <w:rPr>
          <w:szCs w:val="22"/>
        </w:rPr>
        <w:t xml:space="preserve"> tica</w:t>
      </w:r>
      <w:r w:rsidR="00224EF7">
        <w:rPr>
          <w:szCs w:val="22"/>
        </w:rPr>
        <w:t>g</w:t>
      </w:r>
      <w:r>
        <w:rPr>
          <w:szCs w:val="22"/>
        </w:rPr>
        <w:t>relor (Brilique)</w:t>
      </w:r>
      <w:r w:rsidRPr="00AE0D73">
        <w:rPr>
          <w:szCs w:val="22"/>
        </w:rPr>
        <w:t>, en trombocythämmare, är under utveckling för minskning av allvarliga hjärt/kärlhändelser hos patienter med akut kranskärlssjukdom. Det föreslagna produktnamnet för ticagrel</w:t>
      </w:r>
      <w:r>
        <w:rPr>
          <w:szCs w:val="22"/>
        </w:rPr>
        <w:t>or är Brilique (</w:t>
      </w:r>
      <w:r w:rsidR="003E78AB">
        <w:t xml:space="preserve">i andra delar av världen </w:t>
      </w:r>
      <w:r>
        <w:rPr>
          <w:szCs w:val="22"/>
        </w:rPr>
        <w:t>Brilinta)</w:t>
      </w:r>
      <w:r w:rsidRPr="00AE0D73">
        <w:rPr>
          <w:szCs w:val="22"/>
        </w:rPr>
        <w:t>.</w:t>
      </w:r>
    </w:p>
    <w:p w:rsidR="0006307C" w:rsidRPr="005443A4" w:rsidRDefault="0006307C" w:rsidP="0006307C">
      <w:pPr>
        <w:spacing w:before="100" w:beforeAutospacing="1" w:after="100" w:afterAutospacing="1"/>
        <w:outlineLvl w:val="4"/>
        <w:rPr>
          <w:szCs w:val="22"/>
        </w:rPr>
      </w:pPr>
      <w:r>
        <w:rPr>
          <w:szCs w:val="22"/>
        </w:rPr>
        <w:t>Ticagrelor</w:t>
      </w:r>
      <w:r w:rsidRPr="005443A4">
        <w:rPr>
          <w:szCs w:val="22"/>
        </w:rPr>
        <w:t xml:space="preserve"> är det första</w:t>
      </w:r>
      <w:r>
        <w:rPr>
          <w:szCs w:val="22"/>
        </w:rPr>
        <w:t xml:space="preserve"> läkemedlet</w:t>
      </w:r>
      <w:r w:rsidRPr="005443A4">
        <w:rPr>
          <w:szCs w:val="22"/>
        </w:rPr>
        <w:t xml:space="preserve"> i en</w:t>
      </w:r>
      <w:r>
        <w:rPr>
          <w:szCs w:val="22"/>
        </w:rPr>
        <w:t xml:space="preserve"> helt</w:t>
      </w:r>
      <w:r w:rsidRPr="005443A4">
        <w:rPr>
          <w:szCs w:val="22"/>
        </w:rPr>
        <w:t xml:space="preserve"> ny kemisk klass, CPTP (cyklopentyltriazolopyrimidiner). Ticagrelor skiljer sig kemiskt från tienopyridinerna, exempelvis </w:t>
      </w:r>
      <w:r w:rsidR="00BA0EC7">
        <w:rPr>
          <w:szCs w:val="22"/>
        </w:rPr>
        <w:t>clopidogrel</w:t>
      </w:r>
      <w:r w:rsidRPr="00E20B24">
        <w:rPr>
          <w:szCs w:val="22"/>
        </w:rPr>
        <w:t xml:space="preserve"> (Plavix)</w:t>
      </w:r>
      <w:r>
        <w:rPr>
          <w:szCs w:val="22"/>
        </w:rPr>
        <w:t xml:space="preserve"> och P</w:t>
      </w:r>
      <w:r w:rsidRPr="005443A4">
        <w:rPr>
          <w:szCs w:val="22"/>
        </w:rPr>
        <w:t>rasugrel.</w:t>
      </w:r>
    </w:p>
    <w:p w:rsidR="0006307C" w:rsidRDefault="0006307C" w:rsidP="0006307C">
      <w:pPr>
        <w:spacing w:before="100" w:beforeAutospacing="1" w:after="100" w:afterAutospacing="1"/>
        <w:outlineLvl w:val="4"/>
        <w:rPr>
          <w:rStyle w:val="longtext"/>
          <w:szCs w:val="22"/>
          <w:shd w:val="clear" w:color="auto" w:fill="FFFFFF"/>
        </w:rPr>
      </w:pPr>
      <w:r w:rsidRPr="005443A4">
        <w:rPr>
          <w:rStyle w:val="longtext"/>
          <w:szCs w:val="22"/>
        </w:rPr>
        <w:t>Ticagrelor har en snabbt insättande</w:t>
      </w:r>
      <w:r>
        <w:rPr>
          <w:rStyle w:val="longtext"/>
          <w:szCs w:val="22"/>
        </w:rPr>
        <w:t xml:space="preserve"> och avklingande</w:t>
      </w:r>
      <w:r w:rsidRPr="005443A4">
        <w:rPr>
          <w:rStyle w:val="longtext"/>
          <w:szCs w:val="22"/>
        </w:rPr>
        <w:t xml:space="preserve"> effekt till skillnad från</w:t>
      </w:r>
      <w:r w:rsidRPr="005443A4">
        <w:rPr>
          <w:rStyle w:val="longtext"/>
          <w:szCs w:val="22"/>
          <w:shd w:val="clear" w:color="auto" w:fill="FFFFFF"/>
        </w:rPr>
        <w:t xml:space="preserve"> </w:t>
      </w:r>
      <w:r w:rsidR="00BA0EC7">
        <w:rPr>
          <w:rStyle w:val="longtext"/>
          <w:szCs w:val="22"/>
          <w:shd w:val="clear" w:color="auto" w:fill="FFFFFF"/>
        </w:rPr>
        <w:t>clopidogrel</w:t>
      </w:r>
      <w:r w:rsidRPr="005443A4">
        <w:rPr>
          <w:rStyle w:val="longtext"/>
          <w:szCs w:val="22"/>
          <w:shd w:val="clear" w:color="auto" w:fill="FFFFFF"/>
        </w:rPr>
        <w:t xml:space="preserve"> s</w:t>
      </w:r>
      <w:r>
        <w:rPr>
          <w:rStyle w:val="longtext"/>
          <w:szCs w:val="22"/>
          <w:shd w:val="clear" w:color="auto" w:fill="FFFFFF"/>
        </w:rPr>
        <w:t>om är relativt långsam i både insättning och avklingning</w:t>
      </w:r>
      <w:r w:rsidR="00210C2C">
        <w:rPr>
          <w:rStyle w:val="longtext"/>
          <w:szCs w:val="22"/>
          <w:shd w:val="clear" w:color="auto" w:fill="FFFFFF"/>
        </w:rPr>
        <w:t xml:space="preserve"> </w:t>
      </w:r>
      <w:r w:rsidRPr="005443A4">
        <w:rPr>
          <w:rStyle w:val="longtext"/>
          <w:szCs w:val="22"/>
          <w:shd w:val="clear" w:color="auto" w:fill="FFFFFF"/>
        </w:rPr>
        <w:t xml:space="preserve">på grund av hur det metaboliseras. Snabbt insättande effekt </w:t>
      </w:r>
      <w:r>
        <w:rPr>
          <w:rStyle w:val="longtext"/>
          <w:szCs w:val="22"/>
          <w:shd w:val="clear" w:color="auto" w:fill="FFFFFF"/>
        </w:rPr>
        <w:t>är viktig i den akuta fasen av akut kranskärlssjukdom</w:t>
      </w:r>
      <w:r w:rsidRPr="005443A4">
        <w:rPr>
          <w:rStyle w:val="longtext"/>
          <w:szCs w:val="22"/>
          <w:shd w:val="clear" w:color="auto" w:fill="FFFFFF"/>
        </w:rPr>
        <w:t xml:space="preserve"> då patienten löper störst risk för</w:t>
      </w:r>
      <w:r>
        <w:rPr>
          <w:rStyle w:val="longtext"/>
          <w:szCs w:val="22"/>
          <w:shd w:val="clear" w:color="auto" w:fill="FFFFFF"/>
        </w:rPr>
        <w:t xml:space="preserve"> att få ytterligare</w:t>
      </w:r>
      <w:r w:rsidRPr="005443A4">
        <w:rPr>
          <w:rStyle w:val="longtext"/>
          <w:szCs w:val="22"/>
          <w:shd w:val="clear" w:color="auto" w:fill="FFFFFF"/>
        </w:rPr>
        <w:t xml:space="preserve"> en kardiovaskulär händelse. </w:t>
      </w:r>
      <w:r>
        <w:rPr>
          <w:rStyle w:val="longtext"/>
          <w:szCs w:val="22"/>
          <w:shd w:val="clear" w:color="auto" w:fill="FFFFFF"/>
        </w:rPr>
        <w:t>Snabbt avklingande effekt är viktigt då öppen kirurgi akut måste genomföras</w:t>
      </w:r>
      <w:r w:rsidR="00210C2C">
        <w:rPr>
          <w:rStyle w:val="longtext"/>
          <w:szCs w:val="22"/>
          <w:shd w:val="clear" w:color="auto" w:fill="FFFFFF"/>
        </w:rPr>
        <w:t xml:space="preserve"> eller patienten drabbas av blödningar</w:t>
      </w:r>
      <w:r>
        <w:rPr>
          <w:rStyle w:val="longtext"/>
          <w:szCs w:val="22"/>
          <w:shd w:val="clear" w:color="auto" w:fill="FFFFFF"/>
        </w:rPr>
        <w:t>.</w:t>
      </w:r>
      <w:r w:rsidRPr="00E20B24">
        <w:rPr>
          <w:rStyle w:val="longtext"/>
          <w:szCs w:val="22"/>
          <w:shd w:val="clear" w:color="auto" w:fill="FFFFFF"/>
        </w:rPr>
        <w:t xml:space="preserve"> </w:t>
      </w:r>
    </w:p>
    <w:p w:rsidR="0006307C" w:rsidRPr="00EB3012" w:rsidRDefault="0006307C" w:rsidP="0006307C">
      <w:pPr>
        <w:spacing w:before="100" w:beforeAutospacing="1" w:after="100" w:afterAutospacing="1"/>
        <w:outlineLvl w:val="4"/>
        <w:rPr>
          <w:rStyle w:val="longtext"/>
          <w:szCs w:val="22"/>
          <w:shd w:val="clear" w:color="auto" w:fill="FFFFFF"/>
        </w:rPr>
      </w:pPr>
      <w:r w:rsidRPr="00EB3012">
        <w:rPr>
          <w:rStyle w:val="longtext"/>
          <w:szCs w:val="22"/>
          <w:shd w:val="clear" w:color="auto" w:fill="FFFFFF"/>
        </w:rPr>
        <w:t>Effektiv trombocythämmande behandling ska minska antalet återkommande tromboser, samtidigt som behandlingen måste uppnå balans med risken för blödningar, som kan variera från livshotande blödning till mindre blödningar såsom blåmärken och blödande tandkött.</w:t>
      </w:r>
    </w:p>
    <w:p w:rsidR="00224EF7" w:rsidRPr="00EB3012" w:rsidRDefault="004B6E1E" w:rsidP="0006307C">
      <w:pPr>
        <w:spacing w:before="100" w:beforeAutospacing="1" w:after="100" w:afterAutospacing="1"/>
        <w:outlineLvl w:val="4"/>
        <w:rPr>
          <w:rStyle w:val="longtext"/>
          <w:b/>
          <w:szCs w:val="22"/>
          <w:shd w:val="clear" w:color="auto" w:fill="FFFFFF"/>
        </w:rPr>
      </w:pPr>
      <w:r w:rsidRPr="00EB3012">
        <w:rPr>
          <w:rStyle w:val="longtext"/>
          <w:b/>
          <w:szCs w:val="22"/>
          <w:shd w:val="clear" w:color="auto" w:fill="FFFFFF"/>
        </w:rPr>
        <w:t xml:space="preserve">Ticagrelor erbjuder </w:t>
      </w:r>
      <w:r w:rsidR="009070B4" w:rsidRPr="00EB3012">
        <w:rPr>
          <w:rStyle w:val="longtext"/>
          <w:b/>
          <w:szCs w:val="22"/>
          <w:shd w:val="clear" w:color="auto" w:fill="FFFFFF"/>
        </w:rPr>
        <w:t xml:space="preserve">större och </w:t>
      </w:r>
      <w:r w:rsidRPr="00EB3012">
        <w:rPr>
          <w:rStyle w:val="longtext"/>
          <w:b/>
          <w:szCs w:val="22"/>
          <w:shd w:val="clear" w:color="auto" w:fill="FFFFFF"/>
        </w:rPr>
        <w:t xml:space="preserve">snabbare effekt, kan styras och sättas ut på ett mer flexibelt sätt och ger färre </w:t>
      </w:r>
      <w:r w:rsidR="009070B4" w:rsidRPr="00EB3012">
        <w:rPr>
          <w:rStyle w:val="longtext"/>
          <w:b/>
          <w:szCs w:val="22"/>
          <w:shd w:val="clear" w:color="auto" w:fill="FFFFFF"/>
        </w:rPr>
        <w:t>hjärt/kärl</w:t>
      </w:r>
      <w:r w:rsidRPr="00EB3012">
        <w:rPr>
          <w:rStyle w:val="longtext"/>
          <w:b/>
          <w:szCs w:val="22"/>
          <w:shd w:val="clear" w:color="auto" w:fill="FFFFFF"/>
        </w:rPr>
        <w:t xml:space="preserve"> händelser jämfört med andra tillgängliga alternativ. </w:t>
      </w:r>
      <w:r w:rsidR="00224EF7" w:rsidRPr="00EB3012">
        <w:rPr>
          <w:rStyle w:val="longtext"/>
          <w:b/>
          <w:szCs w:val="22"/>
          <w:shd w:val="clear" w:color="auto" w:fill="FFFFFF"/>
        </w:rPr>
        <w:t xml:space="preserve">Det utgör en möjlig väg för att minska dödligheten vid akuta kranskärlssjukdomar. </w:t>
      </w:r>
    </w:p>
    <w:p w:rsidR="0006307C" w:rsidRDefault="0006307C" w:rsidP="0006307C">
      <w:pPr>
        <w:pStyle w:val="Title"/>
        <w:rPr>
          <w:rStyle w:val="longtext"/>
          <w:szCs w:val="22"/>
          <w:shd w:val="clear" w:color="auto" w:fill="FFFFFF"/>
          <w:lang w:val="sv-SE"/>
        </w:rPr>
      </w:pPr>
      <w:r w:rsidRPr="00CD45B3">
        <w:rPr>
          <w:rStyle w:val="longtext"/>
          <w:szCs w:val="22"/>
          <w:shd w:val="clear" w:color="auto" w:fill="FFFFFF"/>
          <w:lang w:val="sv-SE"/>
        </w:rPr>
        <w:t xml:space="preserve">Trombocythämmare </w:t>
      </w:r>
    </w:p>
    <w:p w:rsidR="0006307C" w:rsidRPr="005443A4" w:rsidRDefault="0006307C" w:rsidP="0006307C">
      <w:pPr>
        <w:rPr>
          <w:rStyle w:val="longtext"/>
          <w:szCs w:val="22"/>
          <w:shd w:val="clear" w:color="auto" w:fill="FFFFFF"/>
        </w:rPr>
      </w:pPr>
      <w:r w:rsidRPr="00CD45B3">
        <w:rPr>
          <w:rStyle w:val="longtext"/>
          <w:szCs w:val="22"/>
          <w:shd w:val="clear" w:color="auto" w:fill="FFFFFF"/>
        </w:rPr>
        <w:t xml:space="preserve">Trombocyter är små cirkulerande blodkroppar som hjälper blodet att koagulera. </w:t>
      </w:r>
      <w:r w:rsidRPr="005443A4">
        <w:rPr>
          <w:rStyle w:val="longtext"/>
          <w:szCs w:val="22"/>
          <w:shd w:val="clear" w:color="auto" w:fill="FFFFFF"/>
        </w:rPr>
        <w:t xml:space="preserve">Trombocyter producerar ett antal kemikalier, varav en är adenosindifosfat (ADP). När ADP fäster till receptorer på ytan av trombocyter, klumpar trombocyterna ihop sig och orsakar en blodpropp eller trombos. </w:t>
      </w:r>
      <w:r w:rsidRPr="005443A4">
        <w:rPr>
          <w:shd w:val="clear" w:color="auto" w:fill="FFFFFF"/>
        </w:rPr>
        <w:br/>
      </w:r>
      <w:r w:rsidRPr="005443A4">
        <w:rPr>
          <w:shd w:val="clear" w:color="auto" w:fill="FFFFFF"/>
        </w:rPr>
        <w:br/>
      </w:r>
      <w:r>
        <w:rPr>
          <w:rStyle w:val="longtext"/>
          <w:szCs w:val="22"/>
          <w:shd w:val="clear" w:color="auto" w:fill="FFFFFF"/>
        </w:rPr>
        <w:t>Trombocythämmare</w:t>
      </w:r>
      <w:r w:rsidRPr="005443A4">
        <w:rPr>
          <w:rStyle w:val="longtext"/>
          <w:szCs w:val="22"/>
          <w:shd w:val="clear" w:color="auto" w:fill="FFFFFF"/>
        </w:rPr>
        <w:t xml:space="preserve"> verkar genom att avbryta processen med aktiveringen av ADP-receptor</w:t>
      </w:r>
      <w:r>
        <w:rPr>
          <w:rStyle w:val="longtext"/>
          <w:szCs w:val="22"/>
          <w:shd w:val="clear" w:color="auto" w:fill="FFFFFF"/>
        </w:rPr>
        <w:t>erna</w:t>
      </w:r>
      <w:r w:rsidRPr="005443A4">
        <w:rPr>
          <w:rStyle w:val="longtext"/>
          <w:szCs w:val="22"/>
          <w:shd w:val="clear" w:color="auto" w:fill="FFFFFF"/>
        </w:rPr>
        <w:t xml:space="preserve"> vilket hindrar blodplättarna från att klumpa ihop sig.</w:t>
      </w:r>
    </w:p>
    <w:p w:rsidR="0006307C" w:rsidRPr="00BE59E1" w:rsidRDefault="0006307C" w:rsidP="0006307C">
      <w:pPr>
        <w:pStyle w:val="Title"/>
        <w:rPr>
          <w:lang w:val="sv-SE"/>
        </w:rPr>
      </w:pPr>
      <w:r w:rsidRPr="00BE59E1">
        <w:rPr>
          <w:lang w:val="sv-SE"/>
        </w:rPr>
        <w:br/>
        <w:t>Om studien PLATO</w:t>
      </w:r>
    </w:p>
    <w:p w:rsidR="0006307C" w:rsidRDefault="0006307C" w:rsidP="0006307C">
      <w:pPr>
        <w:rPr>
          <w:szCs w:val="22"/>
        </w:rPr>
      </w:pPr>
      <w:r w:rsidRPr="005443A4">
        <w:rPr>
          <w:szCs w:val="22"/>
        </w:rPr>
        <w:t>PLATO är en jämförande studie avseende allva</w:t>
      </w:r>
      <w:r w:rsidR="009063BA">
        <w:rPr>
          <w:szCs w:val="22"/>
        </w:rPr>
        <w:t xml:space="preserve">rliga kliniska händelser med 18 </w:t>
      </w:r>
      <w:r w:rsidRPr="005443A4">
        <w:rPr>
          <w:szCs w:val="22"/>
        </w:rPr>
        <w:t xml:space="preserve">624 patienter. I studien jämfördes behandling med ticagrelor plus acetylsalicylsyra med den etablerade kombinationen clopidogrel plus acetylsalicylsyra, för att se om användning av ticagrelor kan ge kliniskt meningsfulla fördelar, när det gäller effektmåtten hjärt/kärlhändelser och säkerhet, i behandlingen av patienter med akut kranskärlssjukdom. Med hänsyn till omfattningen av </w:t>
      </w:r>
      <w:proofErr w:type="spellStart"/>
      <w:r w:rsidRPr="005443A4">
        <w:rPr>
          <w:szCs w:val="22"/>
        </w:rPr>
        <w:t>PLATO-databasen</w:t>
      </w:r>
      <w:proofErr w:type="spellEnd"/>
      <w:r w:rsidRPr="005443A4">
        <w:rPr>
          <w:szCs w:val="22"/>
        </w:rPr>
        <w:t xml:space="preserve"> kommer </w:t>
      </w:r>
      <w:r w:rsidR="00A678C7">
        <w:rPr>
          <w:szCs w:val="22"/>
        </w:rPr>
        <w:t>styrkommittén</w:t>
      </w:r>
      <w:r w:rsidR="00210C2C">
        <w:rPr>
          <w:szCs w:val="22"/>
        </w:rPr>
        <w:t xml:space="preserve"> </w:t>
      </w:r>
      <w:r w:rsidR="00EE7AB4">
        <w:rPr>
          <w:szCs w:val="22"/>
        </w:rPr>
        <w:t xml:space="preserve">för PLATO, </w:t>
      </w:r>
      <w:r w:rsidR="00210C2C">
        <w:rPr>
          <w:szCs w:val="22"/>
        </w:rPr>
        <w:t xml:space="preserve">som består av läkare och forskare inom området akut </w:t>
      </w:r>
      <w:proofErr w:type="gramStart"/>
      <w:r w:rsidR="00210C2C">
        <w:rPr>
          <w:szCs w:val="22"/>
        </w:rPr>
        <w:t xml:space="preserve">kranskärlssjukdom, </w:t>
      </w:r>
      <w:r w:rsidRPr="005443A4">
        <w:rPr>
          <w:szCs w:val="22"/>
        </w:rPr>
        <w:t xml:space="preserve"> att</w:t>
      </w:r>
      <w:proofErr w:type="gramEnd"/>
      <w:r w:rsidRPr="005443A4">
        <w:rPr>
          <w:szCs w:val="22"/>
        </w:rPr>
        <w:t xml:space="preserve"> fortsätta analysera och publicera ytterligare resultat från PLATO. </w:t>
      </w:r>
    </w:p>
    <w:p w:rsidR="002219CD" w:rsidRDefault="002219CD" w:rsidP="0006307C">
      <w:pPr>
        <w:rPr>
          <w:szCs w:val="22"/>
        </w:rPr>
      </w:pPr>
    </w:p>
    <w:p w:rsidR="002219CD" w:rsidRPr="00EB3012" w:rsidRDefault="002219CD" w:rsidP="00657B7E">
      <w:r w:rsidRPr="00EB3012">
        <w:t>Studien</w:t>
      </w:r>
      <w:r w:rsidR="007F7E7A" w:rsidRPr="00EB3012">
        <w:t xml:space="preserve"> visar att ticagrelor </w:t>
      </w:r>
      <w:r w:rsidRPr="00EB3012">
        <w:t>uppnådde större effekt i det primära effektmåttet som var minskning av hjärt/kärlrelaterade händelser (hjärt/kärlrelaterad död, hjärtinfarkt, stroke) jämfört med clopidogrel (Plavix®) (9,8% mot 11,7% vid 12 månader; 16% RRR; 95% CI, 0,77 till 0,92; p&lt;0,001), utan ökad risk för allvarliga blödningar (11,6% mot 11,2%, p=0,43). Detta effektmått drevs av en statistiskt signifikant minskning både av hjärt/kärlrelaterad dödlighet (4,0% mot 5,1%, p=0,001) och hjärtinfarkt (5,8% mot 6,9%, p=0,005), utan skillnad för stroke (1,5% mot 1,3%, p=0,22. Ticagrelor är därmed det första blodproppshämmande läkemedlet som visat sig minska hjärt/kärlrelaterad död jämfört med clopidogrel hos patienter med akut kranskärlssjukdom.</w:t>
      </w:r>
    </w:p>
    <w:p w:rsidR="00F15273" w:rsidRPr="00EB3012" w:rsidRDefault="00F15273" w:rsidP="00657B7E"/>
    <w:p w:rsidR="00F15273" w:rsidRPr="00F15273" w:rsidRDefault="00F15273" w:rsidP="00F15273">
      <w:r w:rsidRPr="00EB3012">
        <w:t>En jämförelse med svenska RIKS-HIA visar att patienterna som deltagit i PLATO-studien speglar majoriteten av patienterna i den svens</w:t>
      </w:r>
      <w:r w:rsidR="007F7E7A" w:rsidRPr="00EB3012">
        <w:t>ka befolkningen som diagnostiser</w:t>
      </w:r>
      <w:r w:rsidRPr="00EB3012">
        <w:t>ats med akut kr</w:t>
      </w:r>
      <w:r w:rsidR="002F2A21" w:rsidRPr="00EB3012">
        <w:t>anskärlsjukdom under 1998-2005 (</w:t>
      </w:r>
      <w:r w:rsidRPr="00EB3012">
        <w:t>64%</w:t>
      </w:r>
      <w:r w:rsidR="007F7E7A" w:rsidRPr="00EB3012">
        <w:t xml:space="preserve"> av patienterna med ACS</w:t>
      </w:r>
      <w:r w:rsidRPr="00EB3012">
        <w:t>) och 2007 (79%</w:t>
      </w:r>
      <w:r w:rsidR="007F7E7A" w:rsidRPr="00EB3012">
        <w:t>)</w:t>
      </w:r>
      <w:r w:rsidR="002F2A21" w:rsidRPr="00EB3012">
        <w:t>.</w:t>
      </w:r>
      <w:r w:rsidR="007F7E7A" w:rsidRPr="00EB3012">
        <w:t xml:space="preserve"> </w:t>
      </w:r>
      <w:r w:rsidRPr="00EB3012">
        <w:t>Även om det fanns vissa skillnader mellan PLATO-studiens population och patienterna som kartlagts genom RIKS-</w:t>
      </w:r>
      <w:r w:rsidRPr="00EB3012">
        <w:lastRenderedPageBreak/>
        <w:t>HIA, är patienterna i studien representativa för oselekterade patienter med akut kranskärlsjukdom som behandlas inom den svenska vården.</w:t>
      </w:r>
      <w:r w:rsidR="007F7E7A" w:rsidRPr="00EB3012">
        <w:rPr>
          <w:rStyle w:val="EndnoteReference"/>
        </w:rPr>
        <w:endnoteReference w:id="13"/>
      </w:r>
    </w:p>
    <w:p w:rsidR="00631CBD" w:rsidRDefault="00631CBD" w:rsidP="00657B7E">
      <w:pPr>
        <w:pStyle w:val="Title"/>
        <w:rPr>
          <w:lang w:val="sv-SE"/>
        </w:rPr>
      </w:pPr>
    </w:p>
    <w:p w:rsidR="00657B7E" w:rsidRPr="0059066D" w:rsidRDefault="0006307C" w:rsidP="00657B7E">
      <w:pPr>
        <w:pStyle w:val="Title"/>
        <w:rPr>
          <w:lang w:val="sv-SE"/>
        </w:rPr>
      </w:pPr>
      <w:r w:rsidRPr="0059066D">
        <w:rPr>
          <w:lang w:val="sv-SE"/>
        </w:rPr>
        <w:t xml:space="preserve">Definition av blödning i PLATO-studien </w:t>
      </w:r>
    </w:p>
    <w:p w:rsidR="0006307C" w:rsidRPr="00657B7E" w:rsidRDefault="0006307C" w:rsidP="00657B7E">
      <w:pPr>
        <w:rPr>
          <w:szCs w:val="22"/>
        </w:rPr>
      </w:pPr>
      <w:r w:rsidRPr="00BD0F74">
        <w:t>De definitioner av blödning som används i PLATO-studien är en utveckling från definitionerna enligt CURE4 och har utvecklats av PLATOs styrkommitté. De</w:t>
      </w:r>
      <w:r w:rsidR="00210C2C">
        <w:t>nna definition</w:t>
      </w:r>
      <w:r w:rsidRPr="00BD0F74">
        <w:t xml:space="preserve"> utgör den mest lämpliga och kliniskt meningsfulla bedömning av blödningskomplikationer i samband med akut och kronisk behandling. Definitionerna ger utredarna ett ramverk för att registrera alla blödningar hos patienterna i PLATO-studien. Definitionerna har utvecklats för att karakterisera blödning i både akut och långsiktig perspektiv. </w:t>
      </w:r>
    </w:p>
    <w:p w:rsidR="00AC4D28" w:rsidRDefault="00AC4D28" w:rsidP="00657B7E">
      <w:pPr>
        <w:pStyle w:val="Title"/>
        <w:rPr>
          <w:lang w:val="sv-SE"/>
        </w:rPr>
      </w:pPr>
    </w:p>
    <w:p w:rsidR="00657B7E" w:rsidRPr="0059066D" w:rsidRDefault="0006307C" w:rsidP="00657B7E">
      <w:pPr>
        <w:pStyle w:val="Title"/>
        <w:rPr>
          <w:lang w:val="sv-SE"/>
        </w:rPr>
      </w:pPr>
      <w:r w:rsidRPr="0059066D">
        <w:rPr>
          <w:lang w:val="sv-SE"/>
        </w:rPr>
        <w:t>Sekundära effektmått i PLATO-studien</w:t>
      </w:r>
    </w:p>
    <w:p w:rsidR="00631CBD" w:rsidRDefault="0006307C" w:rsidP="00657B7E">
      <w:r w:rsidRPr="00BD0F74">
        <w:t>Hjärt/kärlrelaterad död (4,0</w:t>
      </w:r>
      <w:r w:rsidR="0092416F">
        <w:t xml:space="preserve"> </w:t>
      </w:r>
      <w:r w:rsidRPr="00BD0F74">
        <w:t>% mot 5,1</w:t>
      </w:r>
      <w:r w:rsidR="0092416F">
        <w:t xml:space="preserve"> </w:t>
      </w:r>
      <w:r w:rsidRPr="00BD0F74">
        <w:t>%, p=0,001) total död (4,5</w:t>
      </w:r>
      <w:r w:rsidR="0092416F">
        <w:t xml:space="preserve"> </w:t>
      </w:r>
      <w:r w:rsidRPr="00BD0F74">
        <w:t>% mot 5,9</w:t>
      </w:r>
      <w:r w:rsidR="0092416F">
        <w:t xml:space="preserve"> </w:t>
      </w:r>
      <w:r w:rsidRPr="00BD0F74">
        <w:t>% med clopidogrel, p &lt;0,001), hjärtinfarkt (5,8</w:t>
      </w:r>
      <w:r w:rsidR="0092416F">
        <w:t xml:space="preserve"> </w:t>
      </w:r>
      <w:r w:rsidRPr="00BD0F74">
        <w:t>% mot 6,9</w:t>
      </w:r>
      <w:r w:rsidR="0092416F">
        <w:t xml:space="preserve"> </w:t>
      </w:r>
      <w:r w:rsidRPr="00BD0F74">
        <w:t>%, p=0,005), kombinationen av hjärtinfarkt, stroke och total död (10,2</w:t>
      </w:r>
      <w:r w:rsidR="0092416F">
        <w:t xml:space="preserve"> </w:t>
      </w:r>
      <w:r w:rsidRPr="00BD0F74">
        <w:t>% mot 12,3</w:t>
      </w:r>
      <w:r w:rsidR="0092416F">
        <w:t xml:space="preserve"> </w:t>
      </w:r>
      <w:r w:rsidRPr="00BD0F74">
        <w:t>%, p&lt;0,001), och kombinationen av hjärt/kärlrelaterad död, hjärtinfarkt, stroke, transitorisk ischemisk attack, återkommande ischemi, svår återkommande hjärtischemi, och andra arteriella trombotiska händelser (14,6</w:t>
      </w:r>
      <w:r w:rsidR="0092416F">
        <w:t xml:space="preserve"> </w:t>
      </w:r>
      <w:r w:rsidRPr="00BD0F74">
        <w:t>% mot 16,7</w:t>
      </w:r>
      <w:r w:rsidR="0092416F">
        <w:t xml:space="preserve"> </w:t>
      </w:r>
      <w:r w:rsidRPr="00BD0F74">
        <w:t>%, p&lt;0,001).</w:t>
      </w:r>
    </w:p>
    <w:p w:rsidR="00631CBD" w:rsidRDefault="00631CBD" w:rsidP="00657B7E"/>
    <w:p w:rsidR="00456F9A" w:rsidRDefault="00631CBD" w:rsidP="00456F9A">
      <w:r>
        <w:rPr>
          <w:b/>
        </w:rPr>
        <w:t>OM STUDIEN</w:t>
      </w:r>
      <w:r w:rsidRPr="00631CBD">
        <w:rPr>
          <w:b/>
        </w:rPr>
        <w:t xml:space="preserve"> ONSET/OFFSET1</w:t>
      </w:r>
      <w:r>
        <w:t xml:space="preserve"> </w:t>
      </w:r>
      <w:r>
        <w:br/>
      </w:r>
      <w:r w:rsidR="0006307C" w:rsidRPr="00BD0F74">
        <w:t>Studien ONSET/OFFSET är en randomiserad dubbelblind multicenterstudie med parallella grupper, omfattande patienter med stabil kranskärlssjukdom (</w:t>
      </w:r>
      <w:proofErr w:type="spellStart"/>
      <w:r w:rsidR="00EE7AB4">
        <w:t>C</w:t>
      </w:r>
      <w:r w:rsidR="00210C2C">
        <w:t>oronary</w:t>
      </w:r>
      <w:proofErr w:type="spellEnd"/>
      <w:r w:rsidR="00210C2C">
        <w:t xml:space="preserve"> </w:t>
      </w:r>
      <w:proofErr w:type="spellStart"/>
      <w:r w:rsidR="00EE7AB4">
        <w:t>A</w:t>
      </w:r>
      <w:r w:rsidR="00210C2C">
        <w:t>rtery</w:t>
      </w:r>
      <w:proofErr w:type="spellEnd"/>
      <w:r w:rsidR="00210C2C">
        <w:t xml:space="preserve"> </w:t>
      </w:r>
      <w:proofErr w:type="spellStart"/>
      <w:r w:rsidR="00EE7AB4">
        <w:t>D</w:t>
      </w:r>
      <w:r w:rsidR="00210C2C">
        <w:t>isease</w:t>
      </w:r>
      <w:proofErr w:type="spellEnd"/>
      <w:r w:rsidR="00210C2C">
        <w:t xml:space="preserve"> = CAD)</w:t>
      </w:r>
      <w:r w:rsidR="0006307C" w:rsidRPr="00BD0F74">
        <w:t xml:space="preserve">) som behandlades med </w:t>
      </w:r>
      <w:r w:rsidR="0006307C" w:rsidRPr="00657B7E">
        <w:t>acetylsalicylsyra (ASA).</w:t>
      </w:r>
      <w:r w:rsidR="0006307C" w:rsidRPr="00BD0F74">
        <w:t xml:space="preserve"> Studien var upplagd för att mäta hur snabbt den trombocythämmande effekten satte in respektive upphörde vid behandling med ticagrelor respektive </w:t>
      </w:r>
      <w:proofErr w:type="spellStart"/>
      <w:r w:rsidR="00BA0EC7">
        <w:t>clopidogrel</w:t>
      </w:r>
      <w:proofErr w:type="spellEnd"/>
      <w:r w:rsidR="0006307C" w:rsidRPr="00BD0F74">
        <w:t xml:space="preserve"> </w:t>
      </w:r>
      <w:r w:rsidR="00210C2C">
        <w:t xml:space="preserve">hos </w:t>
      </w:r>
      <w:r w:rsidR="0006307C" w:rsidRPr="00BD0F74">
        <w:t xml:space="preserve">patienter med stabil CAD. 123 patienter med stabil CAD som stod på acetylsalicylsyra behandlades med antingen ticagrelor (laddningsdos 180 mg, därefter 90 mg två gånger dagligen (n=57)), </w:t>
      </w:r>
      <w:r w:rsidR="00BA0EC7">
        <w:t>clopidogrel</w:t>
      </w:r>
      <w:r w:rsidR="0006307C" w:rsidRPr="00BD0F74">
        <w:t xml:space="preserve"> (laddningsdos 600 mg, därefter 75 mg en gång dagligen (n=54)) eller placebo (n=12) under sex veckor. Den sammanlagda studietiden för varje patient var omkring 10 </w:t>
      </w:r>
      <w:r w:rsidR="00456F9A" w:rsidRPr="00A678C7">
        <w:t>veckor.</w:t>
      </w:r>
    </w:p>
    <w:p w:rsidR="00A678C7" w:rsidRDefault="00A678C7" w:rsidP="00950350">
      <w:pPr>
        <w:rPr>
          <w:rFonts w:asciiTheme="minorHAnsi" w:hAnsiTheme="minorHAnsi"/>
          <w:szCs w:val="22"/>
        </w:rPr>
      </w:pPr>
    </w:p>
    <w:p w:rsidR="00950350" w:rsidRPr="00367B70" w:rsidRDefault="00950350" w:rsidP="00950350">
      <w:pPr>
        <w:rPr>
          <w:rFonts w:asciiTheme="minorHAnsi" w:hAnsiTheme="minorHAnsi"/>
          <w:szCs w:val="22"/>
        </w:rPr>
      </w:pPr>
      <w:r w:rsidRPr="00367B70">
        <w:rPr>
          <w:rFonts w:asciiTheme="minorHAnsi" w:hAnsiTheme="minorHAnsi"/>
          <w:szCs w:val="22"/>
        </w:rPr>
        <w:t>Data från ONSET/OFFSET visade att behandling med ticagrelor i förhållande till klopidogrel gav en tidigare insättning av den trombocythämmande effekten (</w:t>
      </w:r>
      <w:r w:rsidR="009529A2">
        <w:rPr>
          <w:rFonts w:asciiTheme="minorHAnsi" w:hAnsiTheme="minorHAnsi"/>
          <w:szCs w:val="22"/>
        </w:rPr>
        <w:t xml:space="preserve">IPA=Impaired Platelet Aggregation, </w:t>
      </w:r>
      <w:proofErr w:type="gramStart"/>
      <w:r w:rsidRPr="00367B70">
        <w:rPr>
          <w:rFonts w:asciiTheme="minorHAnsi" w:hAnsiTheme="minorHAnsi"/>
          <w:szCs w:val="22"/>
        </w:rPr>
        <w:t>41%</w:t>
      </w:r>
      <w:proofErr w:type="gramEnd"/>
      <w:r w:rsidRPr="00367B70">
        <w:rPr>
          <w:rFonts w:asciiTheme="minorHAnsi" w:hAnsiTheme="minorHAnsi"/>
          <w:szCs w:val="22"/>
        </w:rPr>
        <w:t xml:space="preserve"> IPA mot 8% efter 30 minuter; p&lt;0,0001), en starkare hämning av trombocytaggregeringen  som kvarstod under fasen med underhållsbehandling, (p&lt;0,0001 under samtliga faser) och en snabbare utsättningseffekt för IPA för patienter med stabil kranskärlssjukdom (CAD) som behandlas med acetylsalicylsyra.</w:t>
      </w:r>
    </w:p>
    <w:p w:rsidR="00950350" w:rsidRPr="00367B70" w:rsidRDefault="00950350" w:rsidP="00950350">
      <w:pPr>
        <w:spacing w:before="100" w:beforeAutospacing="1" w:after="100" w:afterAutospacing="1"/>
        <w:rPr>
          <w:rFonts w:asciiTheme="minorHAnsi" w:hAnsiTheme="minorHAnsi"/>
          <w:szCs w:val="22"/>
        </w:rPr>
      </w:pPr>
      <w:r w:rsidRPr="00367B70">
        <w:rPr>
          <w:rFonts w:asciiTheme="minorHAnsi" w:hAnsiTheme="minorHAnsi"/>
          <w:szCs w:val="22"/>
        </w:rPr>
        <w:t>Dessa resultat uppnåddes med en laddningsdos av ticagrelor på 180 mg, följt av 90 mg två gånger dagligen, samma dos som i PLATO-studien (A Study of Platelet Inhibition and Patient Outcomes), vilket jämfördes med klopidogrel med en laddningsdos på 600 mg följt av 75 mg en gång dagligen.</w:t>
      </w:r>
    </w:p>
    <w:p w:rsidR="00950350" w:rsidRPr="00367B70" w:rsidRDefault="00950350" w:rsidP="00950350">
      <w:pPr>
        <w:spacing w:before="100" w:beforeAutospacing="1" w:after="100" w:afterAutospacing="1"/>
        <w:rPr>
          <w:rFonts w:asciiTheme="minorHAnsi" w:hAnsiTheme="minorHAnsi"/>
          <w:szCs w:val="22"/>
        </w:rPr>
      </w:pPr>
      <w:r w:rsidRPr="00367B70">
        <w:rPr>
          <w:rFonts w:asciiTheme="minorHAnsi" w:hAnsiTheme="minorHAnsi"/>
          <w:szCs w:val="22"/>
        </w:rPr>
        <w:t>Huvudresultat:</w:t>
      </w:r>
    </w:p>
    <w:p w:rsidR="00950350" w:rsidRPr="00367B70" w:rsidRDefault="00950350" w:rsidP="00950350">
      <w:pPr>
        <w:numPr>
          <w:ilvl w:val="0"/>
          <w:numId w:val="17"/>
        </w:numPr>
        <w:spacing w:before="100" w:beforeAutospacing="1" w:after="100" w:afterAutospacing="1"/>
        <w:rPr>
          <w:rFonts w:asciiTheme="minorHAnsi" w:hAnsiTheme="minorHAnsi"/>
          <w:szCs w:val="22"/>
        </w:rPr>
      </w:pPr>
      <w:r w:rsidRPr="00367B70">
        <w:rPr>
          <w:rFonts w:asciiTheme="minorHAnsi" w:hAnsiTheme="minorHAnsi"/>
          <w:szCs w:val="22"/>
        </w:rPr>
        <w:t xml:space="preserve">Ticagrelor gav större IPA än klopidogrel vid tidpunkterna 1/2, 1, 2, 4, 8 och 24 timmar efter laddningsdosen, och efter 6 veckors behandling (p&lt;0,0001 för samtliga tidpunkter). </w:t>
      </w:r>
    </w:p>
    <w:p w:rsidR="00950350" w:rsidRPr="00367B70" w:rsidRDefault="00950350" w:rsidP="00950350">
      <w:pPr>
        <w:numPr>
          <w:ilvl w:val="0"/>
          <w:numId w:val="17"/>
        </w:numPr>
        <w:spacing w:before="100" w:beforeAutospacing="1" w:after="100" w:afterAutospacing="1"/>
        <w:rPr>
          <w:rFonts w:asciiTheme="minorHAnsi" w:hAnsiTheme="minorHAnsi"/>
          <w:szCs w:val="22"/>
        </w:rPr>
      </w:pPr>
      <w:r w:rsidRPr="00367B70">
        <w:rPr>
          <w:rFonts w:asciiTheme="minorHAnsi" w:hAnsiTheme="minorHAnsi"/>
          <w:szCs w:val="22"/>
        </w:rPr>
        <w:t xml:space="preserve">2 timmar efter laddningsdosen hade en större andel av patienterna uppnått &gt;50% IPA (98% mot 31%, p&lt;0,0001) och 70% IPA (90% mot 16%, p&lt;0,0001) i ticagrelorgruppen jämfört med klopidogrelgruppen. </w:t>
      </w:r>
    </w:p>
    <w:p w:rsidR="00950350" w:rsidRPr="00367B70" w:rsidRDefault="00950350" w:rsidP="00950350">
      <w:pPr>
        <w:numPr>
          <w:ilvl w:val="0"/>
          <w:numId w:val="17"/>
        </w:numPr>
        <w:spacing w:before="100" w:beforeAutospacing="1" w:after="100" w:afterAutospacing="1"/>
        <w:rPr>
          <w:rFonts w:asciiTheme="minorHAnsi" w:hAnsiTheme="minorHAnsi"/>
          <w:szCs w:val="22"/>
        </w:rPr>
      </w:pPr>
      <w:r w:rsidRPr="00367B70">
        <w:rPr>
          <w:rFonts w:asciiTheme="minorHAnsi" w:hAnsiTheme="minorHAnsi"/>
          <w:szCs w:val="22"/>
        </w:rPr>
        <w:t xml:space="preserve">Minskningen av IPA-effekten efter utsättning skedde snabbare för ticagrelor än för klopidogrel (nedgång från 4 till 72 timmar, IPA(%)/timme): -1,037 mot -0,482, p&lt;0,0001). 24 timmar efter sista dosen hade medelvärdet för IPA sjunkit till 58% för ticagrelor mot 52% för </w:t>
      </w:r>
      <w:r w:rsidRPr="00367B70">
        <w:rPr>
          <w:rFonts w:asciiTheme="minorHAnsi" w:hAnsiTheme="minorHAnsi"/>
          <w:szCs w:val="22"/>
        </w:rPr>
        <w:lastRenderedPageBreak/>
        <w:t xml:space="preserve">klopidogrel (ej statistiskt säkerställd skillnad). Denna nivå på IPA vid behandling med ticagrelor är likvärdig med de nivåer patienter uppnådde vid underhållsbehandling med klopidogrel under studien. </w:t>
      </w:r>
    </w:p>
    <w:p w:rsidR="00456F9A" w:rsidRDefault="00950350" w:rsidP="00456F9A">
      <w:pPr>
        <w:rPr>
          <w:rFonts w:ascii="HelveticaNeueLTStd-Lt" w:hAnsi="HelveticaNeueLTStd-Lt" w:cs="HelveticaNeueLTStd-Lt"/>
          <w:color w:val="000000"/>
          <w:sz w:val="25"/>
          <w:szCs w:val="25"/>
        </w:rPr>
      </w:pPr>
      <w:r w:rsidRPr="00367B70">
        <w:rPr>
          <w:rFonts w:asciiTheme="minorHAnsi" w:hAnsiTheme="minorHAnsi"/>
          <w:szCs w:val="22"/>
        </w:rPr>
        <w:t>IPA för ticagrelor låg på samma nivå dag 3 efter sista dosen som för klopidogrel dag 5 efter sista dosen.</w:t>
      </w:r>
    </w:p>
    <w:p w:rsidR="0006307C" w:rsidRDefault="0006307C" w:rsidP="0006307C">
      <w:pPr>
        <w:spacing w:before="100" w:beforeAutospacing="1" w:after="100" w:afterAutospacing="1"/>
        <w:outlineLvl w:val="4"/>
        <w:rPr>
          <w:szCs w:val="22"/>
        </w:rPr>
      </w:pPr>
      <w:r w:rsidRPr="00BD0F74">
        <w:rPr>
          <w:rStyle w:val="TitleChar"/>
          <w:lang w:val="sv-SE"/>
        </w:rPr>
        <w:t>Om studien RESPOND</w:t>
      </w:r>
      <w:r w:rsidR="00456F9A" w:rsidRPr="00456F9A">
        <w:rPr>
          <w:rStyle w:val="TitleChar"/>
          <w:vertAlign w:val="superscript"/>
          <w:lang w:val="sv-SE"/>
        </w:rPr>
        <w:t>2</w:t>
      </w:r>
      <w:r w:rsidR="00210C2C">
        <w:rPr>
          <w:rStyle w:val="TitleChar"/>
          <w:lang w:val="sv-SE"/>
        </w:rPr>
        <w:t xml:space="preserve">  </w:t>
      </w:r>
      <w:r>
        <w:rPr>
          <w:b/>
          <w:szCs w:val="22"/>
        </w:rPr>
        <w:br/>
      </w:r>
      <w:r w:rsidRPr="005443A4">
        <w:rPr>
          <w:szCs w:val="22"/>
        </w:rPr>
        <w:t>Studien RESPOND var en randomiserad, i</w:t>
      </w:r>
      <w:r w:rsidR="00160D3D">
        <w:rPr>
          <w:szCs w:val="22"/>
        </w:rPr>
        <w:t>nternationell multicenterstudie</w:t>
      </w:r>
      <w:r w:rsidRPr="005443A4">
        <w:rPr>
          <w:szCs w:val="22"/>
        </w:rPr>
        <w:t xml:space="preserve">, utformad för att bedöma effekten av ticagrelor på patienter med stabil CAD (n=98) som antingen svarat eller inte svarat på behandling med </w:t>
      </w:r>
      <w:r w:rsidR="00BA0EC7">
        <w:rPr>
          <w:szCs w:val="22"/>
        </w:rPr>
        <w:t>clopidogrel</w:t>
      </w:r>
      <w:r w:rsidRPr="005443A4">
        <w:rPr>
          <w:szCs w:val="22"/>
        </w:rPr>
        <w:t xml:space="preserve">. </w:t>
      </w:r>
      <w:r>
        <w:rPr>
          <w:szCs w:val="22"/>
        </w:rPr>
        <w:br/>
      </w:r>
      <w:r>
        <w:rPr>
          <w:szCs w:val="22"/>
        </w:rPr>
        <w:br/>
      </w:r>
      <w:r w:rsidRPr="005443A4">
        <w:rPr>
          <w:szCs w:val="22"/>
        </w:rPr>
        <w:t xml:space="preserve">I en tvåvägs crossoverdesign fick patienter som inte svarat (n=41) respektive svarat (n=57) på </w:t>
      </w:r>
      <w:r w:rsidR="00BA0EC7">
        <w:rPr>
          <w:szCs w:val="22"/>
        </w:rPr>
        <w:t>clopidogrel</w:t>
      </w:r>
      <w:r w:rsidRPr="005443A4">
        <w:rPr>
          <w:szCs w:val="22"/>
        </w:rPr>
        <w:t xml:space="preserve"> antingen </w:t>
      </w:r>
      <w:r w:rsidR="00BA0EC7">
        <w:rPr>
          <w:szCs w:val="22"/>
        </w:rPr>
        <w:t>clopidogrel</w:t>
      </w:r>
      <w:r w:rsidRPr="005443A4">
        <w:rPr>
          <w:szCs w:val="22"/>
        </w:rPr>
        <w:t xml:space="preserve"> (600 mg laddningsdos, sedan 75 mg en gång dagligen) eller ticagrelor (180 mg laddningsdos, sedan 90 mg två gånger dagligen) i 14 dagar under period ett. Under period två bytte alla som från början inte svarat på </w:t>
      </w:r>
      <w:r w:rsidR="00BA0EC7">
        <w:rPr>
          <w:szCs w:val="22"/>
        </w:rPr>
        <w:t>clopidogrel</w:t>
      </w:r>
      <w:r w:rsidRPr="005443A4">
        <w:rPr>
          <w:szCs w:val="22"/>
        </w:rPr>
        <w:t xml:space="preserve"> preparat, medan hälften av de som svarat på </w:t>
      </w:r>
      <w:r w:rsidR="00BA0EC7">
        <w:rPr>
          <w:szCs w:val="22"/>
        </w:rPr>
        <w:t>clopidogrel</w:t>
      </w:r>
      <w:r w:rsidRPr="005443A4">
        <w:rPr>
          <w:szCs w:val="22"/>
        </w:rPr>
        <w:t xml:space="preserve"> fortsatte med samma preparat och den andra hälften bytte. Målet för studien var att mäta den trombocythämmande effekten av ticagrelor på patienter som svarat respektive inte svarat på </w:t>
      </w:r>
      <w:r w:rsidR="00BA0EC7">
        <w:rPr>
          <w:szCs w:val="22"/>
        </w:rPr>
        <w:t>clopidogrel</w:t>
      </w:r>
      <w:r w:rsidRPr="005443A4">
        <w:rPr>
          <w:szCs w:val="22"/>
        </w:rPr>
        <w:t>, och se hur effekten ändrades vid byte av preparat.</w:t>
      </w:r>
    </w:p>
    <w:p w:rsidR="00950350" w:rsidRPr="00367B70" w:rsidRDefault="00950350" w:rsidP="00950350">
      <w:pPr>
        <w:pStyle w:val="NormalWeb"/>
        <w:rPr>
          <w:rFonts w:asciiTheme="minorHAnsi" w:eastAsia="Times New Roman" w:hAnsiTheme="minorHAnsi"/>
          <w:sz w:val="22"/>
          <w:szCs w:val="22"/>
        </w:rPr>
      </w:pPr>
      <w:r>
        <w:rPr>
          <w:rFonts w:asciiTheme="minorHAnsi" w:eastAsia="Times New Roman" w:hAnsiTheme="minorHAnsi"/>
          <w:sz w:val="22"/>
          <w:szCs w:val="22"/>
        </w:rPr>
        <w:t>F</w:t>
      </w:r>
      <w:r w:rsidRPr="00367B70">
        <w:rPr>
          <w:rFonts w:asciiTheme="minorHAnsi" w:eastAsia="Times New Roman" w:hAnsiTheme="minorHAnsi"/>
          <w:sz w:val="22"/>
          <w:szCs w:val="22"/>
        </w:rPr>
        <w:t>as 2-studien RESPOND mättes den trombocythämmande effekten hos ticagrelor vid behandling både av patienter som svarat på klopidogrel och patienter som inte svarat på klopidogrel. I studien deltog 98 patienter med stabil kranskärlssjukdom.</w:t>
      </w:r>
    </w:p>
    <w:p w:rsidR="00950350" w:rsidRPr="00367B70" w:rsidRDefault="00950350" w:rsidP="00950350">
      <w:pPr>
        <w:spacing w:before="100" w:beforeAutospacing="1" w:after="100" w:afterAutospacing="1"/>
        <w:rPr>
          <w:rFonts w:asciiTheme="minorHAnsi" w:hAnsiTheme="minorHAnsi"/>
          <w:szCs w:val="22"/>
        </w:rPr>
      </w:pPr>
      <w:r w:rsidRPr="00367B70">
        <w:rPr>
          <w:rFonts w:asciiTheme="minorHAnsi" w:hAnsiTheme="minorHAnsi"/>
          <w:szCs w:val="22"/>
        </w:rPr>
        <w:t>För de patienter som svarat på klopidogrelbehandling gav en övergång från klopidogrel till ticagrelor en genomsnittlig ökning av IPA på 26%, medan en övergång från ticagrelor till klopidogrel gav en genomsnittlig minskning av IPA på 24%, vilket indikerar att patienter kan överföras från klopidogrel till ticagrelor utan något avbrott i den trombocythämmande effekten.</w:t>
      </w:r>
    </w:p>
    <w:p w:rsidR="00950350" w:rsidRPr="00367B70" w:rsidRDefault="00950350" w:rsidP="00950350">
      <w:pPr>
        <w:spacing w:before="100" w:beforeAutospacing="1" w:after="100" w:afterAutospacing="1"/>
        <w:rPr>
          <w:rFonts w:asciiTheme="minorHAnsi" w:hAnsiTheme="minorHAnsi"/>
          <w:szCs w:val="22"/>
        </w:rPr>
      </w:pPr>
      <w:r w:rsidRPr="00367B70">
        <w:rPr>
          <w:rFonts w:asciiTheme="minorHAnsi" w:hAnsiTheme="minorHAnsi"/>
          <w:szCs w:val="22"/>
        </w:rPr>
        <w:t>För de patienter som inte svarat på klopidogrelbehandling (s.k. non-responders) utgjordes det primära effektmåttet av skillnaden av andelen patienter i ticagrelorgruppen jämfört med klopidogrelgruppen som uppnådde en slutlig IPA på &gt;10%. Detta mått var inte statistiskt säkerställt. Förk</w:t>
      </w:r>
      <w:r>
        <w:rPr>
          <w:rFonts w:asciiTheme="minorHAnsi" w:hAnsiTheme="minorHAnsi"/>
          <w:szCs w:val="22"/>
        </w:rPr>
        <w:t>laringen till detta bedöms vara</w:t>
      </w:r>
      <w:r w:rsidRPr="00367B70">
        <w:rPr>
          <w:rFonts w:asciiTheme="minorHAnsi" w:hAnsiTheme="minorHAnsi"/>
          <w:szCs w:val="22"/>
        </w:rPr>
        <w:t> att en större andel än förväntat av non-responders på klopidogrel visade sig svara på behandling efter 14 dagar.  På IPA-nivåerna &gt;30% respektive &gt;50% förelåg dock signifikant skillnad med p-värde &lt;0,001.  Ytterligare analyser visade att IPA-effekten för ticagrelor vid steady state (dag 14) genomgående var större än för klopidogrel. p-värdena var &lt;0,05 för samtliga mätningar. Resultaten från RESPOND-studien visade att det är svårt att avgöra vilka patienter som svarar på klopidogrel, eftersom behandlingsresultatet varierar kraftigt.</w:t>
      </w:r>
    </w:p>
    <w:p w:rsidR="0006307C" w:rsidRPr="005443A4" w:rsidRDefault="0006307C" w:rsidP="0006307C">
      <w:pPr>
        <w:rPr>
          <w:szCs w:val="22"/>
        </w:rPr>
      </w:pPr>
    </w:p>
    <w:p w:rsidR="0006307C" w:rsidRPr="005443A4" w:rsidRDefault="0006307C">
      <w:pPr>
        <w:pStyle w:val="NormalWeb"/>
        <w:rPr>
          <w:rFonts w:ascii="Calibri" w:eastAsia="Times New Roman" w:hAnsi="Calibri"/>
          <w:sz w:val="22"/>
          <w:szCs w:val="22"/>
        </w:rPr>
      </w:pPr>
    </w:p>
    <w:p w:rsidR="0006307C" w:rsidRPr="005443A4" w:rsidRDefault="0006307C" w:rsidP="0006307C">
      <w:pPr>
        <w:rPr>
          <w:szCs w:val="22"/>
        </w:rPr>
      </w:pPr>
      <w:r w:rsidRPr="005443A4">
        <w:rPr>
          <w:szCs w:val="22"/>
        </w:rPr>
        <w:br/>
      </w:r>
      <w:r w:rsidRPr="005443A4">
        <w:rPr>
          <w:szCs w:val="22"/>
        </w:rPr>
        <w:br/>
      </w:r>
    </w:p>
    <w:p w:rsidR="0006307C" w:rsidRPr="005443A4" w:rsidRDefault="0006307C">
      <w:pPr>
        <w:rPr>
          <w:szCs w:val="22"/>
        </w:rPr>
      </w:pPr>
    </w:p>
    <w:sectPr w:rsidR="0006307C" w:rsidRPr="005443A4" w:rsidSect="0006307C">
      <w:footerReference w:type="default" r:id="rId11"/>
      <w:pgSz w:w="11900" w:h="16840"/>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91E" w:rsidRDefault="00BD791E" w:rsidP="0006307C">
      <w:r>
        <w:separator/>
      </w:r>
    </w:p>
  </w:endnote>
  <w:endnote w:type="continuationSeparator" w:id="0">
    <w:p w:rsidR="00BD791E" w:rsidRDefault="00BD791E" w:rsidP="0006307C">
      <w:r>
        <w:continuationSeparator/>
      </w:r>
    </w:p>
  </w:endnote>
  <w:endnote w:id="1">
    <w:p w:rsidR="00BD791E" w:rsidRPr="00BE59E1" w:rsidRDefault="00BD791E">
      <w:pPr>
        <w:pStyle w:val="EndnoteText"/>
        <w:rPr>
          <w:rFonts w:ascii="Calibri" w:hAnsi="Calibri"/>
          <w:sz w:val="16"/>
          <w:szCs w:val="16"/>
          <w:lang w:val="sv-SE"/>
        </w:rPr>
      </w:pPr>
      <w:r w:rsidRPr="00A9532E">
        <w:rPr>
          <w:rStyle w:val="EndnoteReference"/>
          <w:rFonts w:ascii="Calibri" w:hAnsi="Calibri"/>
          <w:sz w:val="16"/>
          <w:szCs w:val="16"/>
        </w:rPr>
        <w:endnoteRef/>
      </w:r>
      <w:r w:rsidRPr="00BE59E1">
        <w:rPr>
          <w:rFonts w:ascii="Calibri" w:hAnsi="Calibri"/>
          <w:sz w:val="16"/>
          <w:szCs w:val="16"/>
          <w:lang w:val="sv-SE"/>
        </w:rPr>
        <w:t xml:space="preserve"> AstraZenecas </w:t>
      </w:r>
      <w:r w:rsidRPr="00BD791E">
        <w:rPr>
          <w:rFonts w:ascii="Calibri" w:hAnsi="Calibri"/>
          <w:sz w:val="16"/>
          <w:szCs w:val="16"/>
          <w:lang w:val="sv-SE"/>
        </w:rPr>
        <w:t xml:space="preserve">hemsida </w:t>
      </w:r>
      <w:hyperlink r:id="rId1" w:history="1">
        <w:r w:rsidRPr="00BD791E">
          <w:rPr>
            <w:rStyle w:val="Hyperlink"/>
            <w:sz w:val="16"/>
            <w:szCs w:val="16"/>
          </w:rPr>
          <w:t>www.allahjartan.se</w:t>
        </w:r>
      </w:hyperlink>
      <w:r>
        <w:t xml:space="preserve"> </w:t>
      </w:r>
    </w:p>
  </w:endnote>
  <w:endnote w:id="2">
    <w:p w:rsidR="00BD791E" w:rsidRPr="00A9532E" w:rsidRDefault="00BD791E">
      <w:pPr>
        <w:pStyle w:val="EndnoteText"/>
        <w:rPr>
          <w:rFonts w:ascii="Calibri" w:hAnsi="Calibri"/>
          <w:sz w:val="16"/>
          <w:szCs w:val="16"/>
        </w:rPr>
      </w:pPr>
      <w:r w:rsidRPr="00A9532E">
        <w:rPr>
          <w:rStyle w:val="EndnoteReference"/>
          <w:rFonts w:ascii="Calibri" w:hAnsi="Calibri"/>
          <w:sz w:val="16"/>
          <w:szCs w:val="16"/>
        </w:rPr>
        <w:endnoteRef/>
      </w:r>
      <w:r w:rsidRPr="00BE59E1">
        <w:rPr>
          <w:rFonts w:ascii="Calibri" w:hAnsi="Calibri"/>
          <w:sz w:val="16"/>
          <w:szCs w:val="16"/>
          <w:lang w:val="sv-SE"/>
        </w:rPr>
        <w:t xml:space="preserve"> Bassand J-P, Hamm CW, Ardissimo D, et al.  </w:t>
      </w:r>
      <w:r w:rsidRPr="00A9532E">
        <w:rPr>
          <w:rFonts w:ascii="Calibri" w:hAnsi="Calibri"/>
          <w:sz w:val="16"/>
          <w:szCs w:val="16"/>
          <w:lang w:val="en-US"/>
        </w:rPr>
        <w:t xml:space="preserve">Guidelines for the diagnosis and treatment of non-ST-segment elevation acute coronary syndromes of the European Society of Cardiology. </w:t>
      </w:r>
      <w:r w:rsidRPr="00A9532E">
        <w:rPr>
          <w:rFonts w:ascii="Calibri" w:hAnsi="Calibri"/>
          <w:sz w:val="16"/>
          <w:szCs w:val="16"/>
        </w:rPr>
        <w:t>Eur Heart J. 2007;28:1598-1660.</w:t>
      </w:r>
    </w:p>
  </w:endnote>
  <w:endnote w:id="3">
    <w:p w:rsidR="00BD791E" w:rsidRPr="00A9532E" w:rsidRDefault="00BD791E" w:rsidP="0006307C">
      <w:pPr>
        <w:spacing w:line="240" w:lineRule="exact"/>
        <w:rPr>
          <w:rFonts w:cs="Arial"/>
          <w:bCs/>
          <w:sz w:val="16"/>
          <w:szCs w:val="16"/>
          <w:lang w:val="en-US"/>
        </w:rPr>
      </w:pPr>
      <w:r w:rsidRPr="00A9532E">
        <w:rPr>
          <w:rStyle w:val="EndnoteReference"/>
          <w:sz w:val="16"/>
          <w:szCs w:val="16"/>
        </w:rPr>
        <w:endnoteRef/>
      </w:r>
      <w:r w:rsidRPr="00A9532E">
        <w:rPr>
          <w:sz w:val="16"/>
          <w:szCs w:val="16"/>
          <w:lang w:val="en-US"/>
        </w:rPr>
        <w:t xml:space="preserve"> </w:t>
      </w:r>
      <w:r w:rsidRPr="00A9532E">
        <w:rPr>
          <w:rFonts w:cs="Arial"/>
          <w:bCs/>
          <w:sz w:val="16"/>
          <w:szCs w:val="16"/>
          <w:lang w:val="en-US"/>
        </w:rPr>
        <w:t xml:space="preserve">European Society of Cardiology (ESC). </w:t>
      </w:r>
      <w:proofErr w:type="gramStart"/>
      <w:r w:rsidRPr="00A9532E">
        <w:rPr>
          <w:rFonts w:cs="Arial"/>
          <w:bCs/>
          <w:sz w:val="16"/>
          <w:szCs w:val="16"/>
          <w:lang w:val="en-US"/>
        </w:rPr>
        <w:t xml:space="preserve">Acute Coronary </w:t>
      </w:r>
      <w:r w:rsidRPr="00BD791E">
        <w:rPr>
          <w:rFonts w:cs="Arial"/>
          <w:bCs/>
          <w:sz w:val="16"/>
          <w:szCs w:val="16"/>
          <w:lang w:val="en-US"/>
        </w:rPr>
        <w:t>Syndromes II.</w:t>
      </w:r>
      <w:proofErr w:type="gramEnd"/>
      <w:r w:rsidRPr="00BD791E">
        <w:rPr>
          <w:rFonts w:cs="Arial"/>
          <w:bCs/>
          <w:sz w:val="16"/>
          <w:szCs w:val="16"/>
          <w:lang w:val="en-US"/>
        </w:rPr>
        <w:t xml:space="preserve"> </w:t>
      </w:r>
      <w:hyperlink r:id="rId2" w:history="1">
        <w:r w:rsidRPr="00BD791E">
          <w:rPr>
            <w:rStyle w:val="Hyperlink"/>
            <w:sz w:val="16"/>
            <w:szCs w:val="16"/>
            <w:lang w:val="en-US"/>
          </w:rPr>
          <w:t>http://www.escardio.org/guidelines-surveys/ehs/acute-coronary-syndromes/pages/acs-ii-survey.aspx</w:t>
        </w:r>
      </w:hyperlink>
      <w:r w:rsidRPr="00BD791E">
        <w:rPr>
          <w:sz w:val="16"/>
          <w:szCs w:val="16"/>
          <w:lang w:val="en-US"/>
        </w:rPr>
        <w:t xml:space="preserve"> </w:t>
      </w:r>
      <w:r w:rsidRPr="00BD791E">
        <w:rPr>
          <w:rFonts w:cs="Arial"/>
          <w:bCs/>
          <w:sz w:val="16"/>
          <w:szCs w:val="16"/>
          <w:lang w:val="en-US"/>
        </w:rPr>
        <w:t xml:space="preserve"> Accessed</w:t>
      </w:r>
      <w:r w:rsidRPr="00A9532E">
        <w:rPr>
          <w:rFonts w:cs="Arial"/>
          <w:bCs/>
          <w:sz w:val="16"/>
          <w:szCs w:val="16"/>
          <w:lang w:val="en-US"/>
        </w:rPr>
        <w:t xml:space="preserve"> august 18th </w:t>
      </w:r>
    </w:p>
    <w:p w:rsidR="00BD791E" w:rsidRPr="00A9532E" w:rsidRDefault="00BD791E">
      <w:pPr>
        <w:pStyle w:val="EndnoteText"/>
        <w:rPr>
          <w:rFonts w:ascii="Calibri" w:hAnsi="Calibri"/>
          <w:sz w:val="16"/>
          <w:szCs w:val="16"/>
          <w:lang w:val="en-US"/>
        </w:rPr>
      </w:pPr>
    </w:p>
  </w:endnote>
  <w:endnote w:id="4">
    <w:p w:rsidR="00BD791E" w:rsidRPr="00AA0918" w:rsidRDefault="00BD791E">
      <w:pPr>
        <w:pStyle w:val="EndnoteText"/>
        <w:rPr>
          <w:rFonts w:ascii="Calibri" w:hAnsi="Calibri"/>
          <w:sz w:val="16"/>
          <w:szCs w:val="16"/>
          <w:lang w:val="en-US"/>
        </w:rPr>
      </w:pPr>
      <w:r w:rsidRPr="00F34D09">
        <w:rPr>
          <w:rStyle w:val="EndnoteReference"/>
          <w:rFonts w:ascii="Calibri" w:hAnsi="Calibri"/>
          <w:sz w:val="16"/>
          <w:szCs w:val="16"/>
        </w:rPr>
        <w:endnoteRef/>
      </w:r>
      <w:r w:rsidRPr="00F34D09">
        <w:rPr>
          <w:rFonts w:ascii="Calibri" w:hAnsi="Calibri"/>
          <w:sz w:val="16"/>
          <w:szCs w:val="16"/>
          <w:lang w:val="en-US"/>
        </w:rPr>
        <w:t xml:space="preserve"> </w:t>
      </w:r>
      <w:proofErr w:type="spellStart"/>
      <w:r w:rsidRPr="00F34D09">
        <w:rPr>
          <w:rFonts w:ascii="Calibri" w:hAnsi="Calibri"/>
          <w:sz w:val="16"/>
          <w:szCs w:val="16"/>
        </w:rPr>
        <w:t>Turpie</w:t>
      </w:r>
      <w:proofErr w:type="spellEnd"/>
      <w:r w:rsidRPr="00F34D09">
        <w:rPr>
          <w:rFonts w:ascii="Calibri" w:hAnsi="Calibri"/>
          <w:sz w:val="16"/>
          <w:szCs w:val="16"/>
        </w:rPr>
        <w:t xml:space="preserve"> A. Burden of disease: medical and economic impact of acute coronary syndromes</w:t>
      </w:r>
      <w:r w:rsidRPr="00F34D09">
        <w:rPr>
          <w:rFonts w:ascii="Calibri" w:hAnsi="Calibri"/>
          <w:i/>
          <w:sz w:val="16"/>
          <w:szCs w:val="16"/>
        </w:rPr>
        <w:t>. Am J Managed Care</w:t>
      </w:r>
      <w:r w:rsidRPr="00F34D09">
        <w:rPr>
          <w:rFonts w:ascii="Calibri" w:hAnsi="Calibri"/>
          <w:sz w:val="16"/>
          <w:szCs w:val="16"/>
        </w:rPr>
        <w:t xml:space="preserve"> 2006; </w:t>
      </w:r>
      <w:r w:rsidRPr="00F34D09">
        <w:rPr>
          <w:rFonts w:ascii="Calibri" w:hAnsi="Calibri"/>
          <w:b/>
          <w:sz w:val="16"/>
          <w:szCs w:val="16"/>
        </w:rPr>
        <w:t>12</w:t>
      </w:r>
      <w:r w:rsidRPr="00F34D09">
        <w:rPr>
          <w:rFonts w:ascii="Calibri" w:hAnsi="Calibri"/>
          <w:sz w:val="16"/>
          <w:szCs w:val="16"/>
        </w:rPr>
        <w:t xml:space="preserve"> </w:t>
      </w:r>
      <w:r w:rsidRPr="00F34D09">
        <w:rPr>
          <w:rFonts w:ascii="Calibri" w:hAnsi="Calibri"/>
          <w:b/>
          <w:sz w:val="16"/>
          <w:szCs w:val="16"/>
        </w:rPr>
        <w:t xml:space="preserve">(16 </w:t>
      </w:r>
      <w:proofErr w:type="spellStart"/>
      <w:r w:rsidRPr="00F34D09">
        <w:rPr>
          <w:rFonts w:ascii="Calibri" w:hAnsi="Calibri"/>
          <w:b/>
          <w:sz w:val="16"/>
          <w:szCs w:val="16"/>
        </w:rPr>
        <w:t>suppl</w:t>
      </w:r>
      <w:proofErr w:type="spellEnd"/>
      <w:r w:rsidRPr="00F34D09">
        <w:rPr>
          <w:rFonts w:ascii="Calibri" w:hAnsi="Calibri"/>
          <w:b/>
          <w:sz w:val="16"/>
          <w:szCs w:val="16"/>
        </w:rPr>
        <w:t>)</w:t>
      </w:r>
      <w:r w:rsidRPr="00F34D09">
        <w:rPr>
          <w:rFonts w:ascii="Calibri" w:hAnsi="Calibri"/>
          <w:sz w:val="16"/>
          <w:szCs w:val="16"/>
        </w:rPr>
        <w:t>: S430-4.</w:t>
      </w:r>
    </w:p>
  </w:endnote>
  <w:endnote w:id="5">
    <w:p w:rsidR="00BD791E" w:rsidRPr="00CB38D7" w:rsidRDefault="00BD791E" w:rsidP="00FA0D5A">
      <w:pPr>
        <w:pStyle w:val="EndnoteText"/>
        <w:rPr>
          <w:lang w:val="en-US"/>
        </w:rPr>
      </w:pPr>
      <w:r>
        <w:rPr>
          <w:rStyle w:val="EndnoteReference"/>
        </w:rPr>
        <w:endnoteRef/>
      </w:r>
      <w:r w:rsidRPr="00CB38D7">
        <w:rPr>
          <w:lang w:val="en-US"/>
        </w:rPr>
        <w:t xml:space="preserve"> </w:t>
      </w:r>
      <w:r w:rsidRPr="00CB38D7">
        <w:rPr>
          <w:sz w:val="16"/>
          <w:szCs w:val="16"/>
          <w:lang w:val="en-US"/>
        </w:rPr>
        <w:t>Fass.se</w:t>
      </w:r>
    </w:p>
  </w:endnote>
  <w:endnote w:id="6">
    <w:p w:rsidR="00BD791E" w:rsidRPr="00CB38D7" w:rsidRDefault="00BD791E">
      <w:pPr>
        <w:pStyle w:val="EndnoteText"/>
        <w:rPr>
          <w:sz w:val="16"/>
          <w:szCs w:val="16"/>
          <w:lang w:val="en-US"/>
        </w:rPr>
      </w:pPr>
      <w:r>
        <w:rPr>
          <w:rStyle w:val="EndnoteReference"/>
        </w:rPr>
        <w:endnoteRef/>
      </w:r>
      <w:r w:rsidRPr="00CB38D7">
        <w:rPr>
          <w:lang w:val="en-US"/>
        </w:rPr>
        <w:t xml:space="preserve"> </w:t>
      </w:r>
      <w:r w:rsidRPr="00CB38D7">
        <w:rPr>
          <w:rFonts w:ascii="Calibri" w:hAnsi="Calibri"/>
          <w:sz w:val="16"/>
          <w:szCs w:val="16"/>
          <w:lang w:val="en-US"/>
        </w:rPr>
        <w:t>Internmedicin 4e upplaga, sid 150, Lars Wallentin, Liber AB</w:t>
      </w:r>
    </w:p>
  </w:endnote>
  <w:endnote w:id="7">
    <w:p w:rsidR="00BD791E" w:rsidRPr="00A9532E" w:rsidRDefault="00BD791E">
      <w:pPr>
        <w:pStyle w:val="EndnoteText"/>
        <w:rPr>
          <w:rFonts w:ascii="Calibri" w:hAnsi="Calibri"/>
          <w:sz w:val="16"/>
          <w:szCs w:val="16"/>
          <w:lang w:val="sv-SE"/>
        </w:rPr>
      </w:pPr>
      <w:r w:rsidRPr="00A9532E">
        <w:rPr>
          <w:rStyle w:val="EndnoteReference"/>
          <w:rFonts w:ascii="Calibri" w:hAnsi="Calibri"/>
          <w:sz w:val="16"/>
          <w:szCs w:val="16"/>
        </w:rPr>
        <w:endnoteRef/>
      </w:r>
      <w:r w:rsidRPr="00A9532E">
        <w:rPr>
          <w:rFonts w:ascii="Calibri" w:hAnsi="Calibri"/>
          <w:sz w:val="16"/>
          <w:szCs w:val="16"/>
          <w:lang w:val="sv-SE"/>
        </w:rPr>
        <w:t xml:space="preserve"> </w:t>
      </w:r>
      <w:r w:rsidRPr="00BD791E">
        <w:rPr>
          <w:rFonts w:ascii="Calibri" w:hAnsi="Calibri"/>
          <w:sz w:val="16"/>
          <w:szCs w:val="16"/>
          <w:lang w:val="sv-SE"/>
        </w:rPr>
        <w:t xml:space="preserve">Ellis et al (2004) </w:t>
      </w:r>
    </w:p>
  </w:endnote>
  <w:endnote w:id="8">
    <w:p w:rsidR="00BD791E" w:rsidRPr="00D676CA" w:rsidRDefault="00BD791E">
      <w:pPr>
        <w:pStyle w:val="EndnoteText"/>
      </w:pPr>
      <w:r>
        <w:rPr>
          <w:rStyle w:val="EndnoteReference"/>
        </w:rPr>
        <w:endnoteRef/>
      </w:r>
      <w:r>
        <w:t xml:space="preserve"> </w:t>
      </w:r>
      <w:r w:rsidRPr="00A9532E">
        <w:rPr>
          <w:rStyle w:val="EndnoteReference"/>
          <w:rFonts w:ascii="Calibri" w:hAnsi="Calibri"/>
          <w:sz w:val="16"/>
          <w:szCs w:val="16"/>
        </w:rPr>
        <w:endnoteRef/>
      </w:r>
      <w:r w:rsidRPr="00D676CA">
        <w:rPr>
          <w:rFonts w:ascii="Calibri" w:hAnsi="Calibri"/>
          <w:sz w:val="16"/>
          <w:szCs w:val="16"/>
          <w:lang w:val="en-US"/>
        </w:rPr>
        <w:t xml:space="preserve"> </w:t>
      </w:r>
      <w:proofErr w:type="gramStart"/>
      <w:r w:rsidRPr="00D676CA">
        <w:rPr>
          <w:rFonts w:ascii="Calibri" w:hAnsi="Calibri"/>
          <w:sz w:val="16"/>
          <w:szCs w:val="16"/>
          <w:lang w:val="en-US"/>
        </w:rPr>
        <w:t>Bassand J-P, Hamm CW, Ardissimo D, et al.</w:t>
      </w:r>
      <w:proofErr w:type="gramEnd"/>
      <w:r w:rsidRPr="00D676CA">
        <w:rPr>
          <w:rFonts w:ascii="Calibri" w:hAnsi="Calibri"/>
          <w:sz w:val="16"/>
          <w:szCs w:val="16"/>
          <w:lang w:val="en-US"/>
        </w:rPr>
        <w:t xml:space="preserve">  </w:t>
      </w:r>
      <w:r w:rsidRPr="00A9532E">
        <w:rPr>
          <w:rFonts w:ascii="Calibri" w:hAnsi="Calibri"/>
          <w:sz w:val="16"/>
          <w:szCs w:val="16"/>
          <w:lang w:val="en-US"/>
        </w:rPr>
        <w:t xml:space="preserve">Guidelines for the diagnosis and treatment of non-ST-segment elevation acute coronary syndromes of the European Society of Cardiology. </w:t>
      </w:r>
      <w:r w:rsidRPr="00A9532E">
        <w:rPr>
          <w:rFonts w:ascii="Calibri" w:hAnsi="Calibri"/>
          <w:sz w:val="16"/>
          <w:szCs w:val="16"/>
        </w:rPr>
        <w:t>Eur Heart J. 2007;28:1598-1660.</w:t>
      </w:r>
    </w:p>
  </w:endnote>
  <w:endnote w:id="9">
    <w:p w:rsidR="00BD791E" w:rsidRPr="00A9532E" w:rsidRDefault="00BD791E" w:rsidP="0006307C">
      <w:pPr>
        <w:spacing w:line="240" w:lineRule="exact"/>
        <w:rPr>
          <w:rFonts w:cs="Arial"/>
          <w:sz w:val="16"/>
          <w:szCs w:val="16"/>
          <w:lang w:val="en-US"/>
        </w:rPr>
      </w:pPr>
      <w:r w:rsidRPr="00A9532E">
        <w:rPr>
          <w:rStyle w:val="EndnoteReference"/>
          <w:sz w:val="16"/>
          <w:szCs w:val="16"/>
        </w:rPr>
        <w:endnoteRef/>
      </w:r>
      <w:r w:rsidRPr="00A9532E">
        <w:rPr>
          <w:sz w:val="16"/>
          <w:szCs w:val="16"/>
          <w:lang w:val="en-US"/>
        </w:rPr>
        <w:t xml:space="preserve"> </w:t>
      </w:r>
      <w:r w:rsidRPr="00A9532E">
        <w:rPr>
          <w:rFonts w:cs="Arial"/>
          <w:sz w:val="16"/>
          <w:szCs w:val="16"/>
          <w:lang w:val="fr-FR"/>
        </w:rPr>
        <w:t xml:space="preserve">Collinson J, Flather MD, Fox KAA, et al. </w:t>
      </w:r>
      <w:r w:rsidRPr="00A9532E">
        <w:rPr>
          <w:rFonts w:cs="Arial"/>
          <w:sz w:val="16"/>
          <w:szCs w:val="16"/>
          <w:lang w:val="en-US"/>
        </w:rPr>
        <w:t>Clinical outcomes, risk stratification and practice patterns of unstable angina and myocardial infarction without ST elevation: Prospective Registry of Acute Ischaemic Syndromes in the UK (PRAIS-UK) Eur Heart J. 2000;21:1450-1457.</w:t>
      </w:r>
    </w:p>
    <w:p w:rsidR="00BD791E" w:rsidRPr="00A9532E" w:rsidRDefault="00BD791E">
      <w:pPr>
        <w:pStyle w:val="EndnoteText"/>
        <w:rPr>
          <w:rFonts w:ascii="Calibri" w:hAnsi="Calibri"/>
          <w:sz w:val="16"/>
          <w:szCs w:val="16"/>
          <w:lang w:val="en-US"/>
        </w:rPr>
      </w:pPr>
    </w:p>
  </w:endnote>
  <w:endnote w:id="10">
    <w:p w:rsidR="00BD791E" w:rsidRPr="00A9532E" w:rsidRDefault="00BD791E">
      <w:pPr>
        <w:pStyle w:val="EndnoteText"/>
        <w:rPr>
          <w:rFonts w:ascii="Calibri" w:hAnsi="Calibri"/>
          <w:sz w:val="16"/>
          <w:szCs w:val="16"/>
        </w:rPr>
      </w:pPr>
      <w:r w:rsidRPr="00A9532E">
        <w:rPr>
          <w:rStyle w:val="EndnoteReference"/>
          <w:rFonts w:ascii="Calibri" w:hAnsi="Calibri"/>
          <w:sz w:val="16"/>
          <w:szCs w:val="16"/>
        </w:rPr>
        <w:endnoteRef/>
      </w:r>
      <w:r w:rsidRPr="00A9532E">
        <w:rPr>
          <w:rFonts w:ascii="Calibri" w:hAnsi="Calibri"/>
          <w:sz w:val="16"/>
          <w:szCs w:val="16"/>
        </w:rPr>
        <w:t xml:space="preserve"> </w:t>
      </w:r>
      <w:r w:rsidRPr="00A9532E">
        <w:rPr>
          <w:rFonts w:ascii="Calibri" w:hAnsi="Calibri"/>
          <w:sz w:val="16"/>
          <w:szCs w:val="16"/>
          <w:lang w:val="en-US"/>
        </w:rPr>
        <w:t xml:space="preserve">Van de Werf F, Bax J, Betriu A, et al, for the Task Force on the management of ST-segment elevation acute myocardial infarction of the European Society of Cardiology.  Management of acute myocardial infarction in patients presenting with persistent ST-segment elevation. </w:t>
      </w:r>
      <w:r w:rsidRPr="00A9532E">
        <w:rPr>
          <w:rFonts w:ascii="Calibri" w:hAnsi="Calibri"/>
          <w:sz w:val="16"/>
          <w:szCs w:val="16"/>
        </w:rPr>
        <w:t>Eur Heart J. 2008;29:2909-45.</w:t>
      </w:r>
    </w:p>
  </w:endnote>
  <w:endnote w:id="11">
    <w:p w:rsidR="00BD791E" w:rsidRPr="00A9532E" w:rsidRDefault="00BD791E" w:rsidP="0006307C">
      <w:pPr>
        <w:pStyle w:val="EndnoteText"/>
        <w:rPr>
          <w:rFonts w:ascii="Calibri" w:hAnsi="Calibri"/>
          <w:sz w:val="16"/>
          <w:szCs w:val="16"/>
        </w:rPr>
      </w:pPr>
      <w:r w:rsidRPr="00A9532E">
        <w:rPr>
          <w:rStyle w:val="EndnoteReference"/>
          <w:rFonts w:ascii="Calibri" w:hAnsi="Calibri"/>
          <w:sz w:val="16"/>
          <w:szCs w:val="16"/>
        </w:rPr>
        <w:endnoteRef/>
      </w:r>
      <w:r w:rsidRPr="00A9532E">
        <w:rPr>
          <w:rFonts w:ascii="Calibri" w:hAnsi="Calibri"/>
          <w:sz w:val="16"/>
          <w:szCs w:val="16"/>
          <w:lang w:val="en-US"/>
        </w:rPr>
        <w:t xml:space="preserve"> </w:t>
      </w:r>
      <w:r w:rsidRPr="00A9532E">
        <w:rPr>
          <w:rFonts w:ascii="Calibri" w:hAnsi="Calibri"/>
          <w:sz w:val="16"/>
          <w:szCs w:val="16"/>
        </w:rPr>
        <w:t xml:space="preserve">McCollam P, Etemad L. Cost of care for new-onset acute coronary syndrome patients who undergo coronary revascularization. </w:t>
      </w:r>
      <w:r w:rsidRPr="00A9532E">
        <w:rPr>
          <w:rFonts w:ascii="Calibri" w:hAnsi="Calibri"/>
          <w:i/>
          <w:sz w:val="16"/>
          <w:szCs w:val="16"/>
        </w:rPr>
        <w:t>J Invasive Cardiol</w:t>
      </w:r>
      <w:r w:rsidRPr="00A9532E">
        <w:rPr>
          <w:rFonts w:ascii="Calibri" w:hAnsi="Calibri"/>
          <w:sz w:val="16"/>
          <w:szCs w:val="16"/>
        </w:rPr>
        <w:t xml:space="preserve"> 2005; </w:t>
      </w:r>
      <w:r w:rsidRPr="00A9532E">
        <w:rPr>
          <w:rFonts w:ascii="Calibri" w:hAnsi="Calibri"/>
          <w:b/>
          <w:sz w:val="16"/>
          <w:szCs w:val="16"/>
        </w:rPr>
        <w:t>17</w:t>
      </w:r>
      <w:r w:rsidRPr="00A9532E">
        <w:rPr>
          <w:rFonts w:ascii="Calibri" w:hAnsi="Calibri"/>
          <w:sz w:val="16"/>
          <w:szCs w:val="16"/>
        </w:rPr>
        <w:t>: 307-11.</w:t>
      </w:r>
    </w:p>
  </w:endnote>
  <w:endnote w:id="12">
    <w:p w:rsidR="00BD791E" w:rsidRPr="00F67D3A" w:rsidRDefault="00BD791E" w:rsidP="0006307C">
      <w:pPr>
        <w:pStyle w:val="EndnoteText"/>
        <w:rPr>
          <w:szCs w:val="16"/>
        </w:rPr>
      </w:pPr>
      <w:r w:rsidRPr="00A9532E">
        <w:rPr>
          <w:rStyle w:val="EndnoteReference"/>
          <w:rFonts w:ascii="Calibri" w:hAnsi="Calibri"/>
          <w:sz w:val="16"/>
          <w:szCs w:val="16"/>
        </w:rPr>
        <w:endnoteRef/>
      </w:r>
      <w:r w:rsidRPr="00A9532E">
        <w:rPr>
          <w:rFonts w:ascii="Calibri" w:hAnsi="Calibri"/>
          <w:sz w:val="16"/>
          <w:szCs w:val="16"/>
        </w:rPr>
        <w:t xml:space="preserve"> Etemad LR, McCollam PL. Total first-year costs of acute coronary syndrome in a managed care setting. </w:t>
      </w:r>
      <w:r w:rsidRPr="00A9532E">
        <w:rPr>
          <w:rFonts w:ascii="Calibri" w:hAnsi="Calibri"/>
          <w:i/>
          <w:sz w:val="16"/>
          <w:szCs w:val="16"/>
        </w:rPr>
        <w:t>J Manag Care Pharm</w:t>
      </w:r>
      <w:r w:rsidRPr="00A9532E">
        <w:rPr>
          <w:rFonts w:ascii="Calibri" w:hAnsi="Calibri"/>
          <w:sz w:val="16"/>
          <w:szCs w:val="16"/>
        </w:rPr>
        <w:t xml:space="preserve"> 2005; </w:t>
      </w:r>
      <w:r w:rsidRPr="00A9532E">
        <w:rPr>
          <w:rFonts w:ascii="Calibri" w:hAnsi="Calibri"/>
          <w:b/>
          <w:sz w:val="16"/>
          <w:szCs w:val="16"/>
        </w:rPr>
        <w:t>11</w:t>
      </w:r>
      <w:r w:rsidRPr="00A9532E">
        <w:rPr>
          <w:rFonts w:ascii="Calibri" w:hAnsi="Calibri"/>
          <w:sz w:val="16"/>
          <w:szCs w:val="16"/>
        </w:rPr>
        <w:t>: 300-6.</w:t>
      </w:r>
    </w:p>
  </w:endnote>
  <w:endnote w:id="13">
    <w:p w:rsidR="00BD791E" w:rsidRPr="00B04F48" w:rsidRDefault="00BD791E" w:rsidP="007F7E7A">
      <w:pPr>
        <w:pStyle w:val="EndnoteText"/>
      </w:pPr>
      <w:r>
        <w:rPr>
          <w:rStyle w:val="EndnoteReference"/>
        </w:rPr>
        <w:endnoteRef/>
      </w:r>
      <w:r>
        <w:t xml:space="preserve"> </w:t>
      </w:r>
      <w:r w:rsidRPr="00266E61">
        <w:rPr>
          <w:rFonts w:asciiTheme="minorHAnsi" w:hAnsiTheme="minorHAnsi"/>
          <w:sz w:val="16"/>
          <w:szCs w:val="16"/>
        </w:rPr>
        <w:t xml:space="preserve">Stenestrand U, Johansson S, Janzon M, Wallentin L, The Platelet Inhibition and Patient Outcomes Trial is Representative of Patients with Acute Coronary Syndromes in a National Heart Registry. </w:t>
      </w:r>
      <w:r w:rsidRPr="00266E61">
        <w:rPr>
          <w:rFonts w:asciiTheme="minorHAnsi" w:hAnsiTheme="minorHAnsi"/>
          <w:sz w:val="16"/>
          <w:szCs w:val="16"/>
          <w:lang w:val="en-US"/>
        </w:rPr>
        <w:t>Poster presentation, 59th Annual Scientific Session of the American College of Cardiology (ACC), Atlanta, GA, USA, 2010</w:t>
      </w:r>
    </w:p>
    <w:p w:rsidR="00BD791E" w:rsidRPr="007F7E7A" w:rsidRDefault="00BD791E">
      <w:pPr>
        <w:pStyle w:val="EndnoteText"/>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duit ITC Bold">
    <w:altName w:val="Courier New"/>
    <w:charset w:val="00"/>
    <w:family w:val="auto"/>
    <w:pitch w:val="variable"/>
    <w:sig w:usb0="00000000" w:usb1="00000000" w:usb2="00000000" w:usb3="00000000" w:csb0="00000001" w:csb1="00000000"/>
  </w:font>
  <w:font w:name="Conduit ITC Light">
    <w:altName w:val="Courier New"/>
    <w:charset w:val="00"/>
    <w:family w:val="auto"/>
    <w:pitch w:val="variable"/>
    <w:sig w:usb0="00000000"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E" w:rsidRPr="00BD0F74" w:rsidRDefault="00BD791E">
    <w:pPr>
      <w:pStyle w:val="Footer"/>
      <w:rPr>
        <w:rFonts w:ascii="Calibri" w:hAnsi="Calibri"/>
      </w:rPr>
    </w:pPr>
    <w:r w:rsidRPr="00BD0F74">
      <w:rPr>
        <w:rFonts w:ascii="Calibri" w:hAnsi="Calibri"/>
      </w:rPr>
      <w:t>Ett pressmaterial från AstraZeneca Sverige</w:t>
    </w:r>
    <w:r>
      <w:rPr>
        <w:rFonts w:ascii="Calibri" w:hAnsi="Calibri"/>
      </w:rPr>
      <w:t>,</w:t>
    </w:r>
    <w:r w:rsidRPr="00BD0F74">
      <w:rPr>
        <w:rFonts w:ascii="Calibri" w:hAnsi="Calibri"/>
      </w:rPr>
      <w:t xml:space="preserve"> </w:t>
    </w:r>
    <w:r>
      <w:rPr>
        <w:rFonts w:ascii="Calibri" w:hAnsi="Calibri"/>
      </w:rPr>
      <w:t>2010</w:t>
    </w:r>
  </w:p>
  <w:p w:rsidR="00BD791E" w:rsidRDefault="00BD7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91E" w:rsidRDefault="00BD791E" w:rsidP="0006307C">
      <w:r>
        <w:separator/>
      </w:r>
    </w:p>
  </w:footnote>
  <w:footnote w:type="continuationSeparator" w:id="0">
    <w:p w:rsidR="00BD791E" w:rsidRDefault="00BD791E" w:rsidP="00063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F58"/>
    <w:multiLevelType w:val="hybridMultilevel"/>
    <w:tmpl w:val="B518EACA"/>
    <w:lvl w:ilvl="0" w:tplc="6302B78A">
      <w:start w:val="1"/>
      <w:numFmt w:val="bullet"/>
      <w:lvlText w:val=""/>
      <w:lvlJc w:val="left"/>
      <w:pPr>
        <w:tabs>
          <w:tab w:val="num" w:pos="360"/>
        </w:tabs>
        <w:ind w:left="360" w:hanging="360"/>
      </w:pPr>
      <w:rPr>
        <w:rFonts w:ascii="Wingdings" w:hAnsi="Wingdings" w:hint="default"/>
        <w:b w:val="0"/>
        <w:i w:val="0"/>
        <w:caps w:val="0"/>
        <w:strike w:val="0"/>
        <w:dstrike w:val="0"/>
        <w:outline w:val="0"/>
        <w:shadow w:val="0"/>
        <w:emboss w:val="0"/>
        <w:imprint w:val="0"/>
        <w:vanish w:val="0"/>
        <w:color w:val="800080"/>
        <w:sz w:val="20"/>
        <w:u w:val="none"/>
        <w:vertAlign w:val="baseline"/>
      </w:rPr>
    </w:lvl>
    <w:lvl w:ilvl="1" w:tplc="04090003">
      <w:start w:val="1"/>
      <w:numFmt w:val="bullet"/>
      <w:lvlText w:val="◦"/>
      <w:lvlJc w:val="left"/>
      <w:pPr>
        <w:tabs>
          <w:tab w:val="num" w:pos="1440"/>
        </w:tabs>
        <w:ind w:left="1440" w:hanging="360"/>
      </w:pPr>
      <w:rPr>
        <w:rFonts w:ascii="Verdana" w:hAnsi="Verdana" w:hint="default"/>
        <w:b w:val="0"/>
        <w:i w:val="0"/>
        <w:caps w:val="0"/>
        <w:strike w:val="0"/>
        <w:dstrike w:val="0"/>
        <w:outline w:val="0"/>
        <w:shadow w:val="0"/>
        <w:emboss w:val="0"/>
        <w:imprint w:val="0"/>
        <w:vanish w:val="0"/>
        <w:color w:val="auto"/>
        <w:sz w:val="20"/>
        <w:u w:val="none"/>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A9C0301"/>
    <w:multiLevelType w:val="hybridMultilevel"/>
    <w:tmpl w:val="EA7C4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837755"/>
    <w:multiLevelType w:val="hybridMultilevel"/>
    <w:tmpl w:val="98B0021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3564478"/>
    <w:multiLevelType w:val="hybridMultilevel"/>
    <w:tmpl w:val="363E39D6"/>
    <w:lvl w:ilvl="0" w:tplc="041D000F">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4">
    <w:nsid w:val="239B23CF"/>
    <w:multiLevelType w:val="hybridMultilevel"/>
    <w:tmpl w:val="E17CED1A"/>
    <w:lvl w:ilvl="0" w:tplc="0809000F">
      <w:start w:val="1"/>
      <w:numFmt w:val="decimal"/>
      <w:lvlText w:val="%1."/>
      <w:lvlJc w:val="left"/>
      <w:pPr>
        <w:ind w:left="360" w:hanging="360"/>
      </w:pPr>
      <w:rPr>
        <w:rFonts w:ascii="Times New Roman" w:hAnsi="Times New Roman" w:cs="Times New Roman"/>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5">
    <w:nsid w:val="2CD352A7"/>
    <w:multiLevelType w:val="multilevel"/>
    <w:tmpl w:val="557E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E662B"/>
    <w:multiLevelType w:val="hybridMultilevel"/>
    <w:tmpl w:val="8D10177C"/>
    <w:lvl w:ilvl="0" w:tplc="186E7B0A">
      <w:start w:val="1"/>
      <w:numFmt w:val="decimal"/>
      <w:lvlText w:val="%1."/>
      <w:lvlJc w:val="left"/>
      <w:pPr>
        <w:ind w:left="390" w:hanging="360"/>
      </w:pPr>
      <w:rPr>
        <w:rFonts w:cs="Times New Roman" w:hint="default"/>
        <w:b/>
      </w:rPr>
    </w:lvl>
    <w:lvl w:ilvl="1" w:tplc="041D0019">
      <w:start w:val="1"/>
      <w:numFmt w:val="lowerLetter"/>
      <w:lvlText w:val="%2."/>
      <w:lvlJc w:val="left"/>
      <w:pPr>
        <w:ind w:left="1110" w:hanging="360"/>
      </w:pPr>
    </w:lvl>
    <w:lvl w:ilvl="2" w:tplc="041D001B" w:tentative="1">
      <w:start w:val="1"/>
      <w:numFmt w:val="lowerRoman"/>
      <w:lvlText w:val="%3."/>
      <w:lvlJc w:val="right"/>
      <w:pPr>
        <w:ind w:left="1830" w:hanging="180"/>
      </w:pPr>
    </w:lvl>
    <w:lvl w:ilvl="3" w:tplc="041D000F" w:tentative="1">
      <w:start w:val="1"/>
      <w:numFmt w:val="decimal"/>
      <w:lvlText w:val="%4."/>
      <w:lvlJc w:val="left"/>
      <w:pPr>
        <w:ind w:left="2550" w:hanging="360"/>
      </w:pPr>
    </w:lvl>
    <w:lvl w:ilvl="4" w:tplc="041D0019" w:tentative="1">
      <w:start w:val="1"/>
      <w:numFmt w:val="lowerLetter"/>
      <w:lvlText w:val="%5."/>
      <w:lvlJc w:val="left"/>
      <w:pPr>
        <w:ind w:left="3270" w:hanging="360"/>
      </w:pPr>
    </w:lvl>
    <w:lvl w:ilvl="5" w:tplc="041D001B" w:tentative="1">
      <w:start w:val="1"/>
      <w:numFmt w:val="lowerRoman"/>
      <w:lvlText w:val="%6."/>
      <w:lvlJc w:val="right"/>
      <w:pPr>
        <w:ind w:left="3990" w:hanging="180"/>
      </w:pPr>
    </w:lvl>
    <w:lvl w:ilvl="6" w:tplc="041D000F" w:tentative="1">
      <w:start w:val="1"/>
      <w:numFmt w:val="decimal"/>
      <w:lvlText w:val="%7."/>
      <w:lvlJc w:val="left"/>
      <w:pPr>
        <w:ind w:left="4710" w:hanging="360"/>
      </w:pPr>
    </w:lvl>
    <w:lvl w:ilvl="7" w:tplc="041D0019" w:tentative="1">
      <w:start w:val="1"/>
      <w:numFmt w:val="lowerLetter"/>
      <w:lvlText w:val="%8."/>
      <w:lvlJc w:val="left"/>
      <w:pPr>
        <w:ind w:left="5430" w:hanging="360"/>
      </w:pPr>
    </w:lvl>
    <w:lvl w:ilvl="8" w:tplc="041D001B" w:tentative="1">
      <w:start w:val="1"/>
      <w:numFmt w:val="lowerRoman"/>
      <w:lvlText w:val="%9."/>
      <w:lvlJc w:val="right"/>
      <w:pPr>
        <w:ind w:left="6150" w:hanging="180"/>
      </w:pPr>
    </w:lvl>
  </w:abstractNum>
  <w:abstractNum w:abstractNumId="7">
    <w:nsid w:val="34554CE4"/>
    <w:multiLevelType w:val="hybridMultilevel"/>
    <w:tmpl w:val="11A2D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B445F1E"/>
    <w:multiLevelType w:val="hybridMultilevel"/>
    <w:tmpl w:val="AFA2606C"/>
    <w:lvl w:ilvl="0" w:tplc="F4A4F338">
      <w:start w:val="1"/>
      <w:numFmt w:val="bullet"/>
      <w:lvlText w:val=""/>
      <w:lvlJc w:val="left"/>
      <w:pPr>
        <w:tabs>
          <w:tab w:val="num" w:pos="754"/>
        </w:tabs>
        <w:ind w:left="754" w:hanging="360"/>
      </w:pPr>
      <w:rPr>
        <w:rFonts w:ascii="Symbol" w:hAnsi="Symbol" w:hint="default"/>
        <w:color w:val="442359"/>
      </w:rPr>
    </w:lvl>
    <w:lvl w:ilvl="1" w:tplc="08090003">
      <w:start w:val="1"/>
      <w:numFmt w:val="bullet"/>
      <w:lvlText w:val=""/>
      <w:lvlJc w:val="left"/>
      <w:pPr>
        <w:tabs>
          <w:tab w:val="num" w:pos="-944"/>
        </w:tabs>
        <w:ind w:left="-944" w:hanging="360"/>
      </w:pPr>
      <w:rPr>
        <w:rFonts w:ascii="Wingdings" w:hAnsi="Wingdings" w:hint="default"/>
        <w:color w:val="800080"/>
      </w:rPr>
    </w:lvl>
    <w:lvl w:ilvl="2" w:tplc="08090005">
      <w:start w:val="1"/>
      <w:numFmt w:val="bullet"/>
      <w:lvlText w:val=""/>
      <w:lvlJc w:val="left"/>
      <w:pPr>
        <w:tabs>
          <w:tab w:val="num" w:pos="-224"/>
        </w:tabs>
        <w:ind w:left="-224" w:hanging="360"/>
      </w:pPr>
      <w:rPr>
        <w:rFonts w:ascii="Wingdings" w:hAnsi="Wingdings" w:hint="default"/>
      </w:rPr>
    </w:lvl>
    <w:lvl w:ilvl="3" w:tplc="08090001">
      <w:start w:val="1"/>
      <w:numFmt w:val="bullet"/>
      <w:lvlText w:val=""/>
      <w:lvlJc w:val="left"/>
      <w:pPr>
        <w:tabs>
          <w:tab w:val="num" w:pos="496"/>
        </w:tabs>
        <w:ind w:left="496" w:hanging="360"/>
      </w:pPr>
      <w:rPr>
        <w:rFonts w:ascii="Symbol" w:hAnsi="Symbol" w:hint="default"/>
      </w:rPr>
    </w:lvl>
    <w:lvl w:ilvl="4" w:tplc="08090003">
      <w:start w:val="1"/>
      <w:numFmt w:val="bullet"/>
      <w:lvlText w:val="o"/>
      <w:lvlJc w:val="left"/>
      <w:pPr>
        <w:tabs>
          <w:tab w:val="num" w:pos="1216"/>
        </w:tabs>
        <w:ind w:left="1216" w:hanging="360"/>
      </w:pPr>
      <w:rPr>
        <w:rFonts w:ascii="Courier New" w:hAnsi="Courier New" w:hint="default"/>
      </w:rPr>
    </w:lvl>
    <w:lvl w:ilvl="5" w:tplc="08090005">
      <w:start w:val="1"/>
      <w:numFmt w:val="bullet"/>
      <w:lvlText w:val=""/>
      <w:lvlJc w:val="left"/>
      <w:pPr>
        <w:tabs>
          <w:tab w:val="num" w:pos="1936"/>
        </w:tabs>
        <w:ind w:left="1936" w:hanging="360"/>
      </w:pPr>
      <w:rPr>
        <w:rFonts w:ascii="Wingdings" w:hAnsi="Wingdings" w:hint="default"/>
      </w:rPr>
    </w:lvl>
    <w:lvl w:ilvl="6" w:tplc="08090001">
      <w:start w:val="1"/>
      <w:numFmt w:val="bullet"/>
      <w:lvlText w:val=""/>
      <w:lvlJc w:val="left"/>
      <w:pPr>
        <w:tabs>
          <w:tab w:val="num" w:pos="2656"/>
        </w:tabs>
        <w:ind w:left="2656" w:hanging="360"/>
      </w:pPr>
      <w:rPr>
        <w:rFonts w:ascii="Symbol" w:hAnsi="Symbol" w:hint="default"/>
      </w:rPr>
    </w:lvl>
    <w:lvl w:ilvl="7" w:tplc="08090003">
      <w:start w:val="1"/>
      <w:numFmt w:val="bullet"/>
      <w:lvlText w:val="o"/>
      <w:lvlJc w:val="left"/>
      <w:pPr>
        <w:tabs>
          <w:tab w:val="num" w:pos="3376"/>
        </w:tabs>
        <w:ind w:left="3376" w:hanging="360"/>
      </w:pPr>
      <w:rPr>
        <w:rFonts w:ascii="Courier New" w:hAnsi="Courier New" w:hint="default"/>
      </w:rPr>
    </w:lvl>
    <w:lvl w:ilvl="8" w:tplc="08090005">
      <w:start w:val="1"/>
      <w:numFmt w:val="bullet"/>
      <w:lvlText w:val=""/>
      <w:lvlJc w:val="left"/>
      <w:pPr>
        <w:tabs>
          <w:tab w:val="num" w:pos="4096"/>
        </w:tabs>
        <w:ind w:left="4096" w:hanging="360"/>
      </w:pPr>
      <w:rPr>
        <w:rFonts w:ascii="Wingdings" w:hAnsi="Wingdings" w:hint="default"/>
      </w:rPr>
    </w:lvl>
  </w:abstractNum>
  <w:abstractNum w:abstractNumId="9">
    <w:nsid w:val="4B065AB0"/>
    <w:multiLevelType w:val="hybridMultilevel"/>
    <w:tmpl w:val="C9F8D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6D6184D"/>
    <w:multiLevelType w:val="multilevel"/>
    <w:tmpl w:val="EBE2D4BA"/>
    <w:lvl w:ilvl="0">
      <w:start w:val="1"/>
      <w:numFmt w:val="bullet"/>
      <w:lvlText w:val=""/>
      <w:lvlJc w:val="left"/>
      <w:pPr>
        <w:tabs>
          <w:tab w:val="num" w:pos="-351"/>
        </w:tabs>
        <w:ind w:left="-351" w:hanging="360"/>
      </w:pPr>
      <w:rPr>
        <w:rFonts w:ascii="Symbol" w:hAnsi="Symbol" w:hint="default"/>
        <w:sz w:val="20"/>
      </w:rPr>
    </w:lvl>
    <w:lvl w:ilvl="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11">
    <w:nsid w:val="593C0F90"/>
    <w:multiLevelType w:val="multilevel"/>
    <w:tmpl w:val="29E6BBC6"/>
    <w:lvl w:ilvl="0">
      <w:start w:val="2"/>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720"/>
        </w:tabs>
        <w:ind w:left="720" w:hanging="720"/>
      </w:pPr>
      <w:rPr>
        <w:rFonts w:cs="Times New Roman" w:hint="default"/>
        <w:color w:val="442359"/>
      </w:rPr>
    </w:lvl>
    <w:lvl w:ilvl="2">
      <w:start w:val="1"/>
      <w:numFmt w:val="decimal"/>
      <w:lvlText w:val="%1.%2.%3"/>
      <w:lvlJc w:val="left"/>
      <w:pPr>
        <w:tabs>
          <w:tab w:val="num" w:pos="1080"/>
        </w:tabs>
        <w:ind w:left="1080" w:hanging="1080"/>
      </w:pPr>
      <w:rPr>
        <w:rFonts w:cs="Times New Roman" w:hint="default"/>
        <w:color w:val="auto"/>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2">
    <w:nsid w:val="659433C3"/>
    <w:multiLevelType w:val="hybridMultilevel"/>
    <w:tmpl w:val="F67EF1F6"/>
    <w:lvl w:ilvl="0" w:tplc="F4A4F338">
      <w:start w:val="1"/>
      <w:numFmt w:val="bullet"/>
      <w:lvlText w:val=""/>
      <w:lvlJc w:val="left"/>
      <w:pPr>
        <w:tabs>
          <w:tab w:val="num" w:pos="360"/>
        </w:tabs>
        <w:ind w:left="360" w:hanging="360"/>
      </w:pPr>
      <w:rPr>
        <w:rFonts w:ascii="Wingdings" w:hAnsi="Wingdings" w:hint="default"/>
        <w:b w:val="0"/>
        <w:i w:val="0"/>
        <w:caps w:val="0"/>
        <w:strike w:val="0"/>
        <w:dstrike w:val="0"/>
        <w:outline w:val="0"/>
        <w:shadow w:val="0"/>
        <w:emboss w:val="0"/>
        <w:imprint w:val="0"/>
        <w:vanish w:val="0"/>
        <w:color w:val="808080"/>
        <w:sz w:val="20"/>
        <w:u w:val="none"/>
        <w:vertAlign w:val="baseline"/>
      </w:rPr>
    </w:lvl>
    <w:lvl w:ilvl="1" w:tplc="04090003">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808080"/>
        <w:sz w:val="20"/>
        <w:u w:val="none"/>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C4D146B"/>
    <w:multiLevelType w:val="hybridMultilevel"/>
    <w:tmpl w:val="DF987A2C"/>
    <w:lvl w:ilvl="0" w:tplc="7AA23E1A">
      <w:start w:val="1"/>
      <w:numFmt w:val="bullet"/>
      <w:lvlText w:val=""/>
      <w:lvlJc w:val="left"/>
      <w:pPr>
        <w:tabs>
          <w:tab w:val="num" w:pos="-944"/>
        </w:tabs>
        <w:ind w:left="-944" w:hanging="360"/>
      </w:pPr>
      <w:rPr>
        <w:rFonts w:ascii="Symbol" w:hAnsi="Symbol" w:hint="default"/>
        <w:color w:val="3366FF"/>
      </w:rPr>
    </w:lvl>
    <w:lvl w:ilvl="1" w:tplc="CCD825D4">
      <w:start w:val="1"/>
      <w:numFmt w:val="bullet"/>
      <w:lvlText w:val=""/>
      <w:lvlJc w:val="left"/>
      <w:pPr>
        <w:tabs>
          <w:tab w:val="num" w:pos="-944"/>
        </w:tabs>
        <w:ind w:left="-944" w:hanging="360"/>
      </w:pPr>
      <w:rPr>
        <w:rFonts w:ascii="Wingdings" w:hAnsi="Wingdings" w:hint="default"/>
        <w:color w:val="800080"/>
      </w:rPr>
    </w:lvl>
    <w:lvl w:ilvl="2" w:tplc="7FFC6F48">
      <w:start w:val="1"/>
      <w:numFmt w:val="bullet"/>
      <w:lvlText w:val=""/>
      <w:lvlJc w:val="left"/>
      <w:pPr>
        <w:tabs>
          <w:tab w:val="num" w:pos="-224"/>
        </w:tabs>
        <w:ind w:left="-224" w:hanging="360"/>
      </w:pPr>
      <w:rPr>
        <w:rFonts w:ascii="Wingdings" w:hAnsi="Wingdings" w:hint="default"/>
      </w:rPr>
    </w:lvl>
    <w:lvl w:ilvl="3" w:tplc="A3A4534E">
      <w:start w:val="1"/>
      <w:numFmt w:val="bullet"/>
      <w:lvlText w:val=""/>
      <w:lvlJc w:val="left"/>
      <w:pPr>
        <w:tabs>
          <w:tab w:val="num" w:pos="496"/>
        </w:tabs>
        <w:ind w:left="496" w:hanging="360"/>
      </w:pPr>
      <w:rPr>
        <w:rFonts w:ascii="Symbol" w:hAnsi="Symbol" w:hint="default"/>
      </w:rPr>
    </w:lvl>
    <w:lvl w:ilvl="4" w:tplc="4C6417E4">
      <w:start w:val="1"/>
      <w:numFmt w:val="bullet"/>
      <w:lvlText w:val="−"/>
      <w:lvlJc w:val="left"/>
      <w:pPr>
        <w:tabs>
          <w:tab w:val="num" w:pos="1216"/>
        </w:tabs>
        <w:ind w:left="1216" w:hanging="360"/>
      </w:pPr>
      <w:rPr>
        <w:rFonts w:ascii="Arial" w:hAnsi="Arial" w:hint="default"/>
        <w:color w:val="808080"/>
        <w:sz w:val="24"/>
      </w:rPr>
    </w:lvl>
    <w:lvl w:ilvl="5" w:tplc="DB8072D8">
      <w:start w:val="1"/>
      <w:numFmt w:val="bullet"/>
      <w:lvlText w:val=""/>
      <w:lvlJc w:val="left"/>
      <w:pPr>
        <w:tabs>
          <w:tab w:val="num" w:pos="1936"/>
        </w:tabs>
        <w:ind w:left="1936" w:hanging="360"/>
      </w:pPr>
      <w:rPr>
        <w:rFonts w:ascii="Wingdings" w:hAnsi="Wingdings" w:hint="default"/>
      </w:rPr>
    </w:lvl>
    <w:lvl w:ilvl="6" w:tplc="551C8338">
      <w:start w:val="1"/>
      <w:numFmt w:val="bullet"/>
      <w:lvlText w:val=""/>
      <w:lvlJc w:val="left"/>
      <w:pPr>
        <w:tabs>
          <w:tab w:val="num" w:pos="2656"/>
        </w:tabs>
        <w:ind w:left="2656" w:hanging="360"/>
      </w:pPr>
      <w:rPr>
        <w:rFonts w:ascii="Symbol" w:hAnsi="Symbol" w:hint="default"/>
      </w:rPr>
    </w:lvl>
    <w:lvl w:ilvl="7" w:tplc="7B0634CA">
      <w:start w:val="1"/>
      <w:numFmt w:val="bullet"/>
      <w:lvlText w:val="o"/>
      <w:lvlJc w:val="left"/>
      <w:pPr>
        <w:tabs>
          <w:tab w:val="num" w:pos="3376"/>
        </w:tabs>
        <w:ind w:left="3376" w:hanging="360"/>
      </w:pPr>
      <w:rPr>
        <w:rFonts w:ascii="Courier New" w:hAnsi="Courier New" w:hint="default"/>
      </w:rPr>
    </w:lvl>
    <w:lvl w:ilvl="8" w:tplc="B1383A7C">
      <w:start w:val="1"/>
      <w:numFmt w:val="bullet"/>
      <w:lvlText w:val=""/>
      <w:lvlJc w:val="left"/>
      <w:pPr>
        <w:tabs>
          <w:tab w:val="num" w:pos="4096"/>
        </w:tabs>
        <w:ind w:left="4096" w:hanging="360"/>
      </w:pPr>
      <w:rPr>
        <w:rFonts w:ascii="Wingdings" w:hAnsi="Wingdings" w:hint="default"/>
      </w:rPr>
    </w:lvl>
  </w:abstractNum>
  <w:abstractNum w:abstractNumId="14">
    <w:nsid w:val="6E950E50"/>
    <w:multiLevelType w:val="hybridMultilevel"/>
    <w:tmpl w:val="9CB2C318"/>
    <w:lvl w:ilvl="0" w:tplc="F4A4F338">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7DD20FE"/>
    <w:multiLevelType w:val="hybridMultilevel"/>
    <w:tmpl w:val="E8A46CFC"/>
    <w:lvl w:ilvl="0" w:tplc="66D2F354">
      <w:start w:val="1"/>
      <w:numFmt w:val="bullet"/>
      <w:lvlText w:val=""/>
      <w:lvlJc w:val="left"/>
      <w:pPr>
        <w:ind w:left="720" w:hanging="360"/>
      </w:pPr>
      <w:rPr>
        <w:rFonts w:ascii="Wingdings" w:hAnsi="Wingdings" w:hint="default"/>
        <w:b w:val="0"/>
        <w:i w:val="0"/>
        <w:caps w:val="0"/>
        <w:strike w:val="0"/>
        <w:dstrike w:val="0"/>
        <w:outline w:val="0"/>
        <w:shadow w:val="0"/>
        <w:emboss w:val="0"/>
        <w:imprint w:val="0"/>
        <w:vanish w:val="0"/>
        <w:color w:val="808080"/>
        <w:sz w:val="20"/>
        <w:u w:val="none"/>
        <w:vertAlign w:val="baseline"/>
      </w:rPr>
    </w:lvl>
    <w:lvl w:ilvl="1" w:tplc="7950816C">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0"/>
  </w:num>
  <w:num w:numId="5">
    <w:abstractNumId w:val="4"/>
  </w:num>
  <w:num w:numId="6">
    <w:abstractNumId w:val="11"/>
  </w:num>
  <w:num w:numId="7">
    <w:abstractNumId w:val="14"/>
  </w:num>
  <w:num w:numId="8">
    <w:abstractNumId w:val="12"/>
  </w:num>
  <w:num w:numId="9">
    <w:abstractNumId w:val="8"/>
  </w:num>
  <w:num w:numId="10">
    <w:abstractNumId w:val="15"/>
  </w:num>
  <w:num w:numId="11">
    <w:abstractNumId w:val="0"/>
  </w:num>
  <w:num w:numId="12">
    <w:abstractNumId w:val="13"/>
  </w:num>
  <w:num w:numId="13">
    <w:abstractNumId w:val="6"/>
  </w:num>
  <w:num w:numId="14">
    <w:abstractNumId w:val="9"/>
  </w:num>
  <w:num w:numId="15">
    <w:abstractNumId w:val="7"/>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proofState w:spelling="clean" w:grammar="clean"/>
  <w:stylePaneFormatFilter w:val="000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rsids>
    <w:rsidRoot w:val="00EB10C7"/>
    <w:rsid w:val="000243C5"/>
    <w:rsid w:val="000367DF"/>
    <w:rsid w:val="00055A9D"/>
    <w:rsid w:val="0006307C"/>
    <w:rsid w:val="00096772"/>
    <w:rsid w:val="00096E21"/>
    <w:rsid w:val="000A1806"/>
    <w:rsid w:val="000D7254"/>
    <w:rsid w:val="00111C0F"/>
    <w:rsid w:val="00115A44"/>
    <w:rsid w:val="00153DF6"/>
    <w:rsid w:val="00160D3D"/>
    <w:rsid w:val="00185463"/>
    <w:rsid w:val="001A13FB"/>
    <w:rsid w:val="00210C2C"/>
    <w:rsid w:val="002219CD"/>
    <w:rsid w:val="00224EF7"/>
    <w:rsid w:val="00251CA1"/>
    <w:rsid w:val="00266E61"/>
    <w:rsid w:val="00267C8E"/>
    <w:rsid w:val="002926EE"/>
    <w:rsid w:val="002A3517"/>
    <w:rsid w:val="002C09CD"/>
    <w:rsid w:val="002D3423"/>
    <w:rsid w:val="002F2A21"/>
    <w:rsid w:val="00322C1F"/>
    <w:rsid w:val="003418D7"/>
    <w:rsid w:val="00373223"/>
    <w:rsid w:val="003734ED"/>
    <w:rsid w:val="003870F6"/>
    <w:rsid w:val="003A30F7"/>
    <w:rsid w:val="003A78A8"/>
    <w:rsid w:val="003B3993"/>
    <w:rsid w:val="003E28A9"/>
    <w:rsid w:val="003E78AB"/>
    <w:rsid w:val="0042461E"/>
    <w:rsid w:val="00426D5C"/>
    <w:rsid w:val="004309F6"/>
    <w:rsid w:val="0043362D"/>
    <w:rsid w:val="004379C1"/>
    <w:rsid w:val="00456F9A"/>
    <w:rsid w:val="004B6E1E"/>
    <w:rsid w:val="004B7125"/>
    <w:rsid w:val="004F50A6"/>
    <w:rsid w:val="0051210C"/>
    <w:rsid w:val="0051412E"/>
    <w:rsid w:val="00563097"/>
    <w:rsid w:val="0057312D"/>
    <w:rsid w:val="0059066D"/>
    <w:rsid w:val="00595C51"/>
    <w:rsid w:val="005967EE"/>
    <w:rsid w:val="00597AB9"/>
    <w:rsid w:val="005B3CAF"/>
    <w:rsid w:val="005B5D41"/>
    <w:rsid w:val="005D2C77"/>
    <w:rsid w:val="00626889"/>
    <w:rsid w:val="00631CBD"/>
    <w:rsid w:val="00632AD7"/>
    <w:rsid w:val="00657B7E"/>
    <w:rsid w:val="006737B9"/>
    <w:rsid w:val="00682754"/>
    <w:rsid w:val="00695D4E"/>
    <w:rsid w:val="006B4F84"/>
    <w:rsid w:val="006D5D4D"/>
    <w:rsid w:val="006F29F8"/>
    <w:rsid w:val="007052A8"/>
    <w:rsid w:val="0074171A"/>
    <w:rsid w:val="00775009"/>
    <w:rsid w:val="007C5482"/>
    <w:rsid w:val="007F7E7A"/>
    <w:rsid w:val="00805D58"/>
    <w:rsid w:val="008107E6"/>
    <w:rsid w:val="0084691F"/>
    <w:rsid w:val="00850B25"/>
    <w:rsid w:val="00853226"/>
    <w:rsid w:val="00860912"/>
    <w:rsid w:val="008D4B94"/>
    <w:rsid w:val="00905214"/>
    <w:rsid w:val="009063BA"/>
    <w:rsid w:val="009070B4"/>
    <w:rsid w:val="00916676"/>
    <w:rsid w:val="00920DF2"/>
    <w:rsid w:val="0092416F"/>
    <w:rsid w:val="00950350"/>
    <w:rsid w:val="009529A2"/>
    <w:rsid w:val="00977802"/>
    <w:rsid w:val="009F28D5"/>
    <w:rsid w:val="00A13BC2"/>
    <w:rsid w:val="00A3393D"/>
    <w:rsid w:val="00A37BE4"/>
    <w:rsid w:val="00A44E8D"/>
    <w:rsid w:val="00A540D3"/>
    <w:rsid w:val="00A678C7"/>
    <w:rsid w:val="00AA0918"/>
    <w:rsid w:val="00AC4D28"/>
    <w:rsid w:val="00B04F48"/>
    <w:rsid w:val="00B46BA3"/>
    <w:rsid w:val="00B615B1"/>
    <w:rsid w:val="00BA0EC7"/>
    <w:rsid w:val="00BD791E"/>
    <w:rsid w:val="00BE5619"/>
    <w:rsid w:val="00BE59E1"/>
    <w:rsid w:val="00C20465"/>
    <w:rsid w:val="00C435DE"/>
    <w:rsid w:val="00C7600A"/>
    <w:rsid w:val="00C76207"/>
    <w:rsid w:val="00C81118"/>
    <w:rsid w:val="00C9368D"/>
    <w:rsid w:val="00CB38D7"/>
    <w:rsid w:val="00CC61F6"/>
    <w:rsid w:val="00CC6508"/>
    <w:rsid w:val="00CD0A38"/>
    <w:rsid w:val="00CE0150"/>
    <w:rsid w:val="00D043AC"/>
    <w:rsid w:val="00D52FAA"/>
    <w:rsid w:val="00D676CA"/>
    <w:rsid w:val="00D840DD"/>
    <w:rsid w:val="00DE0849"/>
    <w:rsid w:val="00DE5E62"/>
    <w:rsid w:val="00DE7898"/>
    <w:rsid w:val="00DE795D"/>
    <w:rsid w:val="00E10B0A"/>
    <w:rsid w:val="00E21415"/>
    <w:rsid w:val="00E313BC"/>
    <w:rsid w:val="00E836E4"/>
    <w:rsid w:val="00E862F4"/>
    <w:rsid w:val="00EB10C7"/>
    <w:rsid w:val="00EB3012"/>
    <w:rsid w:val="00EE7AB4"/>
    <w:rsid w:val="00EF42F0"/>
    <w:rsid w:val="00F15273"/>
    <w:rsid w:val="00F34D09"/>
    <w:rsid w:val="00F65287"/>
    <w:rsid w:val="00F6771A"/>
    <w:rsid w:val="00FA0D5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D45B3"/>
    <w:rPr>
      <w:rFonts w:ascii="Calibri" w:hAnsi="Calibri"/>
      <w:sz w:val="22"/>
    </w:rPr>
  </w:style>
  <w:style w:type="paragraph" w:styleId="Heading1">
    <w:name w:val="heading 1"/>
    <w:aliases w:val="Mellanrubrik"/>
    <w:basedOn w:val="Normal"/>
    <w:next w:val="Normal"/>
    <w:qFormat/>
    <w:rsid w:val="00862651"/>
    <w:pPr>
      <w:keepNext/>
      <w:outlineLvl w:val="0"/>
    </w:pPr>
    <w:rPr>
      <w:b/>
    </w:rPr>
  </w:style>
  <w:style w:type="paragraph" w:styleId="Heading3">
    <w:name w:val="heading 3"/>
    <w:aliases w:val="Titel"/>
    <w:basedOn w:val="Normal"/>
    <w:next w:val="Normal"/>
    <w:qFormat/>
    <w:rsid w:val="00862651"/>
    <w:pPr>
      <w:keepNext/>
      <w:outlineLvl w:val="2"/>
    </w:pPr>
    <w:rPr>
      <w:rFonts w:ascii="Conduit ITC Bold" w:hAnsi="Conduit ITC Bold"/>
      <w:b/>
      <w:u w:val="single"/>
    </w:rPr>
  </w:style>
  <w:style w:type="paragraph" w:styleId="Heading5">
    <w:name w:val="heading 5"/>
    <w:basedOn w:val="Normal"/>
    <w:qFormat/>
    <w:rsid w:val="00CD45B3"/>
    <w:pPr>
      <w:spacing w:before="100" w:beforeAutospacing="1" w:after="100" w:afterAutospacing="1"/>
      <w:outlineLvl w:val="4"/>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ess">
    <w:name w:val="Adress"/>
    <w:basedOn w:val="Normal"/>
    <w:rsid w:val="00862651"/>
    <w:rPr>
      <w:rFonts w:ascii="Conduit ITC Bold" w:hAnsi="Conduit ITC Bold"/>
    </w:rPr>
  </w:style>
  <w:style w:type="paragraph" w:styleId="Header">
    <w:name w:val="header"/>
    <w:basedOn w:val="Normal"/>
    <w:rsid w:val="00862651"/>
    <w:pPr>
      <w:tabs>
        <w:tab w:val="center" w:pos="4536"/>
        <w:tab w:val="right" w:pos="9072"/>
      </w:tabs>
    </w:pPr>
  </w:style>
  <w:style w:type="paragraph" w:styleId="Footer">
    <w:name w:val="footer"/>
    <w:basedOn w:val="Normal"/>
    <w:link w:val="FooterChar"/>
    <w:uiPriority w:val="99"/>
    <w:rsid w:val="00862651"/>
    <w:pPr>
      <w:tabs>
        <w:tab w:val="center" w:pos="4536"/>
        <w:tab w:val="right" w:pos="9072"/>
      </w:tabs>
      <w:jc w:val="center"/>
    </w:pPr>
    <w:rPr>
      <w:rFonts w:ascii="Conduit ITC Light" w:hAnsi="Conduit ITC Light"/>
      <w:sz w:val="18"/>
    </w:rPr>
  </w:style>
  <w:style w:type="character" w:customStyle="1" w:styleId="superscript">
    <w:name w:val="superscript"/>
    <w:basedOn w:val="DefaultParagraphFont"/>
    <w:rsid w:val="004D7043"/>
  </w:style>
  <w:style w:type="paragraph" w:styleId="NormalWeb">
    <w:name w:val="Normal (Web)"/>
    <w:aliases w:val=" webb"/>
    <w:basedOn w:val="Normal"/>
    <w:rsid w:val="004D7043"/>
    <w:pPr>
      <w:spacing w:before="100" w:beforeAutospacing="1" w:after="100" w:afterAutospacing="1"/>
    </w:pPr>
    <w:rPr>
      <w:rFonts w:ascii="Times" w:eastAsia="Times" w:hAnsi="Times"/>
      <w:sz w:val="20"/>
    </w:rPr>
  </w:style>
  <w:style w:type="character" w:customStyle="1" w:styleId="longtext">
    <w:name w:val="long_text"/>
    <w:basedOn w:val="DefaultParagraphFont"/>
    <w:rsid w:val="002077CA"/>
  </w:style>
  <w:style w:type="paragraph" w:styleId="ListParagraph">
    <w:name w:val="List Paragraph"/>
    <w:basedOn w:val="Normal"/>
    <w:uiPriority w:val="34"/>
    <w:qFormat/>
    <w:rsid w:val="005443A4"/>
    <w:pPr>
      <w:ind w:left="720"/>
    </w:pPr>
    <w:rPr>
      <w:rFonts w:eastAsia="Calibri"/>
      <w:szCs w:val="22"/>
    </w:rPr>
  </w:style>
  <w:style w:type="character" w:customStyle="1" w:styleId="longtext1">
    <w:name w:val="long_text1"/>
    <w:basedOn w:val="DefaultParagraphFont"/>
    <w:rsid w:val="00BF0030"/>
    <w:rPr>
      <w:sz w:val="27"/>
      <w:szCs w:val="27"/>
    </w:rPr>
  </w:style>
  <w:style w:type="paragraph" w:styleId="Title">
    <w:name w:val="Title"/>
    <w:basedOn w:val="Normal"/>
    <w:link w:val="TitleChar"/>
    <w:qFormat/>
    <w:rsid w:val="00CD45B3"/>
    <w:rPr>
      <w:b/>
      <w:caps/>
      <w:lang w:val="en-GB" w:eastAsia="en-US"/>
    </w:rPr>
  </w:style>
  <w:style w:type="character" w:customStyle="1" w:styleId="TitleChar">
    <w:name w:val="Title Char"/>
    <w:basedOn w:val="DefaultParagraphFont"/>
    <w:link w:val="Title"/>
    <w:rsid w:val="00CD45B3"/>
    <w:rPr>
      <w:rFonts w:ascii="Calibri" w:hAnsi="Calibri"/>
      <w:b/>
      <w:caps/>
      <w:sz w:val="22"/>
      <w:lang w:val="en-GB" w:eastAsia="en-US"/>
    </w:rPr>
  </w:style>
  <w:style w:type="character" w:styleId="Hyperlink">
    <w:name w:val="Hyperlink"/>
    <w:basedOn w:val="DefaultParagraphFont"/>
    <w:semiHidden/>
    <w:rsid w:val="005555CE"/>
    <w:rPr>
      <w:color w:val="0000FF"/>
      <w:u w:val="single"/>
    </w:rPr>
  </w:style>
  <w:style w:type="character" w:styleId="CommentReference">
    <w:name w:val="annotation reference"/>
    <w:basedOn w:val="DefaultParagraphFont"/>
    <w:semiHidden/>
    <w:rsid w:val="005555CE"/>
    <w:rPr>
      <w:sz w:val="16"/>
      <w:szCs w:val="16"/>
    </w:rPr>
  </w:style>
  <w:style w:type="paragraph" w:styleId="EndnoteText">
    <w:name w:val="endnote text"/>
    <w:basedOn w:val="Normal"/>
    <w:link w:val="EndnoteTextChar"/>
    <w:semiHidden/>
    <w:rsid w:val="005555CE"/>
    <w:pPr>
      <w:spacing w:line="360" w:lineRule="auto"/>
      <w:jc w:val="both"/>
    </w:pPr>
    <w:rPr>
      <w:rFonts w:ascii="Arial" w:hAnsi="Arial" w:cs="Arial"/>
      <w:bCs/>
      <w:sz w:val="20"/>
      <w:lang w:val="en-GB" w:eastAsia="en-US"/>
    </w:rPr>
  </w:style>
  <w:style w:type="character" w:customStyle="1" w:styleId="EndnoteTextChar">
    <w:name w:val="Endnote Text Char"/>
    <w:basedOn w:val="DefaultParagraphFont"/>
    <w:link w:val="EndnoteText"/>
    <w:semiHidden/>
    <w:rsid w:val="005555CE"/>
    <w:rPr>
      <w:rFonts w:ascii="Arial" w:hAnsi="Arial" w:cs="Arial"/>
      <w:bCs/>
      <w:lang w:val="en-GB" w:eastAsia="en-US"/>
    </w:rPr>
  </w:style>
  <w:style w:type="paragraph" w:customStyle="1" w:styleId="header3">
    <w:name w:val="header 3"/>
    <w:basedOn w:val="Normal"/>
    <w:rsid w:val="00B8290C"/>
    <w:pPr>
      <w:tabs>
        <w:tab w:val="left" w:pos="1134"/>
      </w:tabs>
      <w:spacing w:before="120"/>
    </w:pPr>
    <w:rPr>
      <w:rFonts w:ascii="Verdana" w:hAnsi="Verdana"/>
      <w:b/>
      <w:sz w:val="20"/>
      <w:lang w:val="en-US" w:eastAsia="en-GB"/>
    </w:rPr>
  </w:style>
  <w:style w:type="character" w:styleId="EndnoteReference">
    <w:name w:val="endnote reference"/>
    <w:basedOn w:val="DefaultParagraphFont"/>
    <w:semiHidden/>
    <w:rsid w:val="00B8290C"/>
    <w:rPr>
      <w:rFonts w:cs="Times New Roman"/>
      <w:vertAlign w:val="superscript"/>
    </w:rPr>
  </w:style>
  <w:style w:type="paragraph" w:styleId="Caption">
    <w:name w:val="caption"/>
    <w:basedOn w:val="Normal"/>
    <w:next w:val="Normal"/>
    <w:qFormat/>
    <w:rsid w:val="001D53CA"/>
    <w:pPr>
      <w:spacing w:after="120"/>
    </w:pPr>
    <w:rPr>
      <w:rFonts w:ascii="Verdana" w:hAnsi="Verdana"/>
      <w:b/>
      <w:bCs/>
      <w:color w:val="808080"/>
      <w:sz w:val="20"/>
      <w:lang w:val="en-GB" w:eastAsia="en-GB"/>
    </w:rPr>
  </w:style>
  <w:style w:type="paragraph" w:customStyle="1" w:styleId="header4">
    <w:name w:val="header 4"/>
    <w:basedOn w:val="Normal"/>
    <w:rsid w:val="001D53CA"/>
    <w:pPr>
      <w:tabs>
        <w:tab w:val="left" w:pos="1134"/>
      </w:tabs>
    </w:pPr>
    <w:rPr>
      <w:rFonts w:ascii="Verdana" w:hAnsi="Verdana"/>
      <w:i/>
      <w:sz w:val="20"/>
      <w:szCs w:val="24"/>
      <w:lang w:val="en-GB" w:eastAsia="en-GB"/>
    </w:rPr>
  </w:style>
  <w:style w:type="paragraph" w:styleId="BalloonText">
    <w:name w:val="Balloon Text"/>
    <w:basedOn w:val="Normal"/>
    <w:link w:val="BalloonTextChar"/>
    <w:semiHidden/>
    <w:rsid w:val="00497600"/>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497600"/>
    <w:rPr>
      <w:rFonts w:ascii="Tahoma" w:hAnsi="Tahoma" w:cs="Tahoma"/>
      <w:sz w:val="16"/>
      <w:szCs w:val="16"/>
      <w:lang w:val="en-GB" w:eastAsia="en-GB"/>
    </w:rPr>
  </w:style>
  <w:style w:type="paragraph" w:styleId="FootnoteText">
    <w:name w:val="footnote text"/>
    <w:basedOn w:val="Normal"/>
    <w:link w:val="FootnoteTextChar"/>
    <w:semiHidden/>
    <w:unhideWhenUsed/>
    <w:rsid w:val="00B127AD"/>
    <w:pPr>
      <w:spacing w:after="200" w:line="276" w:lineRule="auto"/>
    </w:pPr>
    <w:rPr>
      <w:rFonts w:eastAsia="Calibri"/>
      <w:sz w:val="20"/>
      <w:lang w:eastAsia="en-US"/>
    </w:rPr>
  </w:style>
  <w:style w:type="character" w:customStyle="1" w:styleId="FootnoteTextChar">
    <w:name w:val="Footnote Text Char"/>
    <w:basedOn w:val="DefaultParagraphFont"/>
    <w:link w:val="FootnoteText"/>
    <w:semiHidden/>
    <w:rsid w:val="00B127AD"/>
    <w:rPr>
      <w:rFonts w:ascii="Calibri" w:eastAsia="Calibri" w:hAnsi="Calibri"/>
      <w:lang w:eastAsia="en-US"/>
    </w:rPr>
  </w:style>
  <w:style w:type="character" w:styleId="FootnoteReference">
    <w:name w:val="footnote reference"/>
    <w:basedOn w:val="DefaultParagraphFont"/>
    <w:semiHidden/>
    <w:unhideWhenUsed/>
    <w:rsid w:val="00B127AD"/>
    <w:rPr>
      <w:vertAlign w:val="superscript"/>
    </w:rPr>
  </w:style>
  <w:style w:type="paragraph" w:customStyle="1" w:styleId="Head2">
    <w:name w:val="Head 2"/>
    <w:basedOn w:val="Normal"/>
    <w:rsid w:val="00B127AD"/>
    <w:pPr>
      <w:overflowPunct w:val="0"/>
      <w:autoSpaceDE w:val="0"/>
      <w:autoSpaceDN w:val="0"/>
      <w:adjustRightInd w:val="0"/>
      <w:spacing w:before="240" w:after="120"/>
      <w:textAlignment w:val="baseline"/>
    </w:pPr>
    <w:rPr>
      <w:rFonts w:ascii="Arial" w:hAnsi="Arial"/>
      <w:b/>
      <w:lang w:eastAsia="en-US"/>
    </w:rPr>
  </w:style>
  <w:style w:type="paragraph" w:styleId="TOCHeading">
    <w:name w:val="TOC Heading"/>
    <w:basedOn w:val="Heading1"/>
    <w:next w:val="Normal"/>
    <w:uiPriority w:val="39"/>
    <w:qFormat/>
    <w:rsid w:val="00B06FA3"/>
    <w:pPr>
      <w:keepLines/>
      <w:spacing w:before="480" w:line="276" w:lineRule="auto"/>
      <w:outlineLvl w:val="9"/>
    </w:pPr>
    <w:rPr>
      <w:rFonts w:ascii="Cambria" w:hAnsi="Cambria"/>
      <w:bCs/>
      <w:color w:val="365F91"/>
      <w:sz w:val="28"/>
      <w:szCs w:val="28"/>
      <w:lang w:eastAsia="en-US"/>
    </w:rPr>
  </w:style>
  <w:style w:type="character" w:customStyle="1" w:styleId="FooterChar">
    <w:name w:val="Footer Char"/>
    <w:basedOn w:val="DefaultParagraphFont"/>
    <w:link w:val="Footer"/>
    <w:uiPriority w:val="99"/>
    <w:rsid w:val="00BD0F74"/>
    <w:rPr>
      <w:rFonts w:ascii="Conduit ITC Light" w:hAnsi="Conduit ITC Light"/>
      <w:sz w:val="18"/>
    </w:rPr>
  </w:style>
  <w:style w:type="character" w:customStyle="1" w:styleId="cwlinkalt2">
    <w:name w:val="cwlink_alt2"/>
    <w:basedOn w:val="DefaultParagraphFont"/>
    <w:rsid w:val="00FC5900"/>
  </w:style>
  <w:style w:type="paragraph" w:styleId="CommentText">
    <w:name w:val="annotation text"/>
    <w:basedOn w:val="Normal"/>
    <w:link w:val="CommentTextChar"/>
    <w:uiPriority w:val="99"/>
    <w:semiHidden/>
    <w:unhideWhenUsed/>
    <w:rsid w:val="00C9368D"/>
    <w:rPr>
      <w:sz w:val="20"/>
    </w:rPr>
  </w:style>
  <w:style w:type="character" w:customStyle="1" w:styleId="CommentTextChar">
    <w:name w:val="Comment Text Char"/>
    <w:basedOn w:val="DefaultParagraphFont"/>
    <w:link w:val="CommentText"/>
    <w:uiPriority w:val="99"/>
    <w:semiHidden/>
    <w:rsid w:val="00C9368D"/>
    <w:rPr>
      <w:rFonts w:ascii="Calibri" w:hAnsi="Calibri"/>
    </w:rPr>
  </w:style>
  <w:style w:type="paragraph" w:styleId="CommentSubject">
    <w:name w:val="annotation subject"/>
    <w:basedOn w:val="CommentText"/>
    <w:next w:val="CommentText"/>
    <w:link w:val="CommentSubjectChar"/>
    <w:uiPriority w:val="99"/>
    <w:semiHidden/>
    <w:unhideWhenUsed/>
    <w:rsid w:val="00C9368D"/>
    <w:rPr>
      <w:b/>
      <w:bCs/>
    </w:rPr>
  </w:style>
  <w:style w:type="character" w:customStyle="1" w:styleId="CommentSubjectChar">
    <w:name w:val="Comment Subject Char"/>
    <w:basedOn w:val="CommentTextChar"/>
    <w:link w:val="CommentSubject"/>
    <w:uiPriority w:val="99"/>
    <w:semiHidden/>
    <w:rsid w:val="00C9368D"/>
    <w:rPr>
      <w:b/>
      <w:bCs/>
    </w:rPr>
  </w:style>
</w:styles>
</file>

<file path=word/webSettings.xml><?xml version="1.0" encoding="utf-8"?>
<w:webSettings xmlns:r="http://schemas.openxmlformats.org/officeDocument/2006/relationships" xmlns:w="http://schemas.openxmlformats.org/wordprocessingml/2006/main">
  <w:divs>
    <w:div w:id="12099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zenec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astrazeneca.se"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escardio.org/guidelines-surveys/ehs/acute-coronary-syndromes/pages/acs-ii-survey.aspx" TargetMode="External"/><Relationship Id="rId1" Type="http://schemas.openxmlformats.org/officeDocument/2006/relationships/hyperlink" Target="http://www.allahjart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8B54-CE11-4C03-845D-A494BCEB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3479</Words>
  <Characters>21822</Characters>
  <Application>Microsoft Office Word</Application>
  <DocSecurity>0</DocSecurity>
  <Lines>181</Lines>
  <Paragraphs>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25251</CharactersWithSpaces>
  <SharedDoc>false</SharedDoc>
  <HLinks>
    <vt:vector size="12" baseType="variant">
      <vt:variant>
        <vt:i4>19</vt:i4>
      </vt:variant>
      <vt:variant>
        <vt:i4>3</vt:i4>
      </vt:variant>
      <vt:variant>
        <vt:i4>0</vt:i4>
      </vt:variant>
      <vt:variant>
        <vt:i4>5</vt:i4>
      </vt:variant>
      <vt:variant>
        <vt:lpwstr>http://www.escardio.org/guidelines-surveys/ehs/acute-coronary-syndromes/pages/acs-ii-survey.aspx</vt:lpwstr>
      </vt:variant>
      <vt:variant>
        <vt:lpwstr/>
      </vt:variant>
      <vt:variant>
        <vt:i4>6881391</vt:i4>
      </vt:variant>
      <vt:variant>
        <vt:i4>0</vt:i4>
      </vt:variant>
      <vt:variant>
        <vt:i4>0</vt:i4>
      </vt:variant>
      <vt:variant>
        <vt:i4>5</vt:i4>
      </vt:variant>
      <vt:variant>
        <vt:lpwstr>http://www.allahjartan.se/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2010-05-24T12:13:00Z</dcterms:created>
  <dcterms:modified xsi:type="dcterms:W3CDTF">2010-05-24T12:49:00Z</dcterms:modified>
</cp:coreProperties>
</file>