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A5D48" w14:textId="41085442" w:rsidR="007A3A2F" w:rsidRPr="00017C26" w:rsidRDefault="007A3A2F" w:rsidP="007A3A2F">
      <w:pPr>
        <w:pStyle w:val="titel"/>
        <w:rPr>
          <w:sz w:val="22"/>
          <w:szCs w:val="22"/>
          <w:lang w:val="en-US"/>
        </w:rPr>
      </w:pPr>
      <w:r w:rsidRPr="00017C26">
        <w:rPr>
          <w:sz w:val="22"/>
          <w:szCs w:val="22"/>
          <w:lang w:val="en-US"/>
        </w:rPr>
        <w:t>GOETHEANUM</w:t>
      </w:r>
      <w:r w:rsidRPr="00017C26">
        <w:rPr>
          <w:sz w:val="22"/>
          <w:szCs w:val="22"/>
          <w:lang w:val="en-US"/>
        </w:rPr>
        <w:tab/>
      </w:r>
      <w:r w:rsidR="00B90BB3" w:rsidRPr="00017C26">
        <w:rPr>
          <w:sz w:val="22"/>
          <w:szCs w:val="22"/>
          <w:lang w:val="en-US"/>
        </w:rPr>
        <w:t xml:space="preserve"> </w:t>
      </w:r>
      <w:r w:rsidR="0081275A" w:rsidRPr="00017C26">
        <w:rPr>
          <w:sz w:val="22"/>
          <w:szCs w:val="22"/>
          <w:lang w:val="en-US"/>
        </w:rPr>
        <w:t>COMUNICACIÓN</w:t>
      </w:r>
    </w:p>
    <w:p w14:paraId="2CA980B4" w14:textId="77777777" w:rsidR="007A3A2F" w:rsidRPr="00017C26" w:rsidRDefault="007A3A2F" w:rsidP="007A3A2F">
      <w:pPr>
        <w:pStyle w:val="titel"/>
        <w:jc w:val="right"/>
        <w:rPr>
          <w:sz w:val="22"/>
          <w:szCs w:val="22"/>
          <w:lang w:val="en-US"/>
        </w:rPr>
      </w:pPr>
    </w:p>
    <w:p w14:paraId="20781C88" w14:textId="77777777" w:rsidR="00017C26" w:rsidRPr="00017C26" w:rsidRDefault="00017C26" w:rsidP="00017C26">
      <w:pPr>
        <w:pStyle w:val="titel"/>
        <w:jc w:val="right"/>
        <w:rPr>
          <w:spacing w:val="1"/>
          <w:sz w:val="21"/>
          <w:szCs w:val="21"/>
          <w:lang w:val="en-US"/>
        </w:rPr>
      </w:pPr>
      <w:r w:rsidRPr="00017C26">
        <w:rPr>
          <w:sz w:val="22"/>
          <w:szCs w:val="22"/>
          <w:lang w:val="en-US"/>
        </w:rPr>
        <w:tab/>
        <w:t xml:space="preserve">Goetheanum, Dornach, Suiza, </w:t>
      </w:r>
      <w:r w:rsidRPr="00017C26">
        <w:rPr>
          <w:spacing w:val="1"/>
          <w:sz w:val="21"/>
          <w:szCs w:val="21"/>
          <w:lang w:val="en-US"/>
        </w:rPr>
        <w:t>4 de abril de 2023</w:t>
      </w:r>
    </w:p>
    <w:p w14:paraId="3AEB6320" w14:textId="77777777" w:rsidR="00017C26" w:rsidRPr="00017C26" w:rsidRDefault="00017C26" w:rsidP="00017C26">
      <w:pPr>
        <w:pStyle w:val="body"/>
        <w:rPr>
          <w:lang w:val="en-US"/>
        </w:rPr>
      </w:pPr>
    </w:p>
    <w:p w14:paraId="734694AB" w14:textId="77777777" w:rsidR="00017C26" w:rsidRPr="00017C26" w:rsidRDefault="00017C26" w:rsidP="00017C26">
      <w:pPr>
        <w:pStyle w:val="titel"/>
        <w:spacing w:before="57"/>
        <w:rPr>
          <w:b/>
          <w:bCs/>
          <w:sz w:val="28"/>
          <w:szCs w:val="28"/>
          <w:lang w:val="en-US"/>
        </w:rPr>
      </w:pPr>
      <w:r w:rsidRPr="00017C26">
        <w:rPr>
          <w:b/>
          <w:bCs/>
          <w:sz w:val="28"/>
          <w:szCs w:val="28"/>
          <w:lang w:val="en-US"/>
        </w:rPr>
        <w:t>La OMS publica estándares de formación para la medicina antroposófica</w:t>
      </w:r>
    </w:p>
    <w:p w14:paraId="75C26059" w14:textId="77777777" w:rsidR="00017C26" w:rsidRPr="00017C26" w:rsidRDefault="00017C26" w:rsidP="00017C26">
      <w:pPr>
        <w:pStyle w:val="titel"/>
        <w:spacing w:before="57"/>
        <w:rPr>
          <w:b/>
          <w:bCs/>
          <w:sz w:val="24"/>
          <w:szCs w:val="24"/>
          <w:lang w:val="en-US"/>
        </w:rPr>
      </w:pPr>
      <w:r w:rsidRPr="00017C26">
        <w:rPr>
          <w:b/>
          <w:bCs/>
          <w:sz w:val="24"/>
          <w:szCs w:val="24"/>
          <w:lang w:val="en-US"/>
        </w:rPr>
        <w:t>La documentación de la OMS está disponible en línea</w:t>
      </w:r>
    </w:p>
    <w:p w14:paraId="3CF73CD4" w14:textId="77777777" w:rsidR="00017C26" w:rsidRPr="00017C26" w:rsidRDefault="00017C26" w:rsidP="00017C26">
      <w:pPr>
        <w:pStyle w:val="body"/>
        <w:rPr>
          <w:b/>
          <w:bCs/>
          <w:lang w:val="en-US"/>
        </w:rPr>
      </w:pPr>
    </w:p>
    <w:p w14:paraId="73E56CA6" w14:textId="77777777" w:rsidR="00017C26" w:rsidRPr="00017C26" w:rsidRDefault="00017C26" w:rsidP="00017C26">
      <w:pPr>
        <w:pStyle w:val="body"/>
        <w:rPr>
          <w:rFonts w:ascii="Titillium" w:hAnsi="Titillium" w:cs="Titillium"/>
          <w:b/>
          <w:bCs/>
          <w:spacing w:val="-1"/>
          <w:sz w:val="21"/>
          <w:szCs w:val="21"/>
          <w:lang w:val="en-US"/>
        </w:rPr>
      </w:pPr>
      <w:r w:rsidRPr="00017C26">
        <w:rPr>
          <w:rFonts w:ascii="Titillium" w:hAnsi="Titillium" w:cs="Titillium"/>
          <w:b/>
          <w:bCs/>
          <w:spacing w:val="-1"/>
          <w:sz w:val="21"/>
          <w:szCs w:val="21"/>
          <w:lang w:val="en-US"/>
        </w:rPr>
        <w:t>Desde 2014 la OMS se ha propuesto incluir los enfoques de la medicina tradicional, complementaria e integrativa en los sistemas sanitarios de todo el mundo. Tras los estándares para el ayurveda y la medicina tradicional china, la OMS acaba de publicar por primera vez los estándares mundiales para la formación en la medicina antroposófica.</w:t>
      </w:r>
    </w:p>
    <w:p w14:paraId="43862220" w14:textId="77777777" w:rsidR="00017C26" w:rsidRPr="00017C26" w:rsidRDefault="00017C26" w:rsidP="00017C26">
      <w:pPr>
        <w:pStyle w:val="body"/>
        <w:rPr>
          <w:rFonts w:ascii="Titillium" w:hAnsi="Titillium" w:cs="Titillium"/>
          <w:spacing w:val="1"/>
          <w:sz w:val="21"/>
          <w:szCs w:val="21"/>
          <w:lang w:val="en-US"/>
        </w:rPr>
      </w:pPr>
    </w:p>
    <w:p w14:paraId="0BD80F5A" w14:textId="77777777" w:rsidR="00017C26" w:rsidRPr="00017C26" w:rsidRDefault="00017C26" w:rsidP="00017C26">
      <w:pPr>
        <w:pStyle w:val="body"/>
        <w:rPr>
          <w:rFonts w:ascii="Titillium" w:hAnsi="Titillium" w:cs="Titillium"/>
          <w:spacing w:val="1"/>
          <w:sz w:val="21"/>
          <w:szCs w:val="21"/>
          <w:lang w:val="en-US"/>
        </w:rPr>
      </w:pPr>
      <w:r w:rsidRPr="00017C26">
        <w:rPr>
          <w:rFonts w:ascii="Titillium" w:hAnsi="Titillium" w:cs="Titillium"/>
          <w:spacing w:val="1"/>
          <w:sz w:val="21"/>
          <w:szCs w:val="21"/>
          <w:lang w:val="en-US"/>
        </w:rPr>
        <w:t>Uno de los objetivos de la OMS es establecer una garantía de calidad para la medicina tradicional, complementaria e integrativa. En consecuencia, desde 2017, los estándares de formación en la medicina antroposófica han sido evaluados según los criterios de la OMS en un riguroso proceso transnacional de revisión por pares. «Esta documentación de estándares es orientativa para responsables políticos, personal del sistema sanitario e instituciones de formación», explica el Dr. Kim Sungchol, Jefe del Departamento de Medicina Tradicional, Complementaria e Integrativa de la OMS, en el documento recién publicado, ‹WHO Benchmarks for Training in Anthroposophic Medicine› (Criterios de Referencia de la OMS para la Formación en Medicina Antroposófica).</w:t>
      </w:r>
    </w:p>
    <w:p w14:paraId="7AD1AE7B" w14:textId="77777777" w:rsidR="00017C26" w:rsidRPr="00017C26" w:rsidRDefault="00017C26" w:rsidP="00017C26">
      <w:pPr>
        <w:pStyle w:val="body"/>
        <w:rPr>
          <w:rFonts w:ascii="Titillium" w:hAnsi="Titillium" w:cs="Titillium"/>
          <w:spacing w:val="1"/>
          <w:sz w:val="21"/>
          <w:szCs w:val="21"/>
          <w:lang w:val="en-US"/>
        </w:rPr>
      </w:pPr>
    </w:p>
    <w:p w14:paraId="591FAD20" w14:textId="77777777" w:rsidR="00017C26" w:rsidRPr="00017C26" w:rsidRDefault="00017C26" w:rsidP="00017C26">
      <w:pPr>
        <w:pStyle w:val="body"/>
        <w:rPr>
          <w:rFonts w:ascii="Titillium" w:hAnsi="Titillium" w:cs="Titillium"/>
          <w:spacing w:val="1"/>
          <w:sz w:val="21"/>
          <w:szCs w:val="21"/>
          <w:lang w:val="en-US"/>
        </w:rPr>
      </w:pPr>
      <w:r w:rsidRPr="00017C26">
        <w:rPr>
          <w:rFonts w:ascii="Titillium" w:hAnsi="Titillium" w:cs="Titillium"/>
          <w:spacing w:val="1"/>
          <w:sz w:val="21"/>
          <w:szCs w:val="21"/>
          <w:lang w:val="en-US"/>
        </w:rPr>
        <w:t>«Estas normas de formación publicadas por la OMS coinciden plenamente con las directrices de formación vigentes en la medicina antroposófica actual», afirma el Dr. Matthias Girke, director de la Sección Médica del Goetheanum. Dado que la medicina antroposófica es interdisciplinar, estas normas son para médicos, enfermeros, terapeutas, farmacéuticos y otros profesionales sanitarios. El documento de la OMS también explica todos los términos técnicos centrales de la medicina antroposófica.</w:t>
      </w:r>
    </w:p>
    <w:p w14:paraId="2F419BFD" w14:textId="77777777" w:rsidR="00017C26" w:rsidRPr="00017C26" w:rsidRDefault="00017C26" w:rsidP="00017C26">
      <w:pPr>
        <w:pStyle w:val="body"/>
        <w:rPr>
          <w:rFonts w:ascii="Titillium" w:hAnsi="Titillium" w:cs="Titillium"/>
          <w:spacing w:val="1"/>
          <w:sz w:val="21"/>
          <w:szCs w:val="21"/>
          <w:lang w:val="en-US"/>
        </w:rPr>
      </w:pPr>
    </w:p>
    <w:p w14:paraId="0309F9F4" w14:textId="77777777" w:rsidR="00017C26" w:rsidRPr="00017C26" w:rsidRDefault="00017C26" w:rsidP="00017C26">
      <w:pPr>
        <w:pStyle w:val="body"/>
        <w:rPr>
          <w:rFonts w:ascii="Titillium" w:hAnsi="Titillium" w:cs="Titillium"/>
          <w:spacing w:val="1"/>
          <w:sz w:val="21"/>
          <w:szCs w:val="21"/>
          <w:lang w:val="en-US"/>
        </w:rPr>
      </w:pPr>
      <w:r w:rsidRPr="00017C26">
        <w:rPr>
          <w:rFonts w:ascii="Titillium" w:hAnsi="Titillium" w:cs="Titillium"/>
          <w:spacing w:val="1"/>
          <w:sz w:val="21"/>
          <w:szCs w:val="21"/>
          <w:lang w:val="en-US"/>
        </w:rPr>
        <w:t>«Se trata de un paso importante hacia la integración de la medicina antroposófica en los sistemas sanitarios nacionales», explica el Dr. Thomas Breitkreuz, presidente de la Asociación Internacional de Médicos Antroposóficos (IVAA). «Damos la bienvenida a estos estándares de la OMS y estamos dispuestos a colaborar con cualquier autoridad sanitaria nacional para incluirlas en la normativa de educación y formación de las profesiones sanitarias».</w:t>
      </w:r>
    </w:p>
    <w:p w14:paraId="30C6AC3B" w14:textId="77777777" w:rsidR="00017C26" w:rsidRPr="00017C26" w:rsidRDefault="00017C26" w:rsidP="00017C26">
      <w:pPr>
        <w:pStyle w:val="body"/>
        <w:jc w:val="right"/>
        <w:rPr>
          <w:rFonts w:ascii="Titillium" w:hAnsi="Titillium" w:cs="Titillium"/>
          <w:sz w:val="21"/>
          <w:szCs w:val="21"/>
          <w:lang w:val="en-US"/>
        </w:rPr>
      </w:pPr>
      <w:r w:rsidRPr="00017C26">
        <w:rPr>
          <w:rFonts w:ascii="Titillium" w:hAnsi="Titillium" w:cs="Titillium"/>
          <w:sz w:val="21"/>
          <w:szCs w:val="21"/>
          <w:lang w:val="en-US"/>
        </w:rPr>
        <w:t>(2028 caracteres/SJ; traducido por Michael Kranawetvogl)</w:t>
      </w:r>
    </w:p>
    <w:p w14:paraId="50CA1BD1" w14:textId="77777777" w:rsidR="00017C26" w:rsidRPr="00017C26" w:rsidRDefault="00017C26" w:rsidP="00017C26">
      <w:pPr>
        <w:pStyle w:val="body"/>
        <w:spacing w:before="170"/>
        <w:rPr>
          <w:rFonts w:ascii="Titillium" w:hAnsi="Titillium" w:cs="Titillium"/>
          <w:spacing w:val="1"/>
          <w:sz w:val="21"/>
          <w:szCs w:val="21"/>
          <w:lang w:val="en-US"/>
        </w:rPr>
      </w:pPr>
      <w:r w:rsidRPr="00017C26">
        <w:rPr>
          <w:rFonts w:ascii="Titillium Bd" w:hAnsi="Titillium Bd" w:cs="Titillium Bd"/>
          <w:b/>
          <w:bCs/>
          <w:spacing w:val="1"/>
          <w:sz w:val="21"/>
          <w:szCs w:val="21"/>
          <w:lang w:val="en-US"/>
        </w:rPr>
        <w:t xml:space="preserve">Estándares para la formación médica profesional (en inglés) </w:t>
      </w:r>
    </w:p>
    <w:p w14:paraId="7499FD3C" w14:textId="77777777" w:rsidR="00017C26" w:rsidRPr="00017C26" w:rsidRDefault="00017C26" w:rsidP="00017C26">
      <w:pPr>
        <w:pStyle w:val="body"/>
        <w:rPr>
          <w:rFonts w:ascii="Titillium" w:hAnsi="Titillium" w:cs="Titillium"/>
          <w:spacing w:val="1"/>
          <w:sz w:val="21"/>
          <w:szCs w:val="21"/>
          <w:lang w:val="en-US"/>
        </w:rPr>
      </w:pPr>
      <w:r w:rsidRPr="00017C26">
        <w:rPr>
          <w:rFonts w:ascii="Titillium" w:hAnsi="Titillium" w:cs="Titillium"/>
          <w:spacing w:val="1"/>
          <w:sz w:val="21"/>
          <w:szCs w:val="21"/>
          <w:lang w:val="en-US"/>
        </w:rPr>
        <w:t>apps.who.int/iris/handle/10665/366645</w:t>
      </w:r>
    </w:p>
    <w:p w14:paraId="5294DE9B" w14:textId="77777777" w:rsidR="00017C26" w:rsidRPr="00017C26" w:rsidRDefault="00017C26" w:rsidP="00017C26">
      <w:pPr>
        <w:pStyle w:val="body"/>
        <w:spacing w:before="170"/>
        <w:rPr>
          <w:rFonts w:ascii="Titillium" w:hAnsi="Titillium" w:cs="Titillium"/>
          <w:spacing w:val="1"/>
          <w:sz w:val="21"/>
          <w:szCs w:val="21"/>
          <w:lang w:val="en-US"/>
        </w:rPr>
      </w:pPr>
      <w:r w:rsidRPr="00017C26">
        <w:rPr>
          <w:rFonts w:ascii="Titillium Bd" w:hAnsi="Titillium Bd" w:cs="Titillium Bd"/>
          <w:b/>
          <w:bCs/>
          <w:spacing w:val="1"/>
          <w:sz w:val="21"/>
          <w:szCs w:val="21"/>
          <w:lang w:val="en-US"/>
        </w:rPr>
        <w:t>Simposio de lanzamiento (online)</w:t>
      </w:r>
      <w:r w:rsidRPr="00017C26">
        <w:rPr>
          <w:rFonts w:ascii="Titillium" w:hAnsi="Titillium" w:cs="Titillium"/>
          <w:spacing w:val="1"/>
          <w:sz w:val="21"/>
          <w:szCs w:val="21"/>
          <w:lang w:val="en-US"/>
        </w:rPr>
        <w:t xml:space="preserve"> 12 de abril de 2023, 14.00 horas, organizado por la Asociación Internacional de Médicos Antroposóficos (IVAA), la Sección Médica del Goetheanum y la Organización de Medicina Antroposófica Alemania </w:t>
      </w:r>
      <w:r w:rsidRPr="00017C26">
        <w:rPr>
          <w:rFonts w:ascii="Titillium" w:hAnsi="Titillium" w:cs="Titillium"/>
          <w:spacing w:val="1"/>
          <w:sz w:val="21"/>
          <w:szCs w:val="21"/>
          <w:lang w:val="en-US"/>
        </w:rPr>
        <w:br/>
      </w:r>
      <w:r w:rsidRPr="00017C26">
        <w:rPr>
          <w:rFonts w:ascii="Titillium Bd" w:hAnsi="Titillium Bd" w:cs="Titillium Bd"/>
          <w:b/>
          <w:bCs/>
          <w:spacing w:val="1"/>
          <w:sz w:val="21"/>
          <w:szCs w:val="21"/>
          <w:lang w:val="en-US"/>
        </w:rPr>
        <w:t xml:space="preserve">Inscripción (en inglés) </w:t>
      </w:r>
      <w:r w:rsidRPr="00017C26">
        <w:rPr>
          <w:rFonts w:ascii="Titillium" w:hAnsi="Titillium" w:cs="Titillium"/>
          <w:spacing w:val="1"/>
          <w:sz w:val="21"/>
          <w:szCs w:val="21"/>
          <w:lang w:val="en-US"/>
        </w:rPr>
        <w:t>www.ivaa.info/events/international-launch-symposium</w:t>
      </w:r>
    </w:p>
    <w:p w14:paraId="7DBB424B" w14:textId="342CCB3B" w:rsidR="006E7E7B" w:rsidRPr="00017C26" w:rsidRDefault="00017C26" w:rsidP="00017C26">
      <w:pPr>
        <w:rPr>
          <w:lang w:val="en-US"/>
        </w:rPr>
      </w:pPr>
      <w:r w:rsidRPr="00017C26">
        <w:rPr>
          <w:rFonts w:ascii="Titillium Bd" w:hAnsi="Titillium Bd" w:cs="Titillium Bd"/>
          <w:b/>
          <w:bCs/>
          <w:spacing w:val="1"/>
          <w:sz w:val="21"/>
          <w:szCs w:val="21"/>
          <w:lang w:val="en-US"/>
        </w:rPr>
        <w:t>Contacto</w:t>
      </w:r>
      <w:r w:rsidRPr="00017C26">
        <w:rPr>
          <w:rFonts w:ascii="Titillium" w:hAnsi="Titillium" w:cs="Titillium"/>
          <w:spacing w:val="1"/>
          <w:sz w:val="21"/>
          <w:szCs w:val="21"/>
          <w:lang w:val="en-US"/>
        </w:rPr>
        <w:t xml:space="preserve"> Ariane Totzke, ariane.totzke@medsektion-goetheanum.ch</w:t>
      </w:r>
    </w:p>
    <w:sectPr w:rsidR="006E7E7B" w:rsidRPr="00017C26"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altName w:val="﷽﷽﷽﷽﷽﷽﷽﷽New"/>
    <w:panose1 w:val="00000500000000000000"/>
    <w:charset w:val="4D"/>
    <w:family w:val="auto"/>
    <w:notTrueType/>
    <w:pitch w:val="variable"/>
    <w:sig w:usb0="00000007" w:usb1="00000001" w:usb2="00000000" w:usb3="00000000" w:csb0="00000093" w:csb1="00000000"/>
  </w:font>
  <w:font w:name="Titillium Lt">
    <w:altName w:val="﷽﷽﷽﷽﷽﷽﷽﷽New"/>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017C26"/>
    <w:rsid w:val="006E7E7B"/>
    <w:rsid w:val="006F57DB"/>
    <w:rsid w:val="007A3A2F"/>
    <w:rsid w:val="0081275A"/>
    <w:rsid w:val="00B90BB3"/>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4036F9E9"/>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377</Words>
  <Characters>2382</Characters>
  <Application>Microsoft Office Word</Application>
  <DocSecurity>0</DocSecurity>
  <Lines>19</Lines>
  <Paragraphs>5</Paragraphs>
  <ScaleCrop>false</ScaleCrop>
  <Company/>
  <LinksUpToDate>false</LinksUpToDate>
  <CharactersWithSpaces>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5</cp:revision>
  <dcterms:created xsi:type="dcterms:W3CDTF">2020-10-31T17:28:00Z</dcterms:created>
  <dcterms:modified xsi:type="dcterms:W3CDTF">2023-04-04T08:57:00Z</dcterms:modified>
</cp:coreProperties>
</file>