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C822" w14:textId="77777777" w:rsidR="00AD6DD0" w:rsidRDefault="00AD6DD0" w:rsidP="00AD6DD0">
      <w:bookmarkStart w:id="0" w:name="_GoBack"/>
      <w:bookmarkEnd w:id="0"/>
      <w:r>
        <w:t>Pressmeddelande:</w:t>
      </w:r>
    </w:p>
    <w:p w14:paraId="26AE6764" w14:textId="77777777" w:rsidR="00AD6DD0" w:rsidRDefault="00AD6DD0" w:rsidP="00AD6DD0"/>
    <w:p w14:paraId="0BC13329" w14:textId="77777777" w:rsidR="00AD6DD0" w:rsidRDefault="00AD6DD0" w:rsidP="00AD6D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 häver avtal med Gülermak</w:t>
      </w:r>
    </w:p>
    <w:p w14:paraId="0DD46F7C" w14:textId="3CAA32C3" w:rsidR="00AD6DD0" w:rsidRDefault="00AD6DD0" w:rsidP="00AD6DD0">
      <w:pPr>
        <w:rPr>
          <w:b/>
          <w:bCs/>
        </w:rPr>
      </w:pPr>
      <w:r>
        <w:rPr>
          <w:b/>
          <w:bCs/>
        </w:rPr>
        <w:t>Med omedelbar verkan häver SL avtalet med leverantören Gülermak avseende Tvärbanans Kistagren. Avtalet är en totalentreprenad för sträckan Bromma flygplats</w:t>
      </w:r>
      <w:r w:rsidR="00E77A48">
        <w:t>–</w:t>
      </w:r>
      <w:r>
        <w:rPr>
          <w:b/>
          <w:bCs/>
        </w:rPr>
        <w:t>Ursviks torg. Hävningen innebär att Gülermaks arbeten stoppas och att SL skyndsamt inleder arbetet med att teckna nya avtal.</w:t>
      </w:r>
    </w:p>
    <w:p w14:paraId="29C59561" w14:textId="77777777" w:rsidR="00AD6DD0" w:rsidRDefault="00AD6DD0" w:rsidP="00AD6DD0"/>
    <w:p w14:paraId="1C007FF5" w14:textId="77777777" w:rsidR="00AD6DD0" w:rsidRDefault="00AD6DD0" w:rsidP="00AD6DD0">
      <w:r>
        <w:t xml:space="preserve">Det främsta skälet till beslutet om hävning är att Gülermak inte presenterat erforderliga ekonomiska garantier på det sätt avtalet föreskriver. Vidare har Gülermak inte betalat sina underleverantörer i enlighet med avtalets villkor. Slutligen brister Gülermak i sina leveranser som avviker från budget både avseende kostnader och tid. </w:t>
      </w:r>
    </w:p>
    <w:p w14:paraId="5A39AC0D" w14:textId="77777777" w:rsidR="00AD6DD0" w:rsidRDefault="00AD6DD0" w:rsidP="00AD6DD0"/>
    <w:p w14:paraId="718A4496" w14:textId="77777777" w:rsidR="00AD6DD0" w:rsidRDefault="00AD6DD0" w:rsidP="00AD6DD0">
      <w:r>
        <w:t>Hävningen har föregåtts av tät dialog och förhandling, där SL för Gülermak tydliggjort avtalets villkor och risken för hävning. Dessa villkor har inte uppfyllts och därför häver SL avtalet.</w:t>
      </w:r>
    </w:p>
    <w:p w14:paraId="607634D6" w14:textId="77777777" w:rsidR="00AD6DD0" w:rsidRDefault="00AD6DD0" w:rsidP="00AD6DD0"/>
    <w:p w14:paraId="31D5E9CF" w14:textId="77777777" w:rsidR="00AD6DD0" w:rsidRDefault="00AD6DD0" w:rsidP="00AD6DD0">
      <w:r>
        <w:t>Beslutet om hävning har fattats av förvaltningschef/vd SL, efter bemyndigande från trafiknämndens ordförande och SL:s styrelse</w:t>
      </w:r>
    </w:p>
    <w:p w14:paraId="76776B89" w14:textId="77777777" w:rsidR="00AD6DD0" w:rsidRDefault="00AD6DD0" w:rsidP="00AD6DD0"/>
    <w:p w14:paraId="5E654F98" w14:textId="77777777" w:rsidR="00AD6DD0" w:rsidRDefault="00AD6DD0" w:rsidP="00AD6DD0">
      <w:r>
        <w:t>Det avtal som nu hävs är en totalentreprenad, vilket innebär att entreprenören har ansvar för helheten; planering, projektering och produktion. I och med hävningen stoppas de arbeten som Gülermak ansvarar för. De arbeten som krävs för att stänga byggarbetsplatser på säkert sätt utförs, i väntan på att avtal kan tecknas med nya entreprenörer. De underleverantörer som berörs har underrättats i särskild ordning, liksom berörda kommuner.</w:t>
      </w:r>
    </w:p>
    <w:p w14:paraId="6FAB588D" w14:textId="77777777" w:rsidR="00AD6DD0" w:rsidRDefault="00AD6DD0" w:rsidP="00AD6DD0"/>
    <w:p w14:paraId="1B710D5D" w14:textId="4D760136" w:rsidR="00AD6DD0" w:rsidRDefault="00AD6DD0" w:rsidP="00AD6DD0">
      <w:r>
        <w:t>Utbyggnaden Ursviks torg</w:t>
      </w:r>
      <w:r w:rsidR="00E77A48">
        <w:t>–</w:t>
      </w:r>
      <w:r>
        <w:t>Helenelund fortsätter enligt plan.</w:t>
      </w:r>
    </w:p>
    <w:p w14:paraId="5B1A713D" w14:textId="77777777" w:rsidR="00AD6DD0" w:rsidRDefault="00AD6DD0" w:rsidP="00AD6DD0"/>
    <w:p w14:paraId="207723CD" w14:textId="77777777" w:rsidR="00AD6DD0" w:rsidRDefault="00AD6DD0" w:rsidP="00AD6DD0">
      <w:r>
        <w:t>Vid frågor kontakta SL:s presstjänst</w:t>
      </w:r>
    </w:p>
    <w:p w14:paraId="15A545DE" w14:textId="77777777" w:rsidR="00AD6DD0" w:rsidRDefault="00AD6DD0" w:rsidP="00AD6DD0"/>
    <w:p w14:paraId="007619B0" w14:textId="77777777" w:rsidR="00AD6DD0" w:rsidRDefault="00AD6DD0" w:rsidP="00AD6DD0">
      <w:r w:rsidRPr="00AD6DD0">
        <w:rPr>
          <w:b/>
          <w:bCs/>
        </w:rPr>
        <w:t>Bakgrund</w:t>
      </w:r>
      <w:r>
        <w:t>:</w:t>
      </w:r>
    </w:p>
    <w:p w14:paraId="4DC425B7" w14:textId="77777777" w:rsidR="00AD6DD0" w:rsidRDefault="00AD6DD0" w:rsidP="00AD6DD0">
      <w:r>
        <w:t>SL tecknade september 2020 avtal med Gülermak avseende totalentreprenad för Tvärbanans utbyggnad mellan Bromma Flygplats och Helenelund. Kontraktsvärdet uppgick vid tecknande till 1,3 mdkr.</w:t>
      </w:r>
    </w:p>
    <w:p w14:paraId="78E7C0D5" w14:textId="77777777" w:rsidR="00AD6DD0" w:rsidRDefault="00AD6DD0" w:rsidP="00AD6DD0"/>
    <w:p w14:paraId="6DDDB180" w14:textId="77777777" w:rsidR="00AD6DD0" w:rsidRDefault="00AD6DD0" w:rsidP="00AD6DD0">
      <w:r>
        <w:t>Januari 2023 tecknade parterna ett tilläggsavtal som innebar förändrad ersättningsmodell och ökad insyn för SL i arbetet. Gülermak ersattes även för ökade kostnader främst med anledning av pandemin och kriget i Ukraina.</w:t>
      </w:r>
    </w:p>
    <w:p w14:paraId="6CEF5ABB" w14:textId="77777777" w:rsidR="00AD6DD0" w:rsidRDefault="00AD6DD0" w:rsidP="00AD6DD0"/>
    <w:p w14:paraId="42826A73" w14:textId="77777777" w:rsidR="00AD6DD0" w:rsidRDefault="00AD6DD0" w:rsidP="00AD6DD0">
      <w:r>
        <w:t xml:space="preserve">Enligt tilläggsavtalet har SL rätt att avbeställa arbeten vilket SL gjorde för sträckan Ursviks torg–Helenelund i slutet av 2023. Efter avbeställningen har kontraktsvärdet minskat till cirka 700 miljoner kronor. </w:t>
      </w:r>
    </w:p>
    <w:p w14:paraId="37FAB6A9" w14:textId="3D495D05" w:rsidR="00AD6DD0" w:rsidRDefault="00AD6DD0" w:rsidP="00AD6DD0">
      <w:r>
        <w:lastRenderedPageBreak/>
        <w:t xml:space="preserve">Totalbudget, dvs. total investeringsutgift, för Tvärbanans Kistagren uppgår till 8 073 miljoner kronor. </w:t>
      </w:r>
    </w:p>
    <w:p w14:paraId="283E488A" w14:textId="77777777" w:rsidR="00AD6DD0" w:rsidRDefault="00AD6DD0" w:rsidP="00AD6DD0">
      <w:pPr>
        <w:rPr>
          <w:rFonts w:ascii="Verdana" w:hAnsi="Verdana"/>
          <w:sz w:val="20"/>
          <w:szCs w:val="20"/>
        </w:rPr>
      </w:pPr>
    </w:p>
    <w:p w14:paraId="7DF4F95E" w14:textId="77777777" w:rsidR="0050046B" w:rsidRPr="009B1C9F" w:rsidRDefault="0050046B" w:rsidP="009B1C9F">
      <w:pPr>
        <w:spacing w:after="200" w:line="276" w:lineRule="auto"/>
      </w:pPr>
    </w:p>
    <w:sectPr w:rsidR="0050046B" w:rsidRPr="009B1C9F" w:rsidSect="008E295A">
      <w:pgSz w:w="11906" w:h="16838"/>
      <w:pgMar w:top="2381" w:right="2410" w:bottom="266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7809" w14:textId="77777777" w:rsidR="00AD6DD0" w:rsidRDefault="00AD6DD0" w:rsidP="0022155C">
      <w:r>
        <w:separator/>
      </w:r>
    </w:p>
  </w:endnote>
  <w:endnote w:type="continuationSeparator" w:id="0">
    <w:p w14:paraId="6C85F8F1" w14:textId="77777777" w:rsidR="00AD6DD0" w:rsidRDefault="00AD6DD0" w:rsidP="0022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95D7" w14:textId="77777777" w:rsidR="00AD6DD0" w:rsidRDefault="00AD6DD0" w:rsidP="0022155C">
      <w:r>
        <w:separator/>
      </w:r>
    </w:p>
  </w:footnote>
  <w:footnote w:type="continuationSeparator" w:id="0">
    <w:p w14:paraId="6E953119" w14:textId="77777777" w:rsidR="00AD6DD0" w:rsidRDefault="00AD6DD0" w:rsidP="0022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714"/>
    <w:multiLevelType w:val="multilevel"/>
    <w:tmpl w:val="B9F225E0"/>
    <w:numStyleLink w:val="TFListor"/>
  </w:abstractNum>
  <w:abstractNum w:abstractNumId="1" w15:restartNumberingAfterBreak="0">
    <w:nsid w:val="2069197A"/>
    <w:multiLevelType w:val="multilevel"/>
    <w:tmpl w:val="C962585C"/>
    <w:numStyleLink w:val="TFNumreraderubriker"/>
  </w:abstractNum>
  <w:abstractNum w:abstractNumId="2" w15:restartNumberingAfterBreak="0">
    <w:nsid w:val="244515B2"/>
    <w:multiLevelType w:val="multilevel"/>
    <w:tmpl w:val="B9F225E0"/>
    <w:styleLink w:val="TFListor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>
      <w:start w:val="1"/>
      <w:numFmt w:val="bullet"/>
      <w:lvlRestart w:val="0"/>
      <w:pStyle w:val="TFPunktlista"/>
      <w:lvlText w:val="•"/>
      <w:lvlJc w:val="left"/>
      <w:pPr>
        <w:tabs>
          <w:tab w:val="num" w:pos="340"/>
        </w:tabs>
        <w:ind w:left="340" w:hanging="340"/>
      </w:pPr>
      <w:rPr>
        <w:rFonts w:ascii="Georgia" w:hAnsi="Georgia" w:hint="default"/>
        <w:color w:val="auto"/>
      </w:rPr>
    </w:lvl>
    <w:lvl w:ilvl="4">
      <w:start w:val="1"/>
      <w:numFmt w:val="bullet"/>
      <w:lvlRestart w:val="0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▪"/>
      <w:lvlJc w:val="left"/>
      <w:pPr>
        <w:tabs>
          <w:tab w:val="num" w:pos="1021"/>
        </w:tabs>
        <w:ind w:left="1021" w:hanging="341"/>
      </w:pPr>
      <w:rPr>
        <w:rFonts w:ascii="Georgia" w:hAnsi="Georgia" w:hint="default"/>
        <w:color w:val="auto"/>
      </w:rPr>
    </w:lvl>
    <w:lvl w:ilvl="6">
      <w:start w:val="1"/>
      <w:numFmt w:val="bullet"/>
      <w:pStyle w:val="TFStreck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1021"/>
        </w:tabs>
        <w:ind w:left="1021" w:hanging="341"/>
      </w:pPr>
      <w:rPr>
        <w:rFonts w:ascii="Georgia" w:hAnsi="Georgia" w:hint="default"/>
        <w:color w:val="auto"/>
      </w:rPr>
    </w:lvl>
  </w:abstractNum>
  <w:abstractNum w:abstractNumId="3" w15:restartNumberingAfterBreak="0">
    <w:nsid w:val="254464F6"/>
    <w:multiLevelType w:val="multilevel"/>
    <w:tmpl w:val="4BA09C78"/>
    <w:styleLink w:val="TFListanumrerad"/>
    <w:lvl w:ilvl="0">
      <w:start w:val="1"/>
      <w:numFmt w:val="decimal"/>
      <w:pStyle w:val="TFNumrerad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721D4D"/>
    <w:multiLevelType w:val="multilevel"/>
    <w:tmpl w:val="4BA09C78"/>
    <w:numStyleLink w:val="TFListanumrerad"/>
  </w:abstractNum>
  <w:abstractNum w:abstractNumId="5" w15:restartNumberingAfterBreak="0">
    <w:nsid w:val="2A832C45"/>
    <w:multiLevelType w:val="multilevel"/>
    <w:tmpl w:val="4BA09C78"/>
    <w:numStyleLink w:val="TFListanumrerad"/>
  </w:abstractNum>
  <w:abstractNum w:abstractNumId="6" w15:restartNumberingAfterBreak="0">
    <w:nsid w:val="3DB87150"/>
    <w:multiLevelType w:val="multilevel"/>
    <w:tmpl w:val="B9F225E0"/>
    <w:numStyleLink w:val="TFListor"/>
  </w:abstractNum>
  <w:abstractNum w:abstractNumId="7" w15:restartNumberingAfterBreak="0">
    <w:nsid w:val="3FF964F6"/>
    <w:multiLevelType w:val="multilevel"/>
    <w:tmpl w:val="C962585C"/>
    <w:numStyleLink w:val="TFNumreraderubriker"/>
  </w:abstractNum>
  <w:abstractNum w:abstractNumId="8" w15:restartNumberingAfterBreak="0">
    <w:nsid w:val="433F01F3"/>
    <w:multiLevelType w:val="hybridMultilevel"/>
    <w:tmpl w:val="D6CE21C8"/>
    <w:lvl w:ilvl="0" w:tplc="249CFA0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52F61"/>
    <w:multiLevelType w:val="multilevel"/>
    <w:tmpl w:val="C962585C"/>
    <w:styleLink w:val="TFNumreraderubriker"/>
    <w:lvl w:ilvl="0">
      <w:start w:val="1"/>
      <w:numFmt w:val="decimal"/>
      <w:pStyle w:val="NumrRub1"/>
      <w:lvlText w:val="%1"/>
      <w:lvlJc w:val="right"/>
      <w:pPr>
        <w:ind w:left="227" w:hanging="227"/>
      </w:pPr>
      <w:rPr>
        <w:rFonts w:hint="default"/>
      </w:rPr>
    </w:lvl>
    <w:lvl w:ilvl="1">
      <w:start w:val="1"/>
      <w:numFmt w:val="decimal"/>
      <w:pStyle w:val="NumrRub2"/>
      <w:lvlText w:val="%1.%2"/>
      <w:lvlJc w:val="right"/>
      <w:pPr>
        <w:ind w:left="227" w:hanging="227"/>
      </w:pPr>
      <w:rPr>
        <w:rFonts w:hint="default"/>
      </w:rPr>
    </w:lvl>
    <w:lvl w:ilvl="2">
      <w:start w:val="1"/>
      <w:numFmt w:val="decimal"/>
      <w:pStyle w:val="NumrRub3"/>
      <w:lvlText w:val="%1.%2.%3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pStyle w:val="NumrRub4"/>
      <w:lvlText w:val="%1.%2.%3.%4"/>
      <w:lvlJc w:val="righ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36D43"/>
    <w:multiLevelType w:val="multilevel"/>
    <w:tmpl w:val="4BA09C78"/>
    <w:numStyleLink w:val="TFListanumrerad"/>
  </w:abstractNum>
  <w:abstractNum w:abstractNumId="11" w15:restartNumberingAfterBreak="0">
    <w:nsid w:val="67450A13"/>
    <w:multiLevelType w:val="multilevel"/>
    <w:tmpl w:val="B9F225E0"/>
    <w:numStyleLink w:val="TFListor"/>
  </w:abstractNum>
  <w:abstractNum w:abstractNumId="12" w15:restartNumberingAfterBreak="0">
    <w:nsid w:val="76BD10D6"/>
    <w:multiLevelType w:val="multilevel"/>
    <w:tmpl w:val="C962585C"/>
    <w:numStyleLink w:val="TFNumreraderubriker"/>
  </w:abstractNum>
  <w:num w:numId="1" w16cid:durableId="1580750501">
    <w:abstractNumId w:val="9"/>
  </w:num>
  <w:num w:numId="2" w16cid:durableId="172839884">
    <w:abstractNumId w:val="12"/>
  </w:num>
  <w:num w:numId="3" w16cid:durableId="694619131">
    <w:abstractNumId w:val="7"/>
  </w:num>
  <w:num w:numId="4" w16cid:durableId="1476485764">
    <w:abstractNumId w:val="1"/>
  </w:num>
  <w:num w:numId="5" w16cid:durableId="2039620594">
    <w:abstractNumId w:val="2"/>
  </w:num>
  <w:num w:numId="6" w16cid:durableId="632057588">
    <w:abstractNumId w:val="0"/>
  </w:num>
  <w:num w:numId="7" w16cid:durableId="547843402">
    <w:abstractNumId w:val="11"/>
  </w:num>
  <w:num w:numId="8" w16cid:durableId="94402280">
    <w:abstractNumId w:val="8"/>
  </w:num>
  <w:num w:numId="9" w16cid:durableId="550075277">
    <w:abstractNumId w:val="4"/>
  </w:num>
  <w:num w:numId="10" w16cid:durableId="836966077">
    <w:abstractNumId w:val="3"/>
  </w:num>
  <w:num w:numId="11" w16cid:durableId="1177421125">
    <w:abstractNumId w:val="10"/>
  </w:num>
  <w:num w:numId="12" w16cid:durableId="2118135506">
    <w:abstractNumId w:val="5"/>
  </w:num>
  <w:num w:numId="13" w16cid:durableId="1271548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D0"/>
    <w:rsid w:val="000B58D8"/>
    <w:rsid w:val="000B6527"/>
    <w:rsid w:val="000D618F"/>
    <w:rsid w:val="000F0BC3"/>
    <w:rsid w:val="00135610"/>
    <w:rsid w:val="001851E1"/>
    <w:rsid w:val="001F1FEC"/>
    <w:rsid w:val="001F7249"/>
    <w:rsid w:val="0021208D"/>
    <w:rsid w:val="0022155C"/>
    <w:rsid w:val="0025441F"/>
    <w:rsid w:val="00265174"/>
    <w:rsid w:val="00280656"/>
    <w:rsid w:val="002E0E2F"/>
    <w:rsid w:val="002F5B6A"/>
    <w:rsid w:val="00344A43"/>
    <w:rsid w:val="00362ABE"/>
    <w:rsid w:val="0039421E"/>
    <w:rsid w:val="003C02DC"/>
    <w:rsid w:val="00416445"/>
    <w:rsid w:val="004564EC"/>
    <w:rsid w:val="004919BA"/>
    <w:rsid w:val="004D237F"/>
    <w:rsid w:val="0050046B"/>
    <w:rsid w:val="005059F4"/>
    <w:rsid w:val="0053061C"/>
    <w:rsid w:val="005531D9"/>
    <w:rsid w:val="00576A95"/>
    <w:rsid w:val="005F51CD"/>
    <w:rsid w:val="0063380C"/>
    <w:rsid w:val="00677E75"/>
    <w:rsid w:val="0068262F"/>
    <w:rsid w:val="006E27AF"/>
    <w:rsid w:val="006E40F5"/>
    <w:rsid w:val="007037EE"/>
    <w:rsid w:val="007A566A"/>
    <w:rsid w:val="007A5679"/>
    <w:rsid w:val="00847966"/>
    <w:rsid w:val="008A0B1F"/>
    <w:rsid w:val="008E1B52"/>
    <w:rsid w:val="008E295A"/>
    <w:rsid w:val="00990274"/>
    <w:rsid w:val="009B1C9F"/>
    <w:rsid w:val="009C5E8C"/>
    <w:rsid w:val="009D7CB3"/>
    <w:rsid w:val="00A01547"/>
    <w:rsid w:val="00A52C2B"/>
    <w:rsid w:val="00AB2778"/>
    <w:rsid w:val="00AD6DD0"/>
    <w:rsid w:val="00AD77B3"/>
    <w:rsid w:val="00B71533"/>
    <w:rsid w:val="00B730F2"/>
    <w:rsid w:val="00B807BE"/>
    <w:rsid w:val="00BB5660"/>
    <w:rsid w:val="00C57B3B"/>
    <w:rsid w:val="00CF2EB4"/>
    <w:rsid w:val="00D5006D"/>
    <w:rsid w:val="00E231FC"/>
    <w:rsid w:val="00E24B26"/>
    <w:rsid w:val="00E77A48"/>
    <w:rsid w:val="00ED441F"/>
    <w:rsid w:val="00EF6BFA"/>
    <w:rsid w:val="00F04F5F"/>
    <w:rsid w:val="00F41FEC"/>
    <w:rsid w:val="00FB6829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B78F"/>
  <w15:chartTrackingRefBased/>
  <w15:docId w15:val="{70016534-DC5F-4519-82FE-8D58064C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D0"/>
    <w:pPr>
      <w:spacing w:after="0" w:line="240" w:lineRule="auto"/>
    </w:pPr>
    <w:rPr>
      <w:rFonts w:ascii="Calibri" w:hAnsi="Calibri" w:cs="Calibri"/>
      <w:kern w:val="0"/>
    </w:rPr>
  </w:style>
  <w:style w:type="paragraph" w:styleId="Rubrik1">
    <w:name w:val="heading 1"/>
    <w:basedOn w:val="Normal"/>
    <w:next w:val="Normal"/>
    <w:link w:val="Rubrik1Char"/>
    <w:uiPriority w:val="1"/>
    <w:qFormat/>
    <w:rsid w:val="006E40F5"/>
    <w:pPr>
      <w:keepNext/>
      <w:keepLines/>
      <w:spacing w:after="240" w:line="280" w:lineRule="atLeast"/>
      <w:outlineLvl w:val="0"/>
    </w:pPr>
    <w:rPr>
      <w:rFonts w:asciiTheme="majorHAnsi" w:eastAsiaTheme="majorEastAsia" w:hAnsiTheme="majorHAnsi" w:cstheme="majorBidi"/>
      <w:b/>
      <w:bCs/>
      <w:kern w:val="2"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6E40F5"/>
    <w:pPr>
      <w:keepNext/>
      <w:keepLines/>
      <w:spacing w:line="280" w:lineRule="atLeast"/>
      <w:outlineLvl w:val="1"/>
    </w:pPr>
    <w:rPr>
      <w:rFonts w:asciiTheme="majorHAnsi" w:eastAsiaTheme="majorEastAsia" w:hAnsiTheme="majorHAnsi" w:cstheme="majorBidi"/>
      <w:b/>
      <w:bCs/>
      <w:kern w:val="2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6E40F5"/>
    <w:pPr>
      <w:keepNext/>
      <w:keepLines/>
      <w:spacing w:line="280" w:lineRule="atLeast"/>
      <w:outlineLvl w:val="2"/>
    </w:pPr>
    <w:rPr>
      <w:rFonts w:asciiTheme="majorHAnsi" w:eastAsiaTheme="majorEastAsia" w:hAnsiTheme="majorHAnsi" w:cstheme="majorBidi"/>
      <w:bCs/>
      <w:i/>
      <w:kern w:val="2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2155C"/>
    <w:pPr>
      <w:keepNext/>
      <w:keepLines/>
      <w:spacing w:line="280" w:lineRule="atLeast"/>
      <w:outlineLvl w:val="3"/>
    </w:pPr>
    <w:rPr>
      <w:rFonts w:asciiTheme="majorHAnsi" w:eastAsiaTheme="majorEastAsia" w:hAnsiTheme="majorHAnsi" w:cstheme="majorBidi"/>
      <w:bCs/>
      <w:i/>
      <w:iCs/>
      <w:kern w:val="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6E40F5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6E40F5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E40F5"/>
    <w:rPr>
      <w:rFonts w:asciiTheme="majorHAnsi" w:eastAsiaTheme="majorEastAsia" w:hAnsiTheme="majorHAnsi" w:cstheme="majorBidi"/>
      <w:bCs/>
      <w:i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E24B26"/>
    <w:rPr>
      <w:rFonts w:asciiTheme="majorHAnsi" w:eastAsiaTheme="majorEastAsia" w:hAnsiTheme="majorHAnsi" w:cstheme="majorBidi"/>
      <w:bCs/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C57B3B"/>
    <w:pPr>
      <w:tabs>
        <w:tab w:val="center" w:pos="4536"/>
        <w:tab w:val="right" w:pos="9072"/>
      </w:tabs>
    </w:pPr>
    <w:rPr>
      <w:rFonts w:ascii="Verdana" w:hAnsi="Verdana" w:cstheme="minorBidi"/>
      <w:kern w:val="2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7B3B"/>
    <w:rPr>
      <w:rFonts w:ascii="Verdana" w:hAnsi="Verdana"/>
      <w:sz w:val="18"/>
    </w:rPr>
  </w:style>
  <w:style w:type="paragraph" w:styleId="Sidfot">
    <w:name w:val="footer"/>
    <w:basedOn w:val="Normal"/>
    <w:link w:val="SidfotChar"/>
    <w:uiPriority w:val="99"/>
    <w:unhideWhenUsed/>
    <w:rsid w:val="004D237F"/>
    <w:pPr>
      <w:tabs>
        <w:tab w:val="center" w:pos="4536"/>
        <w:tab w:val="right" w:pos="9072"/>
      </w:tabs>
    </w:pPr>
    <w:rPr>
      <w:rFonts w:ascii="Verdana" w:hAnsi="Verdana" w:cstheme="minorBidi"/>
      <w:kern w:val="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D237F"/>
    <w:rPr>
      <w:rFonts w:ascii="Verdana" w:hAnsi="Verdana"/>
      <w:sz w:val="16"/>
    </w:rPr>
  </w:style>
  <w:style w:type="numbering" w:customStyle="1" w:styleId="TFNumreraderubriker">
    <w:name w:val="TF Numrerade rubriker"/>
    <w:uiPriority w:val="99"/>
    <w:rsid w:val="003C02DC"/>
    <w:pPr>
      <w:numPr>
        <w:numId w:val="1"/>
      </w:numPr>
    </w:pPr>
  </w:style>
  <w:style w:type="paragraph" w:customStyle="1" w:styleId="NumrRub1">
    <w:name w:val="Numr. Rub 1"/>
    <w:basedOn w:val="Rubrik1"/>
    <w:next w:val="Normal"/>
    <w:uiPriority w:val="2"/>
    <w:qFormat/>
    <w:rsid w:val="003C02DC"/>
    <w:pPr>
      <w:numPr>
        <w:numId w:val="4"/>
      </w:numPr>
      <w:ind w:left="0"/>
    </w:pPr>
    <w:rPr>
      <w:noProof/>
      <w:lang w:val="en-GB"/>
    </w:rPr>
  </w:style>
  <w:style w:type="paragraph" w:customStyle="1" w:styleId="NumrRub2">
    <w:name w:val="Numr. Rub 2"/>
    <w:basedOn w:val="Rubrik2"/>
    <w:next w:val="Normal"/>
    <w:uiPriority w:val="2"/>
    <w:qFormat/>
    <w:rsid w:val="003C02DC"/>
    <w:pPr>
      <w:numPr>
        <w:ilvl w:val="1"/>
        <w:numId w:val="4"/>
      </w:numPr>
      <w:ind w:left="0"/>
    </w:pPr>
    <w:rPr>
      <w:noProof/>
    </w:rPr>
  </w:style>
  <w:style w:type="paragraph" w:customStyle="1" w:styleId="NumrRub3">
    <w:name w:val="Numr. Rub 3"/>
    <w:basedOn w:val="Rubrik3"/>
    <w:next w:val="Normal"/>
    <w:uiPriority w:val="2"/>
    <w:qFormat/>
    <w:rsid w:val="003C02DC"/>
    <w:pPr>
      <w:numPr>
        <w:ilvl w:val="2"/>
        <w:numId w:val="4"/>
      </w:numPr>
      <w:ind w:left="0"/>
    </w:pPr>
    <w:rPr>
      <w:noProof/>
    </w:rPr>
  </w:style>
  <w:style w:type="paragraph" w:customStyle="1" w:styleId="NumrRub4">
    <w:name w:val="Numr. Rub 4"/>
    <w:basedOn w:val="Rubrik4"/>
    <w:next w:val="Normal"/>
    <w:uiPriority w:val="2"/>
    <w:semiHidden/>
    <w:qFormat/>
    <w:rsid w:val="003C02DC"/>
    <w:pPr>
      <w:numPr>
        <w:ilvl w:val="3"/>
        <w:numId w:val="4"/>
      </w:numPr>
      <w:ind w:left="0"/>
    </w:pPr>
    <w:rPr>
      <w:noProof/>
    </w:rPr>
  </w:style>
  <w:style w:type="paragraph" w:styleId="Rubrik">
    <w:name w:val="Title"/>
    <w:basedOn w:val="Normal"/>
    <w:next w:val="Normal"/>
    <w:link w:val="RubrikChar"/>
    <w:uiPriority w:val="1"/>
    <w:qFormat/>
    <w:rsid w:val="006E40F5"/>
    <w:pPr>
      <w:spacing w:after="240"/>
      <w:contextualSpacing/>
    </w:pPr>
    <w:rPr>
      <w:rFonts w:ascii="Verdana" w:eastAsiaTheme="majorEastAsia" w:hAnsi="Verdan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6E40F5"/>
    <w:rPr>
      <w:rFonts w:ascii="Verdana" w:eastAsiaTheme="majorEastAsia" w:hAnsi="Verdana" w:cstheme="majorBidi"/>
      <w:b/>
      <w:spacing w:val="5"/>
      <w:kern w:val="28"/>
      <w:sz w:val="32"/>
      <w:szCs w:val="52"/>
    </w:rPr>
  </w:style>
  <w:style w:type="paragraph" w:styleId="Innehll1">
    <w:name w:val="toc 1"/>
    <w:basedOn w:val="Normal"/>
    <w:next w:val="Normal"/>
    <w:autoRedefine/>
    <w:uiPriority w:val="39"/>
    <w:unhideWhenUsed/>
    <w:rsid w:val="00847966"/>
    <w:pPr>
      <w:spacing w:after="100" w:line="280" w:lineRule="atLeast"/>
    </w:pPr>
    <w:rPr>
      <w:rFonts w:asciiTheme="minorHAnsi" w:hAnsiTheme="minorHAnsi" w:cstheme="minorBidi"/>
      <w:kern w:val="2"/>
    </w:rPr>
  </w:style>
  <w:style w:type="paragraph" w:styleId="Innehll2">
    <w:name w:val="toc 2"/>
    <w:basedOn w:val="Normal"/>
    <w:next w:val="Normal"/>
    <w:autoRedefine/>
    <w:uiPriority w:val="39"/>
    <w:unhideWhenUsed/>
    <w:rsid w:val="00B71533"/>
    <w:pPr>
      <w:spacing w:after="100" w:line="280" w:lineRule="atLeast"/>
    </w:pPr>
    <w:rPr>
      <w:rFonts w:asciiTheme="minorHAnsi" w:hAnsiTheme="minorHAnsi" w:cstheme="minorBidi"/>
      <w:kern w:val="2"/>
    </w:rPr>
  </w:style>
  <w:style w:type="paragraph" w:styleId="Innehll3">
    <w:name w:val="toc 3"/>
    <w:basedOn w:val="Normal"/>
    <w:next w:val="Normal"/>
    <w:autoRedefine/>
    <w:uiPriority w:val="39"/>
    <w:unhideWhenUsed/>
    <w:rsid w:val="00B71533"/>
    <w:pPr>
      <w:spacing w:after="100" w:line="280" w:lineRule="atLeast"/>
    </w:pPr>
    <w:rPr>
      <w:rFonts w:asciiTheme="minorHAnsi" w:hAnsiTheme="minorHAnsi" w:cstheme="minorBidi"/>
      <w:kern w:val="2"/>
    </w:rPr>
  </w:style>
  <w:style w:type="paragraph" w:styleId="Innehll4">
    <w:name w:val="toc 4"/>
    <w:basedOn w:val="Normal"/>
    <w:next w:val="Normal"/>
    <w:autoRedefine/>
    <w:uiPriority w:val="39"/>
    <w:unhideWhenUsed/>
    <w:rsid w:val="00B71533"/>
    <w:pPr>
      <w:spacing w:after="100" w:line="280" w:lineRule="atLeast"/>
    </w:pPr>
    <w:rPr>
      <w:rFonts w:asciiTheme="minorHAnsi" w:hAnsiTheme="minorHAnsi" w:cstheme="minorBidi"/>
      <w:kern w:val="2"/>
    </w:rPr>
  </w:style>
  <w:style w:type="character" w:styleId="Hyperlnk">
    <w:name w:val="Hyperlink"/>
    <w:basedOn w:val="Standardstycketeckensnitt"/>
    <w:uiPriority w:val="99"/>
    <w:unhideWhenUsed/>
    <w:rsid w:val="00847966"/>
    <w:rPr>
      <w:color w:val="0090FF" w:themeColor="hyperlink"/>
      <w:u w:val="single"/>
    </w:rPr>
  </w:style>
  <w:style w:type="paragraph" w:customStyle="1" w:styleId="TFPunktlista">
    <w:name w:val="TF Punktlista"/>
    <w:basedOn w:val="Normal"/>
    <w:uiPriority w:val="3"/>
    <w:qFormat/>
    <w:rsid w:val="0050046B"/>
    <w:pPr>
      <w:numPr>
        <w:ilvl w:val="3"/>
        <w:numId w:val="13"/>
      </w:numPr>
      <w:spacing w:after="240"/>
      <w:contextualSpacing/>
    </w:pPr>
    <w:rPr>
      <w:noProof/>
      <w:lang w:val="en-GB"/>
    </w:rPr>
  </w:style>
  <w:style w:type="paragraph" w:customStyle="1" w:styleId="TFNumrerad">
    <w:name w:val="TF Numrerad"/>
    <w:basedOn w:val="Normal"/>
    <w:uiPriority w:val="3"/>
    <w:qFormat/>
    <w:rsid w:val="0050046B"/>
    <w:pPr>
      <w:numPr>
        <w:numId w:val="12"/>
      </w:numPr>
      <w:spacing w:after="240"/>
      <w:contextualSpacing/>
    </w:pPr>
    <w:rPr>
      <w:noProof/>
    </w:rPr>
  </w:style>
  <w:style w:type="paragraph" w:customStyle="1" w:styleId="TFStreck">
    <w:name w:val="TF Streck"/>
    <w:basedOn w:val="Normal"/>
    <w:uiPriority w:val="3"/>
    <w:qFormat/>
    <w:rsid w:val="0050046B"/>
    <w:pPr>
      <w:numPr>
        <w:ilvl w:val="6"/>
        <w:numId w:val="13"/>
      </w:numPr>
      <w:spacing w:after="240"/>
      <w:contextualSpacing/>
    </w:pPr>
    <w:rPr>
      <w:noProof/>
    </w:rPr>
  </w:style>
  <w:style w:type="numbering" w:customStyle="1" w:styleId="TFListor">
    <w:name w:val="TF Listor"/>
    <w:uiPriority w:val="99"/>
    <w:rsid w:val="0050046B"/>
    <w:pPr>
      <w:numPr>
        <w:numId w:val="5"/>
      </w:numPr>
    </w:pPr>
  </w:style>
  <w:style w:type="paragraph" w:styleId="Liststycke">
    <w:name w:val="List Paragraph"/>
    <w:basedOn w:val="Normal"/>
    <w:uiPriority w:val="34"/>
    <w:semiHidden/>
    <w:qFormat/>
    <w:rsid w:val="00ED441F"/>
    <w:pPr>
      <w:spacing w:line="280" w:lineRule="atLeast"/>
      <w:ind w:left="720"/>
      <w:contextualSpacing/>
    </w:pPr>
    <w:rPr>
      <w:rFonts w:asciiTheme="minorHAnsi" w:hAnsiTheme="minorHAnsi" w:cstheme="minorBidi"/>
      <w:kern w:val="2"/>
    </w:rPr>
  </w:style>
  <w:style w:type="character" w:styleId="Platshllartext">
    <w:name w:val="Placeholder Text"/>
    <w:basedOn w:val="Standardstycketeckensnitt"/>
    <w:uiPriority w:val="99"/>
    <w:semiHidden/>
    <w:rsid w:val="00B807BE"/>
    <w:rPr>
      <w:color w:val="808080"/>
    </w:rPr>
  </w:style>
  <w:style w:type="table" w:styleId="Tabellrutnt">
    <w:name w:val="Table Grid"/>
    <w:basedOn w:val="Normaltabell"/>
    <w:uiPriority w:val="59"/>
    <w:rsid w:val="00B8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807BE"/>
    <w:rPr>
      <w:rFonts w:ascii="Tahoma" w:hAnsi="Tahoma" w:cs="Tahoma"/>
      <w:kern w:val="2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07BE"/>
    <w:rPr>
      <w:rFonts w:ascii="Tahoma" w:hAnsi="Tahoma" w:cs="Tahoma"/>
      <w:sz w:val="16"/>
      <w:szCs w:val="16"/>
    </w:rPr>
  </w:style>
  <w:style w:type="numbering" w:customStyle="1" w:styleId="TFListanumrerad">
    <w:name w:val="TF Lista numrerad"/>
    <w:uiPriority w:val="99"/>
    <w:rsid w:val="0050046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rafikförvaltningen">
  <a:themeElements>
    <a:clrScheme name="Trafikförvaltningen">
      <a:dk1>
        <a:sysClr val="windowText" lastClr="000000"/>
      </a:dk1>
      <a:lt1>
        <a:sysClr val="window" lastClr="FFFFFF"/>
      </a:lt1>
      <a:dk2>
        <a:srgbClr val="0074BC"/>
      </a:dk2>
      <a:lt2>
        <a:srgbClr val="EEECE1"/>
      </a:lt2>
      <a:accent1>
        <a:srgbClr val="00AEEF"/>
      </a:accent1>
      <a:accent2>
        <a:srgbClr val="B30538"/>
      </a:accent2>
      <a:accent3>
        <a:srgbClr val="4F6F17"/>
      </a:accent3>
      <a:accent4>
        <a:srgbClr val="F8971C"/>
      </a:accent4>
      <a:accent5>
        <a:srgbClr val="003468"/>
      </a:accent5>
      <a:accent6>
        <a:srgbClr val="BAB0A5"/>
      </a:accent6>
      <a:hlink>
        <a:srgbClr val="0090FF"/>
      </a:hlink>
      <a:folHlink>
        <a:srgbClr val="800080"/>
      </a:folHlink>
    </a:clrScheme>
    <a:fontScheme name="Trafikförvaltningen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f5d23cbdf4235fa374fd5e924b8cf387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7b26c4be6d0e6d5a4a58893de78d302d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630C1-C5ED-4AA7-98C3-E939A1A1D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8AF95-E766-473D-9B42-8DA52FE91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CC573-B7BE-48CB-8C41-CF64B19F8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9E092-3994-41A3-B102-48AAE8B06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1905</Characters>
  <Application>Microsoft Office Word</Application>
  <DocSecurity>0</DocSecurity>
  <Lines>15</Lines>
  <Paragraphs>4</Paragraphs>
  <ScaleCrop>false</ScaleCrop>
  <Company>Trafikförvaltningen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Larsén Anna</dc:creator>
  <cp:keywords/>
  <dc:description/>
  <cp:lastModifiedBy>Larsén Anna</cp:lastModifiedBy>
  <cp:revision>2</cp:revision>
  <dcterms:created xsi:type="dcterms:W3CDTF">2024-07-05T12:34:00Z</dcterms:created>
  <dcterms:modified xsi:type="dcterms:W3CDTF">2024-07-05T12:43:00Z</dcterms:modified>
</cp:coreProperties>
</file>