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6E8DE938" w:rsidR="000E32F7" w:rsidRPr="0035518A" w:rsidRDefault="0035518A" w:rsidP="009C73D8">
      <w:pPr>
        <w:pStyle w:val="SubtitleofDocument"/>
        <w:rPr>
          <w:lang w:val="it-IT"/>
        </w:rPr>
      </w:pPr>
      <w:r w:rsidRPr="0035518A">
        <w:rPr>
          <w:lang w:val="it-IT"/>
        </w:rPr>
        <w:t>Comunicato stampa</w:t>
      </w:r>
    </w:p>
    <w:p w14:paraId="3E6AC0D9" w14:textId="66BFB5B1" w:rsidR="00671E8B" w:rsidRPr="009625FF" w:rsidRDefault="00671E8B" w:rsidP="00671E8B">
      <w:pPr>
        <w:pStyle w:val="ChapterTitle"/>
        <w:jc w:val="center"/>
        <w:rPr>
          <w:rFonts w:asciiTheme="majorHAnsi" w:hAnsiTheme="majorHAnsi"/>
          <w:sz w:val="40"/>
          <w:szCs w:val="40"/>
          <w:lang w:val="it-IT"/>
        </w:rPr>
      </w:pPr>
      <w:r w:rsidRPr="009625FF">
        <w:rPr>
          <w:rFonts w:asciiTheme="majorHAnsi" w:hAnsiTheme="majorHAnsi"/>
          <w:sz w:val="40"/>
          <w:szCs w:val="40"/>
          <w:lang w:val="it-IT"/>
        </w:rPr>
        <w:t xml:space="preserve">Il </w:t>
      </w:r>
      <w:r w:rsidR="00B852AD" w:rsidRPr="009625FF">
        <w:rPr>
          <w:rFonts w:asciiTheme="majorHAnsi" w:hAnsiTheme="majorHAnsi"/>
          <w:sz w:val="40"/>
          <w:szCs w:val="40"/>
          <w:lang w:val="it-IT"/>
        </w:rPr>
        <w:t>POS</w:t>
      </w:r>
      <w:r w:rsidRPr="009625FF">
        <w:rPr>
          <w:rFonts w:asciiTheme="majorHAnsi" w:hAnsiTheme="majorHAnsi"/>
          <w:sz w:val="40"/>
          <w:szCs w:val="40"/>
          <w:lang w:val="it-IT"/>
        </w:rPr>
        <w:t xml:space="preserve"> </w:t>
      </w:r>
      <w:r w:rsidR="00C12919" w:rsidRPr="009625FF">
        <w:rPr>
          <w:rFonts w:asciiTheme="majorHAnsi" w:hAnsiTheme="majorHAnsi"/>
          <w:sz w:val="40"/>
          <w:szCs w:val="40"/>
          <w:lang w:val="it-IT"/>
        </w:rPr>
        <w:t>del futuro</w:t>
      </w:r>
      <w:r w:rsidRPr="009625FF">
        <w:rPr>
          <w:rFonts w:asciiTheme="majorHAnsi" w:hAnsiTheme="majorHAnsi"/>
          <w:sz w:val="40"/>
          <w:szCs w:val="40"/>
          <w:lang w:val="it-IT"/>
        </w:rPr>
        <w:t xml:space="preserve">: </w:t>
      </w:r>
    </w:p>
    <w:p w14:paraId="3FEF493E" w14:textId="7A58BB19" w:rsidR="004B0B8A" w:rsidRPr="009625FF" w:rsidRDefault="00671E8B" w:rsidP="00671E8B">
      <w:pPr>
        <w:pStyle w:val="ChapterTitle"/>
        <w:jc w:val="center"/>
        <w:rPr>
          <w:rFonts w:asciiTheme="majorHAnsi" w:hAnsiTheme="majorHAnsi"/>
          <w:sz w:val="40"/>
          <w:szCs w:val="40"/>
          <w:lang w:val="it-IT"/>
        </w:rPr>
      </w:pPr>
      <w:r w:rsidRPr="009625FF">
        <w:rPr>
          <w:rFonts w:asciiTheme="majorHAnsi" w:hAnsiTheme="majorHAnsi"/>
          <w:sz w:val="40"/>
          <w:szCs w:val="40"/>
          <w:lang w:val="it-IT"/>
        </w:rPr>
        <w:t xml:space="preserve">Visa </w:t>
      </w:r>
      <w:r w:rsidR="00C12919" w:rsidRPr="009625FF">
        <w:rPr>
          <w:rFonts w:asciiTheme="majorHAnsi" w:hAnsiTheme="majorHAnsi"/>
          <w:sz w:val="40"/>
          <w:szCs w:val="40"/>
          <w:lang w:val="it-IT"/>
        </w:rPr>
        <w:t>pioniera</w:t>
      </w:r>
      <w:r w:rsidRPr="009625FF">
        <w:rPr>
          <w:rFonts w:asciiTheme="majorHAnsi" w:hAnsiTheme="majorHAnsi"/>
          <w:sz w:val="40"/>
          <w:szCs w:val="40"/>
          <w:lang w:val="it-IT"/>
        </w:rPr>
        <w:t xml:space="preserve"> </w:t>
      </w:r>
      <w:r w:rsidR="00C12919" w:rsidRPr="009625FF">
        <w:rPr>
          <w:rFonts w:asciiTheme="majorHAnsi" w:hAnsiTheme="majorHAnsi"/>
          <w:sz w:val="40"/>
          <w:szCs w:val="40"/>
          <w:lang w:val="it-IT"/>
        </w:rPr>
        <w:t>ne</w:t>
      </w:r>
      <w:r w:rsidRPr="009625FF">
        <w:rPr>
          <w:rFonts w:asciiTheme="majorHAnsi" w:hAnsiTheme="majorHAnsi"/>
          <w:sz w:val="40"/>
          <w:szCs w:val="40"/>
          <w:lang w:val="it-IT"/>
        </w:rPr>
        <w:t>ll'accettazione</w:t>
      </w:r>
      <w:r w:rsidR="00C12919" w:rsidRPr="009625FF">
        <w:rPr>
          <w:rFonts w:asciiTheme="majorHAnsi" w:hAnsiTheme="majorHAnsi"/>
          <w:sz w:val="40"/>
          <w:szCs w:val="40"/>
          <w:lang w:val="it-IT"/>
        </w:rPr>
        <w:t xml:space="preserve"> </w:t>
      </w:r>
      <w:r w:rsidRPr="009625FF">
        <w:rPr>
          <w:rFonts w:asciiTheme="majorHAnsi" w:hAnsiTheme="majorHAnsi"/>
          <w:sz w:val="40"/>
          <w:szCs w:val="40"/>
          <w:lang w:val="it-IT"/>
        </w:rPr>
        <w:t>dei pagamenti su cloud</w:t>
      </w:r>
    </w:p>
    <w:p w14:paraId="0084F8E8" w14:textId="47A22395" w:rsidR="00684B32" w:rsidRPr="00671E8B" w:rsidRDefault="000E32F7" w:rsidP="00671E8B">
      <w:pPr>
        <w:rPr>
          <w:lang w:val="it-IT"/>
        </w:rPr>
      </w:pPr>
      <w:r w:rsidRPr="003172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D53D83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7C6B5B38" w14:textId="2FA88AB2" w:rsidR="00B852AD" w:rsidRPr="009625FF" w:rsidRDefault="00671E8B" w:rsidP="00671E8B">
      <w:pPr>
        <w:spacing w:line="252" w:lineRule="auto"/>
        <w:ind w:right="-360"/>
        <w:contextualSpacing w:val="0"/>
        <w:jc w:val="center"/>
        <w:rPr>
          <w:rFonts w:asciiTheme="majorHAnsi" w:eastAsia="Quattrocento Sans" w:hAnsiTheme="majorHAnsi" w:cs="Segoe UI"/>
          <w:i/>
          <w:iCs/>
          <w:sz w:val="24"/>
          <w:lang w:val="it-IT"/>
        </w:rPr>
      </w:pPr>
      <w:r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 xml:space="preserve">Visa </w:t>
      </w:r>
      <w:proofErr w:type="spellStart"/>
      <w:r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>Acceptance</w:t>
      </w:r>
      <w:proofErr w:type="spellEnd"/>
      <w:r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 xml:space="preserve"> Cloud crea opportunità </w:t>
      </w:r>
      <w:r w:rsidR="00B852AD"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 xml:space="preserve">di POS </w:t>
      </w:r>
      <w:r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>più convenienti e</w:t>
      </w:r>
      <w:r w:rsidR="001D777B"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 xml:space="preserve"> agili</w:t>
      </w:r>
      <w:r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 xml:space="preserve"> </w:t>
      </w:r>
    </w:p>
    <w:p w14:paraId="5326DA72" w14:textId="7C204105" w:rsidR="00671E8B" w:rsidRPr="009625FF" w:rsidRDefault="00671E8B" w:rsidP="00671E8B">
      <w:pPr>
        <w:spacing w:line="252" w:lineRule="auto"/>
        <w:ind w:right="-360"/>
        <w:contextualSpacing w:val="0"/>
        <w:jc w:val="center"/>
        <w:rPr>
          <w:rFonts w:asciiTheme="majorHAnsi" w:eastAsia="Quattrocento Sans" w:hAnsiTheme="majorHAnsi" w:cs="Segoe UI"/>
          <w:i/>
          <w:iCs/>
          <w:sz w:val="24"/>
          <w:lang w:val="it-IT"/>
        </w:rPr>
      </w:pPr>
      <w:r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 xml:space="preserve">per piccole imprese, fintech e altri </w:t>
      </w:r>
      <w:r w:rsidR="00C12919"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 xml:space="preserve">player </w:t>
      </w:r>
      <w:r w:rsidRPr="009625FF">
        <w:rPr>
          <w:rFonts w:asciiTheme="majorHAnsi" w:eastAsia="Quattrocento Sans" w:hAnsiTheme="majorHAnsi" w:cs="Segoe UI"/>
          <w:i/>
          <w:iCs/>
          <w:sz w:val="24"/>
          <w:lang w:val="it-IT"/>
        </w:rPr>
        <w:t>in tutto il mondo</w:t>
      </w:r>
    </w:p>
    <w:p w14:paraId="0582B1E2" w14:textId="77777777" w:rsidR="00F33118" w:rsidRDefault="00F33118" w:rsidP="00671E8B">
      <w:pPr>
        <w:spacing w:after="160" w:line="259" w:lineRule="auto"/>
        <w:contextualSpacing w:val="0"/>
        <w:jc w:val="both"/>
        <w:rPr>
          <w:rFonts w:asciiTheme="majorHAnsi" w:eastAsia="Calibri" w:hAnsiTheme="majorHAnsi" w:cs="Segoe UI"/>
          <w:i/>
          <w:iCs/>
          <w:sz w:val="22"/>
          <w:szCs w:val="22"/>
          <w:lang w:val="it-IT"/>
        </w:rPr>
      </w:pPr>
    </w:p>
    <w:p w14:paraId="0456B2A0" w14:textId="1BBF4DF5" w:rsidR="00671E8B" w:rsidRPr="009625FF" w:rsidRDefault="005418A9" w:rsidP="00671E8B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5418A9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Milano, 3 maggio</w:t>
      </w:r>
      <w:r w:rsidR="00671E8B" w:rsidRPr="005418A9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2022</w:t>
      </w:r>
      <w:r w:rsidR="00671E8B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- Visa annuncia oggi il programma pilota per una nuova piattaforma, Visa </w:t>
      </w:r>
      <w:proofErr w:type="spellStart"/>
      <w:r w:rsidR="00671E8B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Acceptance</w:t>
      </w:r>
      <w:proofErr w:type="spellEnd"/>
      <w:r w:rsidR="00671E8B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Cloud (VAC), destinata a rivoluzionare il modo in cui le aziende accettano i pagamenti dai loro clienti. Dopo il successo della tecnologia "</w:t>
      </w:r>
      <w:proofErr w:type="spellStart"/>
      <w:r w:rsidR="00671E8B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Tap</w:t>
      </w:r>
      <w:proofErr w:type="spellEnd"/>
      <w:r w:rsidR="00671E8B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to Phone", VAC permetterà ad </w:t>
      </w:r>
      <w:proofErr w:type="spellStart"/>
      <w:r w:rsidR="00671E8B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acquirer</w:t>
      </w:r>
      <w:proofErr w:type="spellEnd"/>
      <w:r w:rsidR="00671E8B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, fornitori di servizi di pagamento, produttori di POS e operatori IoT di trasformare il software di elaborazione dei pagamenti, che non sarà più incorporato in ogni dispositivo hardware, </w:t>
      </w:r>
      <w:r w:rsidR="0056077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ma </w:t>
      </w:r>
      <w:r w:rsidR="00671E8B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universalmente accessibile da cloud. </w:t>
      </w:r>
    </w:p>
    <w:p w14:paraId="0D0F6145" w14:textId="0263FC6C" w:rsidR="00671E8B" w:rsidRPr="009625FF" w:rsidRDefault="00671E8B" w:rsidP="00671E8B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Già attivo attraverso progetti pilota in sei aree geografiche, VAC aiuterà gli innovatori a trasformare la </w:t>
      </w:r>
      <w:r w:rsidR="0094414D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quasi 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totalità d</w:t>
      </w:r>
      <w:r w:rsidR="00031D78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e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i dispositivi in un terminale di pagamento</w:t>
      </w:r>
      <w:r w:rsidR="00F915E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connesso a cloud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, offrendo al contempo </w:t>
      </w:r>
      <w:r w:rsidR="00F160B4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continui 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aggiornamenti software su cloud, analisi approfondite e servizi d</w:t>
      </w:r>
      <w:r w:rsidR="0094414D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i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rete Visa. Inoltre, </w:t>
      </w:r>
      <w:r w:rsidR="0094414D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poiché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VAC opera su</w:t>
      </w:r>
      <w:r w:rsidR="0094414D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i 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data center di Visa, </w:t>
      </w:r>
      <w:r w:rsidR="0094414D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è in grado di 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offr</w:t>
      </w:r>
      <w:r w:rsidR="0094414D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ir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e la migliore sicurezza relativa ai dati. </w:t>
      </w:r>
    </w:p>
    <w:p w14:paraId="22134FF0" w14:textId="0F29ED97" w:rsidR="00671E8B" w:rsidRPr="009625FF" w:rsidRDefault="00671E8B" w:rsidP="00671E8B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"L'accettazione </w:t>
      </w:r>
      <w:r w:rsidR="0094414D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su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cloud rappresenta il futuro dei pagamenti</w:t>
      </w:r>
      <w:r w:rsidR="00F915EF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"</w:t>
      </w:r>
      <w:r w:rsidR="00F915E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, ha commentato </w:t>
      </w:r>
      <w:r w:rsidR="00F915EF" w:rsidRPr="005314FE">
        <w:rPr>
          <w:rFonts w:asciiTheme="minorHAnsi" w:eastAsiaTheme="minorHAnsi" w:hAnsiTheme="minorHAnsi" w:cs="Segoe UI"/>
          <w:b/>
          <w:bCs/>
          <w:sz w:val="22"/>
          <w:szCs w:val="22"/>
          <w:lang w:val="it-IT"/>
        </w:rPr>
        <w:t xml:space="preserve">Mary </w:t>
      </w:r>
      <w:proofErr w:type="spellStart"/>
      <w:r w:rsidR="00F915EF" w:rsidRPr="005314FE">
        <w:rPr>
          <w:rFonts w:asciiTheme="minorHAnsi" w:eastAsiaTheme="minorHAnsi" w:hAnsiTheme="minorHAnsi" w:cs="Segoe UI"/>
          <w:b/>
          <w:bCs/>
          <w:sz w:val="22"/>
          <w:szCs w:val="22"/>
          <w:lang w:val="it-IT"/>
        </w:rPr>
        <w:t>Kay</w:t>
      </w:r>
      <w:proofErr w:type="spellEnd"/>
      <w:r w:rsidR="00F915EF" w:rsidRPr="005314FE">
        <w:rPr>
          <w:rFonts w:asciiTheme="minorHAnsi" w:eastAsiaTheme="minorHAnsi" w:hAnsiTheme="minorHAnsi" w:cs="Segoe UI"/>
          <w:b/>
          <w:bCs/>
          <w:sz w:val="22"/>
          <w:szCs w:val="22"/>
          <w:lang w:val="it-IT"/>
        </w:rPr>
        <w:t xml:space="preserve"> Bowman, senior vice </w:t>
      </w:r>
      <w:proofErr w:type="spellStart"/>
      <w:r w:rsidR="00F915EF" w:rsidRPr="005314FE">
        <w:rPr>
          <w:rFonts w:asciiTheme="minorHAnsi" w:eastAsiaTheme="minorHAnsi" w:hAnsiTheme="minorHAnsi" w:cs="Segoe UI"/>
          <w:b/>
          <w:bCs/>
          <w:sz w:val="22"/>
          <w:szCs w:val="22"/>
          <w:lang w:val="it-IT"/>
        </w:rPr>
        <w:t>president</w:t>
      </w:r>
      <w:proofErr w:type="spellEnd"/>
      <w:r w:rsidR="00F915EF" w:rsidRPr="005314FE">
        <w:rPr>
          <w:rFonts w:asciiTheme="minorHAnsi" w:eastAsiaTheme="minorHAnsi" w:hAnsiTheme="minorHAnsi" w:cs="Segoe UI"/>
          <w:b/>
          <w:bCs/>
          <w:sz w:val="22"/>
          <w:szCs w:val="22"/>
          <w:lang w:val="it-IT"/>
        </w:rPr>
        <w:t xml:space="preserve"> &amp; global head of payment and </w:t>
      </w:r>
      <w:proofErr w:type="spellStart"/>
      <w:r w:rsidR="00F915EF" w:rsidRPr="005314FE">
        <w:rPr>
          <w:rFonts w:asciiTheme="minorHAnsi" w:eastAsiaTheme="minorHAnsi" w:hAnsiTheme="minorHAnsi" w:cs="Segoe UI"/>
          <w:b/>
          <w:bCs/>
          <w:sz w:val="22"/>
          <w:szCs w:val="22"/>
          <w:lang w:val="it-IT"/>
        </w:rPr>
        <w:t>platform</w:t>
      </w:r>
      <w:proofErr w:type="spellEnd"/>
      <w:r w:rsidR="00F915EF" w:rsidRPr="005314FE">
        <w:rPr>
          <w:rFonts w:asciiTheme="minorHAnsi" w:eastAsiaTheme="minorHAnsi" w:hAnsiTheme="minorHAnsi" w:cs="Segoe UI"/>
          <w:b/>
          <w:bCs/>
          <w:sz w:val="22"/>
          <w:szCs w:val="22"/>
          <w:lang w:val="it-IT"/>
        </w:rPr>
        <w:t xml:space="preserve"> products Visa</w:t>
      </w:r>
      <w:r w:rsidR="00F915E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.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</w:t>
      </w:r>
      <w:r w:rsidR="00F915EF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“</w:t>
      </w:r>
      <w:r w:rsidR="006333E1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I POS connessi a cloud 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permett</w:t>
      </w:r>
      <w:r w:rsidR="006333E1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ono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6333E1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agli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esercenti </w:t>
      </w:r>
      <w:r w:rsidR="00080BB8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di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accettare pagamenti</w:t>
      </w:r>
      <w:r w:rsidR="001D777B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su una gamma di dispositivi</w:t>
      </w:r>
      <w:r w:rsidR="000F504C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differenti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in modo rapido, semplice e sicuro, </w:t>
      </w:r>
      <w:r w:rsidR="006333E1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sia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che si tratti di un chiosco incustodito in un hotel, </w:t>
      </w:r>
      <w:r w:rsidR="00B17D7F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di 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uno smart </w:t>
      </w:r>
      <w:proofErr w:type="spellStart"/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mirror</w:t>
      </w:r>
      <w:proofErr w:type="spellEnd"/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in un negozio di fascia alta</w:t>
      </w:r>
      <w:r w:rsidR="006333E1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o in una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6333E1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palestra virtuale in casa, 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o</w:t>
      </w:r>
      <w:r w:rsidR="006333E1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ppure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B17D7F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di 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uno smartphone nelle mani di un piccolo </w:t>
      </w:r>
      <w:r w:rsidR="00B17D7F"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esercente</w:t>
      </w:r>
      <w:r w:rsidRPr="005314FE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in un'edicola sul ciglio della strada." </w:t>
      </w:r>
    </w:p>
    <w:p w14:paraId="59EE62AF" w14:textId="033889DD" w:rsidR="00671E8B" w:rsidRPr="009625FF" w:rsidRDefault="00671E8B" w:rsidP="00671E8B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Nel gennaio del 2020, Visa ha rivelato per la prima volta l</w:t>
      </w:r>
      <w:r w:rsidR="00B17D7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e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potenzialità e capacità di "</w:t>
      </w:r>
      <w:proofErr w:type="spellStart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Tap</w:t>
      </w:r>
      <w:proofErr w:type="spellEnd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to Phone", una soluzione innovativa per il settore che trasforma smartphone e tablet Android di </w:t>
      </w:r>
      <w:r w:rsidR="00B17D7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nuova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generazione in terminali </w:t>
      </w:r>
      <w:r w:rsidR="00B17D7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POS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contactless. </w:t>
      </w:r>
      <w:proofErr w:type="spellStart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Tap</w:t>
      </w:r>
      <w:proofErr w:type="spellEnd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to Phone è stata la prima soluzione di Visa che permette a</w:t>
      </w:r>
      <w:r w:rsidR="00B17D7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gl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i </w:t>
      </w:r>
      <w:r w:rsidR="00B17D7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esercenti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di accettare pagamenti su dispositivi che già possiedono, semplicemente scaricando </w:t>
      </w:r>
      <w:proofErr w:type="spellStart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un'app</w:t>
      </w:r>
      <w:proofErr w:type="spellEnd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. A dicembre 2021, già oltre 300.000 dispositivi in 54 paesi utilizzavano </w:t>
      </w:r>
      <w:proofErr w:type="spellStart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Tap</w:t>
      </w:r>
      <w:proofErr w:type="spellEnd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to Phone. </w:t>
      </w:r>
    </w:p>
    <w:p w14:paraId="73382363" w14:textId="387744D9" w:rsidR="004C36F6" w:rsidRPr="009625FF" w:rsidRDefault="004C36F6" w:rsidP="004C36F6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Espandendosi oltre i telefoni, Visa </w:t>
      </w:r>
      <w:proofErr w:type="spellStart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Acceptance</w:t>
      </w:r>
      <w:proofErr w:type="spellEnd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Cloud consente a qualsiasi POS o dispositivo IoT di accettare pagamenti senza problemi e può incorporare una serie di servizi aggiuntivi, fra cui il </w:t>
      </w:r>
      <w:hyperlink r:id="rId11" w:history="1">
        <w:proofErr w:type="spellStart"/>
        <w:r w:rsidRPr="009625FF">
          <w:rPr>
            <w:rStyle w:val="Collegamentoipertestuale"/>
            <w:rFonts w:asciiTheme="minorHAnsi" w:eastAsiaTheme="minorHAnsi" w:hAnsiTheme="minorHAnsi" w:cs="Segoe UI"/>
            <w:sz w:val="22"/>
            <w:szCs w:val="22"/>
            <w:lang w:val="it-IT"/>
          </w:rPr>
          <w:t>buy</w:t>
        </w:r>
        <w:proofErr w:type="spellEnd"/>
        <w:r w:rsidRPr="009625FF">
          <w:rPr>
            <w:rStyle w:val="Collegamentoipertestuale"/>
            <w:rFonts w:asciiTheme="minorHAnsi" w:eastAsiaTheme="minorHAnsi" w:hAnsiTheme="minorHAnsi" w:cs="Segoe UI"/>
            <w:sz w:val="22"/>
            <w:szCs w:val="22"/>
            <w:lang w:val="it-IT"/>
          </w:rPr>
          <w:t xml:space="preserve"> </w:t>
        </w:r>
        <w:proofErr w:type="spellStart"/>
        <w:r w:rsidRPr="009625FF">
          <w:rPr>
            <w:rStyle w:val="Collegamentoipertestuale"/>
            <w:rFonts w:asciiTheme="minorHAnsi" w:eastAsiaTheme="minorHAnsi" w:hAnsiTheme="minorHAnsi" w:cs="Segoe UI"/>
            <w:sz w:val="22"/>
            <w:szCs w:val="22"/>
            <w:lang w:val="it-IT"/>
          </w:rPr>
          <w:t>now</w:t>
        </w:r>
        <w:proofErr w:type="spellEnd"/>
        <w:r w:rsidRPr="009625FF">
          <w:rPr>
            <w:rStyle w:val="Collegamentoipertestuale"/>
            <w:rFonts w:asciiTheme="minorHAnsi" w:eastAsiaTheme="minorHAnsi" w:hAnsiTheme="minorHAnsi" w:cs="Segoe UI"/>
            <w:sz w:val="22"/>
            <w:szCs w:val="22"/>
            <w:lang w:val="it-IT"/>
          </w:rPr>
          <w:t xml:space="preserve">, </w:t>
        </w:r>
        <w:proofErr w:type="spellStart"/>
        <w:r w:rsidRPr="009625FF">
          <w:rPr>
            <w:rStyle w:val="Collegamentoipertestuale"/>
            <w:rFonts w:asciiTheme="minorHAnsi" w:eastAsiaTheme="minorHAnsi" w:hAnsiTheme="minorHAnsi" w:cs="Segoe UI"/>
            <w:sz w:val="22"/>
            <w:szCs w:val="22"/>
            <w:lang w:val="it-IT"/>
          </w:rPr>
          <w:t>pay</w:t>
        </w:r>
        <w:proofErr w:type="spellEnd"/>
        <w:r w:rsidRPr="009625FF">
          <w:rPr>
            <w:rStyle w:val="Collegamentoipertestuale"/>
            <w:rFonts w:asciiTheme="minorHAnsi" w:eastAsiaTheme="minorHAnsi" w:hAnsiTheme="minorHAnsi" w:cs="Segoe UI"/>
            <w:sz w:val="22"/>
            <w:szCs w:val="22"/>
            <w:lang w:val="it-IT"/>
          </w:rPr>
          <w:t xml:space="preserve"> </w:t>
        </w:r>
        <w:proofErr w:type="spellStart"/>
        <w:r w:rsidRPr="009625FF">
          <w:rPr>
            <w:rStyle w:val="Collegamentoipertestuale"/>
            <w:rFonts w:asciiTheme="minorHAnsi" w:eastAsiaTheme="minorHAnsi" w:hAnsiTheme="minorHAnsi" w:cs="Segoe UI"/>
            <w:sz w:val="22"/>
            <w:szCs w:val="22"/>
            <w:lang w:val="it-IT"/>
          </w:rPr>
          <w:t>later</w:t>
        </w:r>
        <w:proofErr w:type="spellEnd"/>
      </w:hyperlink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, la gestione delle frodi, il</w:t>
      </w:r>
      <w:r w:rsidRPr="009625FF">
        <w:rPr>
          <w:rFonts w:asciiTheme="minorHAnsi" w:eastAsia="Calibri" w:hAnsiTheme="minorHAnsi" w:cs="Segoe UI"/>
          <w:sz w:val="22"/>
          <w:szCs w:val="22"/>
          <w:lang w:val="it-IT"/>
        </w:rPr>
        <w:t xml:space="preserve"> </w:t>
      </w:r>
      <w:hyperlink r:id="rId12">
        <w:r w:rsidRPr="009625FF">
          <w:rPr>
            <w:rStyle w:val="Collegamentoipertestuale"/>
            <w:rFonts w:asciiTheme="minorHAnsi" w:hAnsiTheme="minorHAnsi" w:cs="Segoe UI"/>
            <w:sz w:val="22"/>
            <w:szCs w:val="22"/>
            <w:lang w:val="it-IT"/>
          </w:rPr>
          <w:t xml:space="preserve">Rapid Seller </w:t>
        </w:r>
        <w:proofErr w:type="spellStart"/>
        <w:r w:rsidRPr="009625FF">
          <w:rPr>
            <w:rStyle w:val="Collegamentoipertestuale"/>
            <w:rFonts w:asciiTheme="minorHAnsi" w:hAnsiTheme="minorHAnsi" w:cs="Segoe UI"/>
            <w:sz w:val="22"/>
            <w:szCs w:val="22"/>
            <w:lang w:val="it-IT"/>
          </w:rPr>
          <w:t>Onboarding</w:t>
        </w:r>
        <w:proofErr w:type="spellEnd"/>
      </w:hyperlink>
      <w:r w:rsidRPr="009625FF">
        <w:rPr>
          <w:rFonts w:asciiTheme="minorHAnsi" w:eastAsia="Calibri" w:hAnsiTheme="minorHAnsi" w:cs="Segoe UI"/>
          <w:sz w:val="22"/>
          <w:szCs w:val="22"/>
          <w:lang w:val="it-IT"/>
        </w:rPr>
        <w:t xml:space="preserve"> 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e </w:t>
      </w:r>
      <w:hyperlink r:id="rId13" w:history="1">
        <w:r w:rsidRPr="009625FF">
          <w:rPr>
            <w:rStyle w:val="Collegamentoipertestuale"/>
            <w:rFonts w:asciiTheme="minorHAnsi" w:hAnsiTheme="minorHAnsi" w:cs="Segoe UI"/>
            <w:sz w:val="22"/>
            <w:szCs w:val="22"/>
            <w:lang w:val="it-IT"/>
          </w:rPr>
          <w:t>analisi dati avanzate</w:t>
        </w:r>
      </w:hyperlink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. I progetti pilota in corso in Nord America, Sud America, Europa, Africa, Asia e Australia si rivolgono a una varietà di casi d'uso, </w:t>
      </w:r>
      <w:r w:rsidR="00C90CD4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inclusi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lastRenderedPageBreak/>
        <w:t xml:space="preserve">esercenti e ristoranti in Australia </w:t>
      </w:r>
      <w:r w:rsidR="008436F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che collaborano con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Visa </w:t>
      </w:r>
      <w:r w:rsidR="008436F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attraverso Bleu,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fintech con sede negli Stati Uniti, </w:t>
      </w:r>
      <w:r w:rsidR="008436F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oltre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lo</w:t>
      </w:r>
      <w:r w:rsidR="008436F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smart </w:t>
      </w:r>
      <w:proofErr w:type="spellStart"/>
      <w:r w:rsidR="008436F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mirror</w:t>
      </w:r>
      <w:proofErr w:type="spellEnd"/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di NOBAL Technologies e i treni pubblici in Brasile</w:t>
      </w:r>
      <w:r w:rsidR="008436FF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.</w:t>
      </w:r>
    </w:p>
    <w:p w14:paraId="6E17AE3E" w14:textId="25BB1E5A" w:rsidR="00061386" w:rsidRPr="009625FF" w:rsidRDefault="00C27037" w:rsidP="00061386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"Bleu sta lavorando con Visa per </w:t>
      </w:r>
      <w:r w:rsidR="00C90CD4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offrire</w:t>
      </w:r>
      <w:r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pagamenti </w:t>
      </w:r>
      <w:r w:rsidR="00E61D92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agili</w:t>
      </w:r>
      <w:r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alle imprese in tutta l'Australia per la prima volta"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, ha </w:t>
      </w:r>
      <w:r w:rsidR="00E61D92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raccontato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Sesie Bonsi, Presidente e CEO di Bleu.</w:t>
      </w:r>
      <w:r w:rsidR="00E61D92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</w:t>
      </w:r>
      <w:r w:rsidR="00671E8B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"</w:t>
      </w:r>
      <w:r w:rsidR="00E61D92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Dal momento che </w:t>
      </w:r>
      <w:r w:rsidR="003D58DA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gli esercenti possono spendere fino a 1.000 dollari per </w:t>
      </w:r>
      <w:r w:rsidR="00E61D92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i </w:t>
      </w:r>
      <w:r w:rsidR="00671E8B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terminali POS</w:t>
      </w:r>
      <w:r w:rsidR="003D58DA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, </w:t>
      </w:r>
      <w:r w:rsidR="00E61D92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oltre </w:t>
      </w:r>
      <w:r w:rsidR="003D58DA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a</w:t>
      </w:r>
      <w:r w:rsidR="006A2E9A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moltissime ore</w:t>
      </w:r>
      <w:r w:rsidR="00E61D92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1650BA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e </w:t>
      </w:r>
      <w:r w:rsidR="00671E8B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costi aggiuntivi</w:t>
      </w:r>
      <w:r w:rsidR="00E61D92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relativi a processi di certificazione</w:t>
      </w:r>
      <w:r w:rsidR="006A2E9A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che richiedono molto tempo</w:t>
      </w:r>
      <w:r w:rsidR="00615848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,</w:t>
      </w:r>
      <w:r w:rsidR="00671E8B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615848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Visa </w:t>
      </w:r>
      <w:proofErr w:type="spellStart"/>
      <w:r w:rsidR="00615848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Acceptance</w:t>
      </w:r>
      <w:proofErr w:type="spellEnd"/>
      <w:r w:rsidR="00615848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Cloud rimuove</w:t>
      </w:r>
      <w:r w:rsidR="00671E8B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615848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le barriere </w:t>
      </w:r>
      <w:r w:rsidR="00671E8B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dell'hardware</w:t>
      </w:r>
      <w:r w:rsidR="003D58DA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tradizionale</w:t>
      </w:r>
      <w:r w:rsidR="00671E8B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e</w:t>
      </w:r>
      <w:r w:rsidR="003D58DA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gli</w:t>
      </w:r>
      <w:r w:rsidR="00671E8B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3D58DA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oneri delle certificazioni kernel legate ai dispositivi</w:t>
      </w:r>
      <w:r w:rsidR="00061386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, rendendo più semplice per gli esercenti indipendenti che supportiamo offrire opzioni di pagamento </w:t>
      </w:r>
      <w:proofErr w:type="spellStart"/>
      <w:r w:rsidR="00061386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touchless</w:t>
      </w:r>
      <w:proofErr w:type="spellEnd"/>
      <w:r w:rsidR="00061386" w:rsidRPr="005144AF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ai loro clienti attraverso qualsiasi dispositivo connesso."</w:t>
      </w:r>
    </w:p>
    <w:p w14:paraId="0F9EA180" w14:textId="69DD6C33" w:rsidR="0061396E" w:rsidRPr="009625FF" w:rsidRDefault="00671E8B" w:rsidP="0061396E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"</w:t>
      </w:r>
      <w:r w:rsidR="0091370D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Gli esercenti</w:t>
      </w:r>
      <w:r w:rsidR="00473B55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stanno cercando di migliorare l’esperienza dei propri clienti in negozio, in modo da </w:t>
      </w:r>
      <w:r w:rsidR="001746BD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replicare</w:t>
      </w:r>
      <w:r w:rsidR="00A81557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la velocità e la </w:t>
      </w:r>
      <w:r w:rsidR="00F160B4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comodità</w:t>
      </w:r>
      <w:r w:rsidR="00A81557" w:rsidRPr="00746B85">
        <w:rPr>
          <w:rFonts w:asciiTheme="minorHAnsi" w:eastAsiaTheme="minorHAnsi" w:hAnsiTheme="minorHAnsi" w:cs="Calibri"/>
          <w:i/>
          <w:iCs/>
          <w:sz w:val="22"/>
          <w:szCs w:val="22"/>
          <w:lang w:val="it-IT"/>
        </w:rPr>
        <w:t xml:space="preserve"> </w:t>
      </w:r>
      <w:r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delle esperienze di checkout online e in-app</w:t>
      </w:r>
      <w:r w:rsidR="00E74518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”</w:t>
      </w:r>
      <w:r w:rsidR="00E74518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, ha </w:t>
      </w:r>
      <w:r w:rsidR="001E08F7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commentato</w:t>
      </w:r>
      <w:r w:rsidR="0061396E"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Bill Roberts, CEO, NOBAL Technologies.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</w:t>
      </w:r>
      <w:r w:rsidR="0061396E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“Lo smart </w:t>
      </w:r>
      <w:proofErr w:type="spellStart"/>
      <w:r w:rsidR="0061396E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mirror</w:t>
      </w:r>
      <w:proofErr w:type="spellEnd"/>
      <w:r w:rsidR="0061396E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di NOBAL, grazie a Visa </w:t>
      </w:r>
      <w:proofErr w:type="spellStart"/>
      <w:r w:rsidR="0061396E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Acceptance</w:t>
      </w:r>
      <w:proofErr w:type="spellEnd"/>
      <w:r w:rsidR="0061396E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Cloud, offre esperienze di pagamento senza le spese e le competenze necessarie per </w:t>
      </w:r>
      <w:r w:rsidR="001E08F7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gli</w:t>
      </w:r>
      <w:r w:rsidR="0061396E" w:rsidRPr="00746B85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hardware incorporati, aiutandoci così a promuovere il futuro del retail in nuovi modi."</w:t>
      </w:r>
    </w:p>
    <w:p w14:paraId="2ABEAE4E" w14:textId="67AB1CD2" w:rsidR="001E08F7" w:rsidRPr="009625FF" w:rsidRDefault="001E08F7" w:rsidP="001E08F7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B63F48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"VAC è una piattaforma universale che facilita l'accettazione per tutti e supporta l’innovazione dei nostri partner tecnologici leader. Da un lato, l'accettazione del cloud aiuta a promuovere l'inclusione per gli esercenti più piccoli che vogliono offrire pagamenti digitali. Dall'altro lato, Visa </w:t>
      </w:r>
      <w:proofErr w:type="spellStart"/>
      <w:r w:rsidRPr="00B63F48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Acceptance</w:t>
      </w:r>
      <w:proofErr w:type="spellEnd"/>
      <w:r w:rsidRPr="00B63F48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 xml:space="preserve"> Cloud permette esperienze di acquisto e di shopping avanzate che saranno centrali, nel futuro del retail, per le imprese di tutte le forme e dimensioni"</w:t>
      </w: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>, ha aggiunto Bowman. "</w:t>
      </w:r>
      <w:r w:rsidRPr="00B63F48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Grazie all'accettazione su cloud, si apre la possibilità di un’enorme innovazione da parte dell'intero ecosistema dei pagamenti. Questo è solo l'inizio".</w:t>
      </w:r>
    </w:p>
    <w:p w14:paraId="363FD8B5" w14:textId="324CA353" w:rsidR="00D66486" w:rsidRPr="009625FF" w:rsidRDefault="00D66486" w:rsidP="00D66486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Per saperne di più su VAC, visita il nostro </w:t>
      </w:r>
      <w:hyperlink r:id="rId14" w:history="1">
        <w:r w:rsidRPr="009625FF">
          <w:rPr>
            <w:rStyle w:val="Collegamentoipertestuale"/>
            <w:rFonts w:asciiTheme="minorHAnsi" w:eastAsiaTheme="minorHAnsi" w:hAnsiTheme="minorHAnsi" w:cs="Segoe UI"/>
            <w:sz w:val="22"/>
            <w:szCs w:val="22"/>
            <w:lang w:val="it-IT"/>
          </w:rPr>
          <w:t>sito web</w:t>
        </w:r>
      </w:hyperlink>
      <w:r w:rsidRPr="009625FF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o contatta visaacceptancecloud@visa.com.</w:t>
      </w:r>
    </w:p>
    <w:p w14:paraId="1312E400" w14:textId="77777777" w:rsidR="00D66486" w:rsidRPr="009625FF" w:rsidRDefault="00D66486" w:rsidP="00671E8B">
      <w:pPr>
        <w:spacing w:after="160" w:line="259" w:lineRule="auto"/>
        <w:contextualSpacing w:val="0"/>
        <w:jc w:val="both"/>
        <w:rPr>
          <w:rFonts w:asciiTheme="minorHAnsi" w:eastAsia="Calibri" w:hAnsiTheme="minorHAnsi" w:cs="Segoe UI"/>
          <w:b/>
          <w:sz w:val="20"/>
          <w:szCs w:val="20"/>
          <w:lang w:val="it-IT"/>
        </w:rPr>
      </w:pPr>
    </w:p>
    <w:p w14:paraId="42A2E79F" w14:textId="4E0AE57E" w:rsidR="00671E8B" w:rsidRPr="009625FF" w:rsidRDefault="00671E8B" w:rsidP="00671E8B">
      <w:pPr>
        <w:spacing w:after="160" w:line="259" w:lineRule="auto"/>
        <w:contextualSpacing w:val="0"/>
        <w:jc w:val="both"/>
        <w:rPr>
          <w:rFonts w:asciiTheme="minorHAnsi" w:eastAsia="Calibri" w:hAnsiTheme="minorHAnsi" w:cs="Segoe UI"/>
          <w:sz w:val="20"/>
          <w:szCs w:val="20"/>
          <w:lang w:val="it-IT"/>
        </w:rPr>
      </w:pPr>
      <w:r w:rsidRPr="009625FF">
        <w:rPr>
          <w:rFonts w:asciiTheme="minorHAnsi" w:eastAsia="Calibri" w:hAnsiTheme="minorHAnsi" w:cs="Segoe UI"/>
          <w:b/>
          <w:sz w:val="20"/>
          <w:szCs w:val="20"/>
          <w:lang w:val="it-IT"/>
        </w:rPr>
        <w:t>Visa</w:t>
      </w:r>
      <w:r w:rsidRPr="009625FF">
        <w:rPr>
          <w:rFonts w:asciiTheme="minorHAnsi" w:eastAsia="Calibri" w:hAnsiTheme="minorHAnsi" w:cs="Segoe UI"/>
          <w:sz w:val="20"/>
          <w:szCs w:val="20"/>
          <w:lang w:val="it-IT"/>
        </w:rPr>
        <w:t> </w:t>
      </w:r>
    </w:p>
    <w:p w14:paraId="7E9C881D" w14:textId="6373E177" w:rsidR="00671E8B" w:rsidRPr="009625FF" w:rsidRDefault="00AC48FC" w:rsidP="00AC48FC">
      <w:pPr>
        <w:jc w:val="both"/>
        <w:rPr>
          <w:rFonts w:asciiTheme="minorHAnsi" w:eastAsia="Times New Roman" w:hAnsiTheme="minorHAnsi" w:cs="Times New Roman"/>
          <w:sz w:val="20"/>
          <w:szCs w:val="20"/>
          <w:lang w:val="it-IT"/>
        </w:rPr>
      </w:pPr>
      <w:r w:rsidRPr="009625FF">
        <w:rPr>
          <w:rFonts w:asciiTheme="minorHAnsi" w:eastAsia="Quattrocento Sans" w:hAnsiTheme="minorHAnsi" w:cs="Segoe UI"/>
          <w:sz w:val="20"/>
          <w:szCs w:val="20"/>
          <w:lang w:val="it-IT"/>
        </w:rPr>
        <w:t xml:space="preserve">Visa (NYSE: V), leader mondiale nei pagamenti digitali, facilita più di 215 miliardi di transazioni tra consumatori, esercenti, istituzioni finanziarie e governi in più di 200 Paesi e territori ogni anno.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</w:t>
      </w:r>
      <w:r w:rsidR="00671E8B" w:rsidRPr="009625FF">
        <w:rPr>
          <w:rFonts w:asciiTheme="minorHAnsi" w:eastAsia="Quattrocento Sans" w:hAnsiTheme="minorHAnsi" w:cs="Segoe UI"/>
          <w:sz w:val="20"/>
          <w:szCs w:val="20"/>
          <w:lang w:val="it-IT"/>
        </w:rPr>
        <w:t xml:space="preserve">Per maggiori informazioni, visita </w:t>
      </w:r>
      <w:hyperlink r:id="rId15" w:history="1">
        <w:r w:rsidR="00671E8B" w:rsidRPr="009625FF">
          <w:rPr>
            <w:rFonts w:asciiTheme="minorHAnsi" w:eastAsia="Quattrocento Sans" w:hAnsiTheme="minorHAnsi" w:cs="Segoe UI"/>
            <w:color w:val="0000FF"/>
            <w:sz w:val="20"/>
            <w:szCs w:val="20"/>
            <w:u w:val="single"/>
            <w:lang w:val="it-IT"/>
          </w:rPr>
          <w:t>https://www.visaitalia.com/</w:t>
        </w:r>
      </w:hyperlink>
      <w:r w:rsidR="00671E8B" w:rsidRPr="009625FF">
        <w:rPr>
          <w:rFonts w:asciiTheme="minorHAnsi" w:eastAsia="Quattrocento Sans" w:hAnsiTheme="minorHAnsi" w:cs="Segoe UI"/>
          <w:sz w:val="20"/>
          <w:szCs w:val="20"/>
          <w:lang w:val="it-IT"/>
        </w:rPr>
        <w:t xml:space="preserve">, oltre che il </w:t>
      </w:r>
      <w:hyperlink r:id="rId16" w:history="1">
        <w:r w:rsidR="00671E8B" w:rsidRPr="009625FF">
          <w:rPr>
            <w:rFonts w:asciiTheme="minorHAnsi" w:eastAsia="Quattrocento Sans" w:hAnsiTheme="minorHAnsi" w:cs="Segoe UI"/>
            <w:color w:val="0563C1"/>
            <w:sz w:val="20"/>
            <w:szCs w:val="20"/>
            <w:u w:val="single"/>
            <w:lang w:val="it-IT"/>
          </w:rPr>
          <w:t>blog Visa Italia</w:t>
        </w:r>
      </w:hyperlink>
      <w:r w:rsidR="00671E8B" w:rsidRPr="009625FF">
        <w:rPr>
          <w:rFonts w:asciiTheme="minorHAnsi" w:eastAsia="Quattrocento Sans" w:hAnsiTheme="minorHAnsi" w:cs="Segoe UI"/>
          <w:sz w:val="20"/>
          <w:szCs w:val="20"/>
          <w:lang w:val="it-IT"/>
        </w:rPr>
        <w:t xml:space="preserve">, e seguici su Twitter </w:t>
      </w:r>
      <w:hyperlink r:id="rId17" w:history="1">
        <w:r w:rsidR="00671E8B" w:rsidRPr="009625FF">
          <w:rPr>
            <w:rFonts w:asciiTheme="minorHAnsi" w:eastAsia="Quattrocento Sans" w:hAnsiTheme="minorHAnsi" w:cs="Segoe UI"/>
            <w:color w:val="0000FF"/>
            <w:sz w:val="20"/>
            <w:szCs w:val="20"/>
            <w:u w:val="single"/>
            <w:lang w:val="it-IT"/>
          </w:rPr>
          <w:t>@Visa_IT</w:t>
        </w:r>
      </w:hyperlink>
      <w:r w:rsidR="00671E8B" w:rsidRPr="009625FF">
        <w:rPr>
          <w:rFonts w:asciiTheme="minorHAnsi" w:eastAsia="Quattrocento Sans" w:hAnsiTheme="minorHAnsi" w:cs="Segoe UI"/>
          <w:sz w:val="20"/>
          <w:szCs w:val="20"/>
          <w:lang w:val="it-IT"/>
        </w:rPr>
        <w:t xml:space="preserve">. </w:t>
      </w:r>
    </w:p>
    <w:p w14:paraId="2210E695" w14:textId="77777777" w:rsidR="00671E8B" w:rsidRPr="009625FF" w:rsidRDefault="00671E8B" w:rsidP="008C4AF7">
      <w:pPr>
        <w:contextualSpacing w:val="0"/>
        <w:jc w:val="both"/>
        <w:rPr>
          <w:rFonts w:asciiTheme="minorHAnsi" w:eastAsia="Quattrocento Sans" w:hAnsiTheme="minorHAnsi" w:cs="Segoe UI"/>
          <w:color w:val="000000"/>
          <w:sz w:val="22"/>
          <w:szCs w:val="22"/>
          <w:lang w:val="it-IT"/>
        </w:rPr>
      </w:pPr>
    </w:p>
    <w:p w14:paraId="485C7ACF" w14:textId="77777777" w:rsidR="00AB2A46" w:rsidRPr="003A6452" w:rsidRDefault="00AB2A46" w:rsidP="00AB2A46">
      <w:pPr>
        <w:rPr>
          <w:rFonts w:asciiTheme="minorHAnsi" w:hAnsiTheme="minorHAnsi"/>
          <w:sz w:val="22"/>
          <w:szCs w:val="22"/>
          <w:lang w:val="it-IT"/>
        </w:rPr>
      </w:pPr>
    </w:p>
    <w:sectPr w:rsidR="00AB2A46" w:rsidRPr="003A6452" w:rsidSect="00C3337F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2736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710C5" w14:textId="77777777" w:rsidR="00845D08" w:rsidRDefault="00845D08" w:rsidP="009F4DFF">
      <w:r>
        <w:separator/>
      </w:r>
    </w:p>
  </w:endnote>
  <w:endnote w:type="continuationSeparator" w:id="0">
    <w:p w14:paraId="00F6C52D" w14:textId="77777777" w:rsidR="00845D08" w:rsidRDefault="00845D08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21E654AC-041D-42E6-988C-0A3C714D69AA}"/>
    <w:embedBold r:id="rId2" w:fontKey="{6D626635-3E6B-4E45-843A-A061ABEAA26E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Noto Sans S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altName w:val="Noto Sans Yi"/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Noto Serif S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DC282A-F5D1-40DB-967A-C3A2C60415B8}"/>
    <w:embedBold r:id="rId4" w:fontKey="{4AACC603-6522-4575-837F-0536C8C9BDCE}"/>
    <w:embedItalic r:id="rId5" w:fontKey="{F31CAAF1-4645-4827-AA53-648AF252FA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  <w:embedRegular r:id="rId6" w:fontKey="{1BAB28B3-7A43-475E-A84A-BE04627B55CD}"/>
    <w:embedItalic r:id="rId7" w:fontKey="{4AA0766C-3D16-471F-88EF-E72DE32E88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25BD103-F8D3-470F-9F0A-AD02D452FB3C}"/>
    <w:embedBold r:id="rId9" w:fontKey="{E117C421-400B-49D2-94C4-398E50746610}"/>
    <w:embedItalic r:id="rId10" w:fontKey="{DC42A934-19B0-4F0D-A0F2-DD188BE21C8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5DEF4" w14:textId="77777777" w:rsidR="0015530A" w:rsidRPr="0056069F" w:rsidRDefault="0015530A" w:rsidP="0015530A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Cs w:val="18"/>
        <w:lang w:val="it-IT"/>
      </w:rPr>
    </w:pPr>
    <w:r w:rsidRPr="0056069F">
      <w:rPr>
        <w:rFonts w:asciiTheme="minorHAnsi" w:eastAsia="Calibri" w:hAnsiTheme="minorHAnsi" w:cs="Times New Roman"/>
        <w:b/>
        <w:bCs/>
        <w:color w:val="0F0E0E" w:themeColor="background2" w:themeShade="1A"/>
        <w:szCs w:val="18"/>
        <w:lang w:val="it-IT"/>
      </w:rPr>
      <w:t>Contatti ufficio stampa Visa</w:t>
    </w:r>
  </w:p>
  <w:p w14:paraId="506CCA42" w14:textId="64ADDAFF" w:rsidR="00417892" w:rsidRPr="0056069F" w:rsidRDefault="00417892" w:rsidP="00417892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Enrica Banti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, </w:t>
    </w:r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Senior Manager Corporate Communication</w:t>
    </w:r>
    <w:r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, </w:t>
    </w:r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Visa </w:t>
    </w:r>
    <w:proofErr w:type="spellStart"/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Italy</w:t>
    </w:r>
    <w:proofErr w:type="spellEnd"/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 bantie@visa.com</w:t>
    </w:r>
  </w:p>
  <w:p w14:paraId="51D96242" w14:textId="77777777" w:rsidR="0015530A" w:rsidRPr="0056069F" w:rsidRDefault="0015530A" w:rsidP="0015530A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Alessandro Zambetti, DAG Communication 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                           a.zambetti@dagcom.com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+39 338 9241387</w:t>
    </w:r>
  </w:p>
  <w:p w14:paraId="1B9B6288" w14:textId="77777777" w:rsidR="0015530A" w:rsidRPr="0056069F" w:rsidRDefault="0015530A" w:rsidP="0015530A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Matteo Rasset, DAG Communication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                           </w:t>
    </w:r>
    <w:r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         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mrasset@dagcom.com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+39 333 8032644</w:t>
    </w:r>
  </w:p>
  <w:p w14:paraId="331FCC1B" w14:textId="77777777" w:rsidR="0015530A" w:rsidRPr="0056069F" w:rsidRDefault="0015530A" w:rsidP="0015530A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Cs w:val="18"/>
        <w:u w:color="000000"/>
        <w:bdr w:val="nil"/>
        <w:lang w:val="it-IT" w:eastAsia="en-GB"/>
      </w:rPr>
    </w:pP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Barbara D’Incecco, DAG Communication    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                           bdincecco@dagcom.com       </w:t>
    </w:r>
    <w:r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          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+39 02 89054168</w:t>
    </w:r>
  </w:p>
  <w:p w14:paraId="45614B0C" w14:textId="28D20866" w:rsidR="00BD2976" w:rsidRDefault="008C7AED" w:rsidP="009F4DFF">
    <w:pPr>
      <w:pStyle w:val="Pidipagina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E569EC8" w:rsidR="0083715E" w:rsidRPr="00C20726" w:rsidRDefault="0083715E" w:rsidP="004A5BD7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</w:rPr>
          <w:fldChar w:fldCharType="begin"/>
        </w:r>
        <w:r w:rsidRPr="00C20726">
          <w:rPr>
            <w:rStyle w:val="Numeropagina"/>
            <w:lang w:val="it-IT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Pr="00C20726">
          <w:rPr>
            <w:rStyle w:val="Numeropagina"/>
            <w:noProof/>
            <w:lang w:val="it-IT"/>
          </w:rPr>
          <w:t>1</w:t>
        </w:r>
        <w:r>
          <w:rPr>
            <w:rStyle w:val="Numeropagina"/>
          </w:rPr>
          <w:fldChar w:fldCharType="end"/>
        </w:r>
      </w:p>
    </w:sdtContent>
  </w:sdt>
  <w:p w14:paraId="5772065E" w14:textId="77777777" w:rsidR="00CA2006" w:rsidRDefault="00CA2006" w:rsidP="00C20726">
    <w:pPr>
      <w:jc w:val="both"/>
      <w:rPr>
        <w:rFonts w:asciiTheme="majorHAnsi" w:eastAsia="Calibri" w:hAnsiTheme="maj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4AF477FE" w14:textId="7F2C0969" w:rsidR="00C20726" w:rsidRPr="0056069F" w:rsidRDefault="00C20726" w:rsidP="00C20726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Cs w:val="18"/>
        <w:lang w:val="it-IT"/>
      </w:rPr>
    </w:pPr>
    <w:r w:rsidRPr="0056069F">
      <w:rPr>
        <w:rFonts w:asciiTheme="minorHAnsi" w:eastAsia="Calibri" w:hAnsiTheme="minorHAnsi" w:cs="Times New Roman"/>
        <w:b/>
        <w:bCs/>
        <w:color w:val="0F0E0E" w:themeColor="background2" w:themeShade="1A"/>
        <w:szCs w:val="18"/>
        <w:lang w:val="it-IT"/>
      </w:rPr>
      <w:t>Contatti ufficio stampa Visa</w:t>
    </w:r>
  </w:p>
  <w:p w14:paraId="1FAC2125" w14:textId="1F0908E0" w:rsidR="00C20726" w:rsidRPr="0056069F" w:rsidRDefault="00653119" w:rsidP="00C20726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Enrica Banti</w:t>
    </w:r>
    <w:r w:rsidR="00C20726"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, </w:t>
    </w:r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Senior Manager Corporate Communication</w:t>
    </w:r>
    <w:r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, </w:t>
    </w:r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Visa </w:t>
    </w:r>
    <w:proofErr w:type="spellStart"/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Italy</w:t>
    </w:r>
    <w:proofErr w:type="spellEnd"/>
    <w:r w:rsidR="00417892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 </w:t>
    </w:r>
    <w:r w:rsidRPr="00653119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bantie@visa.com</w:t>
    </w:r>
  </w:p>
  <w:p w14:paraId="29804210" w14:textId="77777777" w:rsidR="00C20726" w:rsidRPr="0056069F" w:rsidRDefault="00C20726" w:rsidP="00C20726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Alessandro Zambetti, DAG Communication 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                           a.zambetti@dagcom.com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+39 338 9241387</w:t>
    </w:r>
  </w:p>
  <w:p w14:paraId="38732D70" w14:textId="6F7747EA" w:rsidR="00C20726" w:rsidRPr="0056069F" w:rsidRDefault="00C20726" w:rsidP="00C20726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Matteo Rasset, DAG Communication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                           </w:t>
    </w:r>
    <w:r w:rsid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         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mrasset@dagcom.com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+39 333 8032644</w:t>
    </w:r>
  </w:p>
  <w:p w14:paraId="35A3026C" w14:textId="1D45EBF5" w:rsidR="00C20726" w:rsidRPr="0056069F" w:rsidRDefault="00C20726" w:rsidP="00C20726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Cs w:val="18"/>
        <w:u w:color="000000"/>
        <w:bdr w:val="nil"/>
        <w:lang w:val="it-IT" w:eastAsia="en-GB"/>
      </w:rPr>
    </w:pP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Barbara D’Incecco, DAG Communication    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 xml:space="preserve">                                bdincecco@dagcom.com       </w:t>
    </w:r>
    <w:r w:rsid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          </w:t>
    </w:r>
    <w:r w:rsidRPr="0056069F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+39 02 89054168</w:t>
    </w:r>
  </w:p>
  <w:p w14:paraId="4709541A" w14:textId="4A06155E" w:rsidR="00BD2976" w:rsidRPr="003A6452" w:rsidRDefault="00BD2976" w:rsidP="0083715E">
    <w:pPr>
      <w:pStyle w:val="Pidipagina"/>
      <w:ind w:right="360"/>
      <w:rPr>
        <w:rFonts w:asciiTheme="minorHAnsi" w:hAnsiTheme="minorHAnsi"/>
        <w:szCs w:val="16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2B3F5" w14:textId="77777777" w:rsidR="00845D08" w:rsidRDefault="00845D08" w:rsidP="009F4DFF">
      <w:r>
        <w:separator/>
      </w:r>
    </w:p>
  </w:footnote>
  <w:footnote w:type="continuationSeparator" w:id="0">
    <w:p w14:paraId="163436A7" w14:textId="77777777" w:rsidR="00845D08" w:rsidRDefault="00845D08" w:rsidP="009F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18363B6F" w:rsidR="00D26D88" w:rsidRPr="00CB031B" w:rsidRDefault="00F91C0E" w:rsidP="009F4DFF">
    <w:r w:rsidRPr="00CB031B">
      <w:rPr>
        <w:noProof/>
      </w:rPr>
      <w:drawing>
        <wp:anchor distT="0" distB="0" distL="114300" distR="114300" simplePos="0" relativeHeight="251662336" behindDoc="1" locked="0" layoutInCell="1" allowOverlap="1" wp14:anchorId="340C18E3" wp14:editId="0D06915A">
          <wp:simplePos x="0" y="0"/>
          <wp:positionH relativeFrom="column">
            <wp:posOffset>4800600</wp:posOffset>
          </wp:positionH>
          <wp:positionV relativeFrom="paragraph">
            <wp:posOffset>-41910</wp:posOffset>
          </wp:positionV>
          <wp:extent cx="1044220" cy="338328"/>
          <wp:effectExtent l="0" t="0" r="3810" b="5080"/>
          <wp:wrapNone/>
          <wp:docPr id="2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A1F"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466A9BF9" w:rsidR="00895F10" w:rsidRPr="0046713C" w:rsidRDefault="0046713C" w:rsidP="0046713C">
    <w:pPr>
      <w:pStyle w:val="Intestazione"/>
    </w:pPr>
    <w:r w:rsidRPr="00CB031B">
      <w:rPr>
        <w:noProof/>
      </w:rPr>
      <w:drawing>
        <wp:anchor distT="0" distB="0" distL="114300" distR="114300" simplePos="0" relativeHeight="251664384" behindDoc="1" locked="0" layoutInCell="1" allowOverlap="1" wp14:anchorId="02EE6A50" wp14:editId="7850D462">
          <wp:simplePos x="0" y="0"/>
          <wp:positionH relativeFrom="column">
            <wp:posOffset>4724400</wp:posOffset>
          </wp:positionH>
          <wp:positionV relativeFrom="paragraph">
            <wp:posOffset>449580</wp:posOffset>
          </wp:positionV>
          <wp:extent cx="1044220" cy="338328"/>
          <wp:effectExtent l="0" t="0" r="3810" b="508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2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2B813FC0"/>
    <w:multiLevelType w:val="hybridMultilevel"/>
    <w:tmpl w:val="D7962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5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8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0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1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2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5" w15:restartNumberingAfterBreak="0">
    <w:nsid w:val="685146C8"/>
    <w:multiLevelType w:val="hybridMultilevel"/>
    <w:tmpl w:val="6A64EB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393262">
    <w:abstractNumId w:val="0"/>
  </w:num>
  <w:num w:numId="2" w16cid:durableId="1775904138">
    <w:abstractNumId w:val="1"/>
  </w:num>
  <w:num w:numId="3" w16cid:durableId="383211616">
    <w:abstractNumId w:val="2"/>
  </w:num>
  <w:num w:numId="4" w16cid:durableId="2131703312">
    <w:abstractNumId w:val="3"/>
  </w:num>
  <w:num w:numId="5" w16cid:durableId="247814575">
    <w:abstractNumId w:val="8"/>
  </w:num>
  <w:num w:numId="6" w16cid:durableId="41641302">
    <w:abstractNumId w:val="4"/>
  </w:num>
  <w:num w:numId="7" w16cid:durableId="1877692023">
    <w:abstractNumId w:val="5"/>
  </w:num>
  <w:num w:numId="8" w16cid:durableId="2144106233">
    <w:abstractNumId w:val="6"/>
  </w:num>
  <w:num w:numId="9" w16cid:durableId="525220075">
    <w:abstractNumId w:val="7"/>
  </w:num>
  <w:num w:numId="10" w16cid:durableId="1513301102">
    <w:abstractNumId w:val="9"/>
  </w:num>
  <w:num w:numId="11" w16cid:durableId="1908689597">
    <w:abstractNumId w:val="22"/>
  </w:num>
  <w:num w:numId="12" w16cid:durableId="2118209005">
    <w:abstractNumId w:val="26"/>
  </w:num>
  <w:num w:numId="13" w16cid:durableId="1040319489">
    <w:abstractNumId w:val="10"/>
  </w:num>
  <w:num w:numId="14" w16cid:durableId="1962422212">
    <w:abstractNumId w:val="18"/>
  </w:num>
  <w:num w:numId="15" w16cid:durableId="1675453424">
    <w:abstractNumId w:val="21"/>
  </w:num>
  <w:num w:numId="16" w16cid:durableId="1698895607">
    <w:abstractNumId w:val="14"/>
  </w:num>
  <w:num w:numId="17" w16cid:durableId="1033993400">
    <w:abstractNumId w:val="12"/>
  </w:num>
  <w:num w:numId="18" w16cid:durableId="1214776904">
    <w:abstractNumId w:val="17"/>
  </w:num>
  <w:num w:numId="19" w16cid:durableId="500049507">
    <w:abstractNumId w:val="24"/>
  </w:num>
  <w:num w:numId="20" w16cid:durableId="1176266415">
    <w:abstractNumId w:val="16"/>
  </w:num>
  <w:num w:numId="21" w16cid:durableId="35854522">
    <w:abstractNumId w:val="16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339940647">
    <w:abstractNumId w:val="19"/>
  </w:num>
  <w:num w:numId="23" w16cid:durableId="1025332353">
    <w:abstractNumId w:val="19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283122253">
    <w:abstractNumId w:val="19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604926330">
    <w:abstractNumId w:val="15"/>
  </w:num>
  <w:num w:numId="26" w16cid:durableId="66146543">
    <w:abstractNumId w:val="27"/>
  </w:num>
  <w:num w:numId="27" w16cid:durableId="1810784665">
    <w:abstractNumId w:val="23"/>
  </w:num>
  <w:num w:numId="28" w16cid:durableId="553857283">
    <w:abstractNumId w:val="11"/>
  </w:num>
  <w:num w:numId="29" w16cid:durableId="1699701144">
    <w:abstractNumId w:val="20"/>
  </w:num>
  <w:num w:numId="30" w16cid:durableId="1347711007">
    <w:abstractNumId w:val="13"/>
  </w:num>
  <w:num w:numId="31" w16cid:durableId="132443591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301D"/>
    <w:rsid w:val="00021543"/>
    <w:rsid w:val="00031D78"/>
    <w:rsid w:val="00061386"/>
    <w:rsid w:val="00080BB8"/>
    <w:rsid w:val="0009564A"/>
    <w:rsid w:val="000A39E8"/>
    <w:rsid w:val="000B72EA"/>
    <w:rsid w:val="000E32F7"/>
    <w:rsid w:val="000E6F24"/>
    <w:rsid w:val="000F4F36"/>
    <w:rsid w:val="000F504C"/>
    <w:rsid w:val="001473AD"/>
    <w:rsid w:val="0015530A"/>
    <w:rsid w:val="001650BA"/>
    <w:rsid w:val="001746BD"/>
    <w:rsid w:val="00187F59"/>
    <w:rsid w:val="001B0E5F"/>
    <w:rsid w:val="001D777B"/>
    <w:rsid w:val="001E08F7"/>
    <w:rsid w:val="002100B6"/>
    <w:rsid w:val="00224E6E"/>
    <w:rsid w:val="002345F9"/>
    <w:rsid w:val="00240E57"/>
    <w:rsid w:val="00247DFA"/>
    <w:rsid w:val="002527F0"/>
    <w:rsid w:val="002728CA"/>
    <w:rsid w:val="0028691E"/>
    <w:rsid w:val="002E3C5A"/>
    <w:rsid w:val="002F0A7C"/>
    <w:rsid w:val="003026D0"/>
    <w:rsid w:val="0031120B"/>
    <w:rsid w:val="003140E2"/>
    <w:rsid w:val="003172CC"/>
    <w:rsid w:val="00354CD7"/>
    <w:rsid w:val="0035518A"/>
    <w:rsid w:val="0038187B"/>
    <w:rsid w:val="0039423B"/>
    <w:rsid w:val="003A4768"/>
    <w:rsid w:val="003A54B1"/>
    <w:rsid w:val="003A6452"/>
    <w:rsid w:val="003C292D"/>
    <w:rsid w:val="003C5725"/>
    <w:rsid w:val="003D58DA"/>
    <w:rsid w:val="003E7849"/>
    <w:rsid w:val="003F5CA7"/>
    <w:rsid w:val="0041224E"/>
    <w:rsid w:val="00415122"/>
    <w:rsid w:val="00417892"/>
    <w:rsid w:val="0042194A"/>
    <w:rsid w:val="00427C67"/>
    <w:rsid w:val="00434FC6"/>
    <w:rsid w:val="004462C1"/>
    <w:rsid w:val="00447BE5"/>
    <w:rsid w:val="00450071"/>
    <w:rsid w:val="004574FC"/>
    <w:rsid w:val="00461DA0"/>
    <w:rsid w:val="0046713C"/>
    <w:rsid w:val="00470509"/>
    <w:rsid w:val="00473B55"/>
    <w:rsid w:val="004A54C3"/>
    <w:rsid w:val="004B0B8A"/>
    <w:rsid w:val="004C2A7D"/>
    <w:rsid w:val="004C36F6"/>
    <w:rsid w:val="004C3D74"/>
    <w:rsid w:val="004D289F"/>
    <w:rsid w:val="004E0DDF"/>
    <w:rsid w:val="004E4978"/>
    <w:rsid w:val="004E7016"/>
    <w:rsid w:val="00513E5E"/>
    <w:rsid w:val="005144AF"/>
    <w:rsid w:val="005148AC"/>
    <w:rsid w:val="005314FE"/>
    <w:rsid w:val="005418A9"/>
    <w:rsid w:val="0056069F"/>
    <w:rsid w:val="0056077F"/>
    <w:rsid w:val="00567091"/>
    <w:rsid w:val="0057701E"/>
    <w:rsid w:val="005916B3"/>
    <w:rsid w:val="005B3103"/>
    <w:rsid w:val="005B791A"/>
    <w:rsid w:val="005F51D6"/>
    <w:rsid w:val="00610EBD"/>
    <w:rsid w:val="00612343"/>
    <w:rsid w:val="006125F6"/>
    <w:rsid w:val="0061396E"/>
    <w:rsid w:val="00615848"/>
    <w:rsid w:val="006333E1"/>
    <w:rsid w:val="00636EC9"/>
    <w:rsid w:val="0064168F"/>
    <w:rsid w:val="00642076"/>
    <w:rsid w:val="006451B3"/>
    <w:rsid w:val="0064554C"/>
    <w:rsid w:val="0064726A"/>
    <w:rsid w:val="00653119"/>
    <w:rsid w:val="0065423D"/>
    <w:rsid w:val="00657857"/>
    <w:rsid w:val="0067099E"/>
    <w:rsid w:val="00671E8B"/>
    <w:rsid w:val="00683077"/>
    <w:rsid w:val="00684B32"/>
    <w:rsid w:val="00685606"/>
    <w:rsid w:val="006A2E9A"/>
    <w:rsid w:val="006C3AB4"/>
    <w:rsid w:val="00707BA6"/>
    <w:rsid w:val="0072290F"/>
    <w:rsid w:val="007334BC"/>
    <w:rsid w:val="00733861"/>
    <w:rsid w:val="00741CC2"/>
    <w:rsid w:val="00746B85"/>
    <w:rsid w:val="00764EA4"/>
    <w:rsid w:val="007716D8"/>
    <w:rsid w:val="007867E2"/>
    <w:rsid w:val="00791BD1"/>
    <w:rsid w:val="007C3BAE"/>
    <w:rsid w:val="007E436D"/>
    <w:rsid w:val="007F4016"/>
    <w:rsid w:val="007F6A8D"/>
    <w:rsid w:val="00823F14"/>
    <w:rsid w:val="0083715E"/>
    <w:rsid w:val="008436FF"/>
    <w:rsid w:val="008438CC"/>
    <w:rsid w:val="00845D08"/>
    <w:rsid w:val="0085250A"/>
    <w:rsid w:val="00864E83"/>
    <w:rsid w:val="00895F10"/>
    <w:rsid w:val="00897C56"/>
    <w:rsid w:val="008A7BC0"/>
    <w:rsid w:val="008B543A"/>
    <w:rsid w:val="008C22BC"/>
    <w:rsid w:val="008C4AF7"/>
    <w:rsid w:val="008C7AED"/>
    <w:rsid w:val="008D6DFB"/>
    <w:rsid w:val="00907953"/>
    <w:rsid w:val="009131E7"/>
    <w:rsid w:val="0091370D"/>
    <w:rsid w:val="00917A1F"/>
    <w:rsid w:val="00924635"/>
    <w:rsid w:val="0094414D"/>
    <w:rsid w:val="009604BD"/>
    <w:rsid w:val="009625FF"/>
    <w:rsid w:val="00965C6B"/>
    <w:rsid w:val="009A4456"/>
    <w:rsid w:val="009C73D8"/>
    <w:rsid w:val="009D01E4"/>
    <w:rsid w:val="009F4DFF"/>
    <w:rsid w:val="00A433F5"/>
    <w:rsid w:val="00A672CE"/>
    <w:rsid w:val="00A81557"/>
    <w:rsid w:val="00A81BF2"/>
    <w:rsid w:val="00AA11E7"/>
    <w:rsid w:val="00AB2A46"/>
    <w:rsid w:val="00AC19F6"/>
    <w:rsid w:val="00AC48FC"/>
    <w:rsid w:val="00AD651E"/>
    <w:rsid w:val="00AE307E"/>
    <w:rsid w:val="00B077F3"/>
    <w:rsid w:val="00B10081"/>
    <w:rsid w:val="00B17D7F"/>
    <w:rsid w:val="00B246F8"/>
    <w:rsid w:val="00B61484"/>
    <w:rsid w:val="00B63F48"/>
    <w:rsid w:val="00B83D83"/>
    <w:rsid w:val="00B852AD"/>
    <w:rsid w:val="00B9465E"/>
    <w:rsid w:val="00BA25FD"/>
    <w:rsid w:val="00BA556C"/>
    <w:rsid w:val="00BD2976"/>
    <w:rsid w:val="00BE369E"/>
    <w:rsid w:val="00BE3CE2"/>
    <w:rsid w:val="00C05DE8"/>
    <w:rsid w:val="00C12919"/>
    <w:rsid w:val="00C20726"/>
    <w:rsid w:val="00C23FC8"/>
    <w:rsid w:val="00C266E9"/>
    <w:rsid w:val="00C27037"/>
    <w:rsid w:val="00C3337F"/>
    <w:rsid w:val="00C509B5"/>
    <w:rsid w:val="00C525EC"/>
    <w:rsid w:val="00C54451"/>
    <w:rsid w:val="00C619E4"/>
    <w:rsid w:val="00C74672"/>
    <w:rsid w:val="00C76241"/>
    <w:rsid w:val="00C86772"/>
    <w:rsid w:val="00C90CD4"/>
    <w:rsid w:val="00C96989"/>
    <w:rsid w:val="00CA2006"/>
    <w:rsid w:val="00CA501B"/>
    <w:rsid w:val="00CB031B"/>
    <w:rsid w:val="00CC5451"/>
    <w:rsid w:val="00CF436E"/>
    <w:rsid w:val="00CF54AE"/>
    <w:rsid w:val="00D26D88"/>
    <w:rsid w:val="00D26EB9"/>
    <w:rsid w:val="00D36534"/>
    <w:rsid w:val="00D50107"/>
    <w:rsid w:val="00D647E7"/>
    <w:rsid w:val="00D66486"/>
    <w:rsid w:val="00DC68B6"/>
    <w:rsid w:val="00DE40F2"/>
    <w:rsid w:val="00DF7A9A"/>
    <w:rsid w:val="00E02298"/>
    <w:rsid w:val="00E10225"/>
    <w:rsid w:val="00E26C40"/>
    <w:rsid w:val="00E439F7"/>
    <w:rsid w:val="00E52626"/>
    <w:rsid w:val="00E529FB"/>
    <w:rsid w:val="00E61D92"/>
    <w:rsid w:val="00E74518"/>
    <w:rsid w:val="00E95DA9"/>
    <w:rsid w:val="00EC500D"/>
    <w:rsid w:val="00EC6E72"/>
    <w:rsid w:val="00F160B4"/>
    <w:rsid w:val="00F270A4"/>
    <w:rsid w:val="00F33118"/>
    <w:rsid w:val="00F4733E"/>
    <w:rsid w:val="00F649E5"/>
    <w:rsid w:val="00F70192"/>
    <w:rsid w:val="00F807E1"/>
    <w:rsid w:val="00F8404C"/>
    <w:rsid w:val="00F915EF"/>
    <w:rsid w:val="00F91C0E"/>
    <w:rsid w:val="00FE1F72"/>
    <w:rsid w:val="00FE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paragraph" w:styleId="Testonotaapidipagina">
    <w:name w:val="footnote text"/>
    <w:basedOn w:val="Normale"/>
    <w:link w:val="TestonotaapidipaginaCarattere"/>
    <w:uiPriority w:val="99"/>
    <w:unhideWhenUsed/>
    <w:rsid w:val="00684B32"/>
    <w:pPr>
      <w:contextualSpacing w:val="0"/>
    </w:pPr>
    <w:rPr>
      <w:rFonts w:ascii="Calibri" w:eastAsia="Calibri" w:hAnsi="Calibri" w:cs="Arial"/>
      <w:sz w:val="20"/>
      <w:szCs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84B32"/>
    <w:rPr>
      <w:rFonts w:ascii="Calibri" w:eastAsia="Calibri" w:hAnsi="Calibri" w:cs="Arial"/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B32"/>
    <w:rPr>
      <w:vertAlign w:val="superscript"/>
    </w:rPr>
  </w:style>
  <w:style w:type="paragraph" w:customStyle="1" w:styleId="20ContinuousText">
    <w:name w:val="2.0 Continuous Text"/>
    <w:basedOn w:val="Normale"/>
    <w:autoRedefine/>
    <w:qFormat/>
    <w:rsid w:val="00684B32"/>
    <w:rPr>
      <w:rFonts w:ascii="Calibri" w:eastAsia="Times New Roman" w:hAnsi="Calibri" w:cs="Times New Roman"/>
      <w:sz w:val="24"/>
      <w:szCs w:val="20"/>
      <w:lang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4B32"/>
    <w:rPr>
      <w:color w:val="FCC015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B791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B791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B791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791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791A"/>
    <w:rPr>
      <w:rFonts w:ascii="Visa Dialect Regular" w:eastAsiaTheme="minorEastAsia" w:hAnsi="Visa Dialect Regular" w:cs="Aparajit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sa.visa.com/partner-with-us/visa-analytics-platform.htm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finextra.com/pressarticle/88882/visa-and-mashreq-partner-on-rapid-seller-onboarding-programme" TargetMode="External"/><Relationship Id="rId17" Type="http://schemas.openxmlformats.org/officeDocument/2006/relationships/hyperlink" Target="https://twitter.com/Visa_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visaitalia.com/visa-everywhere/blog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a.visa.com/partner-with-us/payment-technology/installments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visaitalia.com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a.visa.com/visa-everywhere/innovation/connected-commerce/acceptance-cloud.htm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2578F6F373C4A8BABA9C97760E096" ma:contentTypeVersion="15" ma:contentTypeDescription="Create a new document." ma:contentTypeScope="" ma:versionID="7a963ed8cbc56b5468e7db0f1a4418e6">
  <xsd:schema xmlns:xsd="http://www.w3.org/2001/XMLSchema" xmlns:xs="http://www.w3.org/2001/XMLSchema" xmlns:p="http://schemas.microsoft.com/office/2006/metadata/properties" xmlns:ns1="http://schemas.microsoft.com/sharepoint/v3" xmlns:ns2="f2d57e08-bea4-40b0-8f90-22182cd715fa" xmlns:ns3="d8d3784e-9599-4be8-ace6-9ec0c9445a6f" targetNamespace="http://schemas.microsoft.com/office/2006/metadata/properties" ma:root="true" ma:fieldsID="efe2f81cfbfb05b4b8fbb418eebf73db" ns1:_="" ns2:_="" ns3:_="">
    <xsd:import namespace="http://schemas.microsoft.com/sharepoint/v3"/>
    <xsd:import namespace="f2d57e08-bea4-40b0-8f90-22182cd715fa"/>
    <xsd:import namespace="d8d3784e-9599-4be8-ace6-9ec0c9445a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57e08-bea4-40b0-8f90-22182cd71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3784e-9599-4be8-ace6-9ec0c9445a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7E57A45-D870-49F6-9B62-515DED478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d57e08-bea4-40b0-8f90-22182cd715fa"/>
    <ds:schemaRef ds:uri="d8d3784e-9599-4be8-ace6-9ec0c9445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889</Words>
  <Characters>5071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D.A.G. Communication Srl</cp:lastModifiedBy>
  <cp:revision>28</cp:revision>
  <cp:lastPrinted>2021-09-24T00:25:00Z</cp:lastPrinted>
  <dcterms:created xsi:type="dcterms:W3CDTF">2022-01-13T21:18:00Z</dcterms:created>
  <dcterms:modified xsi:type="dcterms:W3CDTF">2022-05-03T09:08:00Z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0x0101001892578F6F373C4A8BABA9C97760E096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2021-11-04T11:51:04Z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5a00234b-6517-4f48-9439-daf223733346</vt:lpwstr>
  </property>
  <property fmtid="{D5CDD505-2E9C-101B-9397-08002B2CF9AE}" pid="9" name="MSIP_Label_a0f89cb5-682d-4be4-b0e0-739c9b4a93d4_ContentBits">
    <vt:lpwstr>0</vt:lpwstr>
  </property>
</Properties>
</file>