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3E13" w14:textId="2744A147" w:rsidR="0020750D" w:rsidRPr="000B04E5" w:rsidRDefault="00125AB2">
      <w:pPr>
        <w:rPr>
          <w:i/>
        </w:rPr>
      </w:pPr>
      <w:r w:rsidRPr="009A3B59">
        <w:rPr>
          <w:i/>
        </w:rPr>
        <w:t>Pressemeddelelse</w:t>
      </w:r>
      <w:r w:rsidR="00F91F38">
        <w:rPr>
          <w:i/>
        </w:rPr>
        <w:t xml:space="preserve"> </w:t>
      </w:r>
      <w:r w:rsidR="000B43FE">
        <w:rPr>
          <w:i/>
        </w:rPr>
        <w:tab/>
      </w:r>
      <w:r w:rsidR="000B43FE">
        <w:rPr>
          <w:i/>
        </w:rPr>
        <w:tab/>
      </w:r>
      <w:r w:rsidR="009E1D37">
        <w:rPr>
          <w:i/>
        </w:rPr>
        <w:tab/>
      </w:r>
      <w:r w:rsidR="009E1D37">
        <w:rPr>
          <w:i/>
        </w:rPr>
        <w:tab/>
      </w:r>
      <w:r w:rsidR="009E1D37">
        <w:rPr>
          <w:i/>
        </w:rPr>
        <w:tab/>
      </w:r>
      <w:r w:rsidR="000B04E5" w:rsidRPr="000B04E5">
        <w:rPr>
          <w:i/>
        </w:rPr>
        <w:t>7. april 2022</w:t>
      </w:r>
    </w:p>
    <w:p w14:paraId="35EBCEF6" w14:textId="3EF325C7" w:rsidR="00C96F2D" w:rsidRDefault="006657C1" w:rsidP="00D1435B">
      <w:pPr>
        <w:pStyle w:val="Ingenafstand"/>
        <w:rPr>
          <w:b/>
        </w:rPr>
      </w:pPr>
      <w:r w:rsidRPr="000D67D8">
        <w:br/>
      </w:r>
      <w:r w:rsidR="009E1D37">
        <w:rPr>
          <w:b/>
          <w:bCs/>
          <w:sz w:val="32"/>
          <w:szCs w:val="32"/>
        </w:rPr>
        <w:br/>
      </w:r>
      <w:r w:rsidR="006E6741" w:rsidRPr="00D1435B">
        <w:rPr>
          <w:b/>
          <w:bCs/>
          <w:sz w:val="32"/>
          <w:szCs w:val="32"/>
        </w:rPr>
        <w:t>Bygma Gruppen</w:t>
      </w:r>
      <w:r w:rsidR="00C96F2D">
        <w:rPr>
          <w:b/>
          <w:bCs/>
          <w:sz w:val="32"/>
          <w:szCs w:val="32"/>
        </w:rPr>
        <w:t>s</w:t>
      </w:r>
      <w:r w:rsidR="003F0CD7" w:rsidRPr="00D1435B">
        <w:rPr>
          <w:b/>
          <w:bCs/>
          <w:sz w:val="32"/>
          <w:szCs w:val="32"/>
        </w:rPr>
        <w:t xml:space="preserve"> </w:t>
      </w:r>
      <w:r w:rsidR="00B3272A">
        <w:rPr>
          <w:b/>
          <w:bCs/>
          <w:sz w:val="32"/>
          <w:szCs w:val="32"/>
        </w:rPr>
        <w:t xml:space="preserve">årsregnskab </w:t>
      </w:r>
      <w:r w:rsidR="00C96F2D">
        <w:rPr>
          <w:b/>
          <w:bCs/>
          <w:sz w:val="32"/>
          <w:szCs w:val="32"/>
        </w:rPr>
        <w:t>er bedre end forventet</w:t>
      </w:r>
      <w:r w:rsidR="00D1435B">
        <w:rPr>
          <w:b/>
          <w:bCs/>
          <w:sz w:val="32"/>
          <w:szCs w:val="32"/>
        </w:rPr>
        <w:br/>
      </w:r>
      <w:r w:rsidR="0037057D" w:rsidRPr="000D67D8">
        <w:rPr>
          <w:b/>
        </w:rPr>
        <w:br/>
      </w:r>
      <w:r w:rsidR="00D1435B">
        <w:rPr>
          <w:b/>
        </w:rPr>
        <w:br/>
      </w:r>
      <w:r w:rsidR="00DF4CC3">
        <w:rPr>
          <w:b/>
        </w:rPr>
        <w:t xml:space="preserve">Bygma Gruppen </w:t>
      </w:r>
      <w:r w:rsidR="001D34F3">
        <w:rPr>
          <w:b/>
        </w:rPr>
        <w:t xml:space="preserve">A/S </w:t>
      </w:r>
      <w:r w:rsidR="00DF4CC3">
        <w:rPr>
          <w:b/>
        </w:rPr>
        <w:t>har i dag offentliggjort sit regnskab for 20</w:t>
      </w:r>
      <w:r w:rsidR="003F0CD7">
        <w:rPr>
          <w:b/>
        </w:rPr>
        <w:t>2</w:t>
      </w:r>
      <w:r w:rsidR="006459C8">
        <w:rPr>
          <w:b/>
        </w:rPr>
        <w:t>1</w:t>
      </w:r>
      <w:r w:rsidR="0037631D">
        <w:rPr>
          <w:b/>
        </w:rPr>
        <w:t>.</w:t>
      </w:r>
      <w:r w:rsidR="004D396D">
        <w:rPr>
          <w:b/>
        </w:rPr>
        <w:t xml:space="preserve"> </w:t>
      </w:r>
      <w:r w:rsidR="00A77DDB">
        <w:rPr>
          <w:b/>
        </w:rPr>
        <w:t>Den danskejede k</w:t>
      </w:r>
      <w:r w:rsidR="00133A80">
        <w:rPr>
          <w:b/>
        </w:rPr>
        <w:t>oncern</w:t>
      </w:r>
      <w:r w:rsidR="0095615C">
        <w:rPr>
          <w:b/>
        </w:rPr>
        <w:t>, der primært</w:t>
      </w:r>
      <w:r w:rsidR="004D396D">
        <w:rPr>
          <w:b/>
        </w:rPr>
        <w:t xml:space="preserve"> henvender sig</w:t>
      </w:r>
      <w:r w:rsidR="00133A80">
        <w:rPr>
          <w:b/>
        </w:rPr>
        <w:t xml:space="preserve"> </w:t>
      </w:r>
      <w:r w:rsidR="004D396D">
        <w:rPr>
          <w:b/>
        </w:rPr>
        <w:t>til det professionelle segment</w:t>
      </w:r>
      <w:r w:rsidR="005A6A43">
        <w:rPr>
          <w:b/>
        </w:rPr>
        <w:t>,</w:t>
      </w:r>
      <w:r w:rsidR="004D396D">
        <w:rPr>
          <w:b/>
        </w:rPr>
        <w:t xml:space="preserve"> </w:t>
      </w:r>
      <w:r w:rsidR="00D12C03">
        <w:rPr>
          <w:b/>
        </w:rPr>
        <w:t>leverer</w:t>
      </w:r>
      <w:r w:rsidR="006459C8">
        <w:rPr>
          <w:b/>
        </w:rPr>
        <w:t xml:space="preserve"> </w:t>
      </w:r>
      <w:r w:rsidR="00C96F2D">
        <w:rPr>
          <w:b/>
        </w:rPr>
        <w:t xml:space="preserve">et årsregnskab der er bedre end forventet. Dette på trods af at det har været et usædvanligt år præget af knaphed på materialer og store prisstigninger på specielt træ og træbaserede produkter. </w:t>
      </w:r>
    </w:p>
    <w:p w14:paraId="78C8E71E" w14:textId="77777777" w:rsidR="00C96F2D" w:rsidRDefault="00C96F2D" w:rsidP="00D1435B">
      <w:pPr>
        <w:pStyle w:val="Ingenafstand"/>
        <w:rPr>
          <w:b/>
        </w:rPr>
      </w:pPr>
    </w:p>
    <w:p w14:paraId="415DD54A" w14:textId="1C508ED7" w:rsidR="00151E71" w:rsidRDefault="007010F9" w:rsidP="00F07EA8">
      <w:r w:rsidRPr="007010F9">
        <w:rPr>
          <w:b/>
          <w:bCs/>
        </w:rPr>
        <w:t>Holde</w:t>
      </w:r>
      <w:r w:rsidR="00DC7A50">
        <w:rPr>
          <w:b/>
          <w:bCs/>
        </w:rPr>
        <w:t>r</w:t>
      </w:r>
      <w:r w:rsidRPr="007010F9">
        <w:rPr>
          <w:b/>
          <w:bCs/>
        </w:rPr>
        <w:t xml:space="preserve"> hjulene i gang</w:t>
      </w:r>
      <w:r>
        <w:rPr>
          <w:b/>
          <w:bCs/>
          <w:color w:val="FF0000"/>
        </w:rPr>
        <w:br/>
      </w:r>
      <w:r w:rsidR="008737AE" w:rsidRPr="008737AE">
        <w:t xml:space="preserve">”Vi er </w:t>
      </w:r>
      <w:r w:rsidR="00973171">
        <w:t xml:space="preserve">meget </w:t>
      </w:r>
      <w:r w:rsidR="008737AE" w:rsidRPr="008737AE">
        <w:t>tilfredse med årets resultat,” siger adm. direktør Peter H. Christiansen</w:t>
      </w:r>
      <w:r w:rsidR="008737AE">
        <w:t>. ”</w:t>
      </w:r>
      <w:r w:rsidR="008737AE" w:rsidRPr="008737AE">
        <w:t>2021 har igen været et</w:t>
      </w:r>
      <w:r w:rsidR="004C4DF9">
        <w:t xml:space="preserve"> godt</w:t>
      </w:r>
      <w:r w:rsidR="008737AE" w:rsidRPr="008737AE">
        <w:t xml:space="preserve"> år med </w:t>
      </w:r>
      <w:r w:rsidR="008737AE">
        <w:t xml:space="preserve">stor aktivitet. </w:t>
      </w:r>
      <w:r w:rsidR="00D84902">
        <w:t xml:space="preserve">Men det </w:t>
      </w:r>
      <w:r w:rsidR="008737AE">
        <w:t xml:space="preserve">har også været et år med </w:t>
      </w:r>
      <w:r w:rsidR="00973171">
        <w:t xml:space="preserve">rigtig </w:t>
      </w:r>
      <w:r w:rsidR="008737AE">
        <w:t>mange udfordringer</w:t>
      </w:r>
      <w:r w:rsidR="004C4DF9">
        <w:t xml:space="preserve"> som følge af </w:t>
      </w:r>
      <w:r w:rsidR="008737AE">
        <w:t xml:space="preserve">den </w:t>
      </w:r>
      <w:r w:rsidR="00D84902">
        <w:t xml:space="preserve">globale pandemi. </w:t>
      </w:r>
      <w:r w:rsidR="001B751E">
        <w:t>Vareknaphed og forsyningsvanskeligheder</w:t>
      </w:r>
      <w:r w:rsidR="0041172A">
        <w:t xml:space="preserve">, </w:t>
      </w:r>
      <w:r w:rsidR="001B751E">
        <w:t xml:space="preserve">specielt </w:t>
      </w:r>
      <w:r w:rsidR="0041172A">
        <w:t>for</w:t>
      </w:r>
      <w:r w:rsidR="001B751E">
        <w:t xml:space="preserve"> træ og træbaserede produkter</w:t>
      </w:r>
      <w:r w:rsidR="0041172A">
        <w:t xml:space="preserve">, </w:t>
      </w:r>
      <w:r w:rsidR="001B751E">
        <w:t>har ført til prisstigninger, som har påvirket vores omsætning positivt.</w:t>
      </w:r>
      <w:r w:rsidR="00771744">
        <w:t xml:space="preserve"> </w:t>
      </w:r>
      <w:r w:rsidR="004C3E7B">
        <w:t>V</w:t>
      </w:r>
      <w:r w:rsidR="00A453B9">
        <w:t xml:space="preserve">ores </w:t>
      </w:r>
      <w:r>
        <w:t xml:space="preserve">fokus </w:t>
      </w:r>
      <w:r w:rsidR="00D96B2B">
        <w:t>har været</w:t>
      </w:r>
      <w:r>
        <w:t xml:space="preserve"> </w:t>
      </w:r>
      <w:r w:rsidR="00D96B2B">
        <w:t xml:space="preserve">- og er fortsat - </w:t>
      </w:r>
      <w:r>
        <w:t xml:space="preserve">at </w:t>
      </w:r>
      <w:r w:rsidR="00A453B9">
        <w:t>sørge for</w:t>
      </w:r>
      <w:r w:rsidR="00DC7A50">
        <w:t>,</w:t>
      </w:r>
      <w:r w:rsidR="00A453B9">
        <w:t xml:space="preserve"> at der til stadighed er </w:t>
      </w:r>
      <w:r>
        <w:t>byggematerialer til kunderne, så vi kan være med til at holde hjulene i gang</w:t>
      </w:r>
      <w:r w:rsidR="00D96B2B">
        <w:t>.</w:t>
      </w:r>
      <w:r>
        <w:t xml:space="preserve"> </w:t>
      </w:r>
      <w:r w:rsidR="004C3E7B">
        <w:t>Vi har sørget for at have velfyldte lagre</w:t>
      </w:r>
      <w:r w:rsidR="00973171">
        <w:t xml:space="preserve">, så vi kan dække </w:t>
      </w:r>
      <w:r w:rsidR="00557AC6">
        <w:t>kundernes</w:t>
      </w:r>
      <w:r w:rsidR="00973171">
        <w:t xml:space="preserve"> behov</w:t>
      </w:r>
      <w:r w:rsidR="00450E01">
        <w:t xml:space="preserve">”. </w:t>
      </w:r>
      <w:r w:rsidR="00763939">
        <w:t xml:space="preserve"> </w:t>
      </w:r>
    </w:p>
    <w:p w14:paraId="17F1D1B4" w14:textId="191FECEA" w:rsidR="00011519" w:rsidRDefault="00876A79" w:rsidP="00F07EA8">
      <w:pPr>
        <w:rPr>
          <w:b/>
          <w:bCs/>
        </w:rPr>
      </w:pPr>
      <w:r>
        <w:rPr>
          <w:b/>
          <w:bCs/>
        </w:rPr>
        <w:t xml:space="preserve">Belønner </w:t>
      </w:r>
      <w:r w:rsidR="00450E01">
        <w:rPr>
          <w:b/>
          <w:bCs/>
        </w:rPr>
        <w:t>medarbejder</w:t>
      </w:r>
      <w:r w:rsidR="00D93BA9">
        <w:rPr>
          <w:b/>
          <w:bCs/>
        </w:rPr>
        <w:t>ne</w:t>
      </w:r>
      <w:r w:rsidR="00450E01">
        <w:rPr>
          <w:b/>
          <w:bCs/>
          <w:color w:val="FF0000"/>
        </w:rPr>
        <w:br/>
      </w:r>
      <w:r w:rsidR="00450E01">
        <w:t>”</w:t>
      </w:r>
      <w:r w:rsidR="00A453B9">
        <w:t>De mange udfordringer har</w:t>
      </w:r>
      <w:r w:rsidR="00D96B2B">
        <w:t xml:space="preserve"> </w:t>
      </w:r>
      <w:r w:rsidR="00A453B9">
        <w:t xml:space="preserve">stillet store krav til vores </w:t>
      </w:r>
      <w:r w:rsidR="00A453B9" w:rsidRPr="00A453B9">
        <w:t>dygtige og dedikerede medarbejdere</w:t>
      </w:r>
      <w:r w:rsidR="00A453B9">
        <w:t xml:space="preserve">, der igen i år har ydet en utrættelig </w:t>
      </w:r>
      <w:r w:rsidR="00A453B9" w:rsidRPr="00A453B9">
        <w:t>indsats</w:t>
      </w:r>
      <w:r w:rsidR="00D93BA9">
        <w:t>” siger Peter H. Christiansen videre</w:t>
      </w:r>
      <w:r w:rsidR="00151E71">
        <w:t>.</w:t>
      </w:r>
      <w:r w:rsidR="006412C5">
        <w:t xml:space="preserve"> </w:t>
      </w:r>
      <w:r w:rsidR="00D93BA9">
        <w:t>”</w:t>
      </w:r>
      <w:r w:rsidR="006412C5">
        <w:t>P</w:t>
      </w:r>
      <w:r w:rsidR="0011523A">
        <w:t>å denne baggrund</w:t>
      </w:r>
      <w:r w:rsidR="006412C5">
        <w:t xml:space="preserve"> er det efter regnskabsårets afslutnin</w:t>
      </w:r>
      <w:r w:rsidR="001A20B8">
        <w:t>g</w:t>
      </w:r>
      <w:r w:rsidR="006412C5">
        <w:t xml:space="preserve"> besluttet</w:t>
      </w:r>
      <w:r w:rsidR="001A20B8">
        <w:t>,</w:t>
      </w:r>
      <w:r w:rsidR="006412C5">
        <w:t xml:space="preserve"> at </w:t>
      </w:r>
      <w:r w:rsidR="00DA59EF">
        <w:t>vores</w:t>
      </w:r>
      <w:r w:rsidR="006412C5">
        <w:t xml:space="preserve"> ansatte i Danmark vil modtage </w:t>
      </w:r>
      <w:r w:rsidR="001E7321">
        <w:t>en anerkendelse</w:t>
      </w:r>
      <w:r w:rsidR="006412C5">
        <w:t xml:space="preserve"> på</w:t>
      </w:r>
      <w:r w:rsidR="00E53393">
        <w:t xml:space="preserve"> op til</w:t>
      </w:r>
      <w:r w:rsidR="006412C5">
        <w:t xml:space="preserve"> 10.000 kr. som tak for indsatsen. </w:t>
      </w:r>
      <w:r w:rsidR="00450E01">
        <w:t>I øvrigt viser v</w:t>
      </w:r>
      <w:r w:rsidR="00151E71">
        <w:t>ores seneste medarbejdermåling, at vi rater højt på arbejdsglæde og loyalitet, hvilket er helt fantastisk efter et år</w:t>
      </w:r>
      <w:r w:rsidR="00711748">
        <w:t xml:space="preserve">, hvor alle </w:t>
      </w:r>
      <w:r w:rsidR="00AD223A">
        <w:t>har haft vanvittigt travlt</w:t>
      </w:r>
      <w:r w:rsidR="00A453B9" w:rsidRPr="00A453B9">
        <w:t>”.</w:t>
      </w:r>
    </w:p>
    <w:p w14:paraId="60948FAD" w14:textId="38C27AE7" w:rsidR="00F07EA8" w:rsidRPr="0041172A" w:rsidRDefault="009F42CB" w:rsidP="00F07EA8">
      <w:r w:rsidRPr="00E710C7">
        <w:rPr>
          <w:b/>
          <w:bCs/>
        </w:rPr>
        <w:t xml:space="preserve">Årets </w:t>
      </w:r>
      <w:r w:rsidR="00F27063" w:rsidRPr="00E710C7">
        <w:rPr>
          <w:b/>
          <w:bCs/>
        </w:rPr>
        <w:t>resultat i Gruppen og Bygma A/S</w:t>
      </w:r>
      <w:r w:rsidR="00CF128F" w:rsidRPr="00E710C7">
        <w:t xml:space="preserve"> </w:t>
      </w:r>
      <w:r w:rsidRPr="00E710C7">
        <w:br/>
      </w:r>
      <w:r w:rsidR="00F07EA8" w:rsidRPr="0041172A">
        <w:t xml:space="preserve">Årsregnskabet </w:t>
      </w:r>
      <w:r w:rsidR="00B042B5" w:rsidRPr="0041172A">
        <w:t xml:space="preserve">for Bygma Gruppen </w:t>
      </w:r>
      <w:r w:rsidR="00F07EA8" w:rsidRPr="0041172A">
        <w:t xml:space="preserve">viser en omsætning på </w:t>
      </w:r>
      <w:r w:rsidR="00A77DDB" w:rsidRPr="0041172A">
        <w:rPr>
          <w:b/>
          <w:bCs/>
        </w:rPr>
        <w:t>10. 809</w:t>
      </w:r>
      <w:r w:rsidR="001A78DC" w:rsidRPr="0041172A">
        <w:rPr>
          <w:b/>
          <w:bCs/>
        </w:rPr>
        <w:t xml:space="preserve"> </w:t>
      </w:r>
      <w:r w:rsidR="00F07EA8" w:rsidRPr="0041172A">
        <w:rPr>
          <w:b/>
          <w:bCs/>
        </w:rPr>
        <w:t>mi</w:t>
      </w:r>
      <w:r w:rsidR="00B510C1" w:rsidRPr="0041172A">
        <w:rPr>
          <w:b/>
          <w:bCs/>
        </w:rPr>
        <w:t>o</w:t>
      </w:r>
      <w:r w:rsidR="001D34F3" w:rsidRPr="0041172A">
        <w:rPr>
          <w:b/>
          <w:bCs/>
        </w:rPr>
        <w:t>. kr</w:t>
      </w:r>
      <w:r w:rsidR="00F07EA8" w:rsidRPr="0041172A">
        <w:t>. I forhold til 20</w:t>
      </w:r>
      <w:r w:rsidR="00A77DDB" w:rsidRPr="0041172A">
        <w:t>20</w:t>
      </w:r>
      <w:r w:rsidR="00F07EA8" w:rsidRPr="0041172A">
        <w:t xml:space="preserve"> er det en fremgang på </w:t>
      </w:r>
      <w:r w:rsidR="00A77DDB" w:rsidRPr="0041172A">
        <w:t>1</w:t>
      </w:r>
      <w:r w:rsidR="00E710C7" w:rsidRPr="0041172A">
        <w:t>.</w:t>
      </w:r>
      <w:r w:rsidR="00A77DDB" w:rsidRPr="0041172A">
        <w:t>450 mio</w:t>
      </w:r>
      <w:r w:rsidR="009E5354" w:rsidRPr="0041172A">
        <w:t xml:space="preserve">. kr. </w:t>
      </w:r>
      <w:r w:rsidR="00F07EA8" w:rsidRPr="0041172A">
        <w:t xml:space="preserve">Resultatet før skat </w:t>
      </w:r>
      <w:r w:rsidR="004857CC" w:rsidRPr="0041172A">
        <w:t xml:space="preserve">er </w:t>
      </w:r>
      <w:r w:rsidR="00E710C7" w:rsidRPr="0041172A">
        <w:rPr>
          <w:b/>
          <w:bCs/>
        </w:rPr>
        <w:t>1.033</w:t>
      </w:r>
      <w:r w:rsidR="00F07EA8" w:rsidRPr="0041172A">
        <w:rPr>
          <w:b/>
          <w:bCs/>
        </w:rPr>
        <w:t xml:space="preserve"> mio. </w:t>
      </w:r>
      <w:r w:rsidR="00CD3F31" w:rsidRPr="0041172A">
        <w:rPr>
          <w:b/>
          <w:bCs/>
        </w:rPr>
        <w:t>kr</w:t>
      </w:r>
      <w:r w:rsidR="004857CC" w:rsidRPr="0041172A">
        <w:t>.</w:t>
      </w:r>
      <w:r w:rsidR="00285108" w:rsidRPr="0041172A">
        <w:t xml:space="preserve"> hvilket er </w:t>
      </w:r>
      <w:r w:rsidR="00E710C7" w:rsidRPr="0041172A">
        <w:t>314</w:t>
      </w:r>
      <w:r w:rsidR="00285108" w:rsidRPr="0041172A">
        <w:t xml:space="preserve"> mio. kr. højere end sidste år</w:t>
      </w:r>
      <w:r w:rsidR="00E83D54" w:rsidRPr="0041172A">
        <w:t xml:space="preserve">, </w:t>
      </w:r>
      <w:r w:rsidR="00E710C7" w:rsidRPr="0041172A">
        <w:t>svarende til</w:t>
      </w:r>
      <w:r w:rsidR="0006666C" w:rsidRPr="0041172A">
        <w:t xml:space="preserve"> en </w:t>
      </w:r>
      <w:r w:rsidR="00285108" w:rsidRPr="0041172A">
        <w:t xml:space="preserve">stigning på </w:t>
      </w:r>
      <w:r w:rsidR="00E710C7" w:rsidRPr="0041172A">
        <w:t>43</w:t>
      </w:r>
      <w:r w:rsidR="00285108" w:rsidRPr="0041172A">
        <w:t>,</w:t>
      </w:r>
      <w:r w:rsidR="00E710C7" w:rsidRPr="0041172A">
        <w:t>7</w:t>
      </w:r>
      <w:r w:rsidR="00285108" w:rsidRPr="0041172A">
        <w:t xml:space="preserve"> %.</w:t>
      </w:r>
    </w:p>
    <w:p w14:paraId="6BB6E60A" w14:textId="3A5A1C3F" w:rsidR="0006666C" w:rsidRPr="0041172A" w:rsidRDefault="0006666C" w:rsidP="00F07EA8">
      <w:r w:rsidRPr="0041172A">
        <w:t xml:space="preserve">I </w:t>
      </w:r>
      <w:r w:rsidR="00E66C8D" w:rsidRPr="0041172A">
        <w:t>koncernens største selskab</w:t>
      </w:r>
      <w:r w:rsidR="00DC7A50">
        <w:t>,</w:t>
      </w:r>
      <w:r w:rsidR="00E66C8D" w:rsidRPr="0041172A">
        <w:t xml:space="preserve"> </w:t>
      </w:r>
      <w:r w:rsidRPr="0041172A">
        <w:t>Bygma A/S</w:t>
      </w:r>
      <w:r w:rsidR="00DC7A50">
        <w:t>,</w:t>
      </w:r>
      <w:r w:rsidRPr="0041172A">
        <w:t xml:space="preserve"> udgør nettoomsætningen </w:t>
      </w:r>
      <w:r w:rsidR="00E66C8D" w:rsidRPr="0041172A">
        <w:t>7</w:t>
      </w:r>
      <w:r w:rsidRPr="0041172A">
        <w:t>.</w:t>
      </w:r>
      <w:r w:rsidR="00E52501" w:rsidRPr="0041172A">
        <w:t>9</w:t>
      </w:r>
      <w:r w:rsidR="00E66C8D" w:rsidRPr="0041172A">
        <w:t>12</w:t>
      </w:r>
      <w:r w:rsidRPr="0041172A">
        <w:t xml:space="preserve"> mio. kr., hvilket er </w:t>
      </w:r>
      <w:r w:rsidR="00E66C8D" w:rsidRPr="0041172A">
        <w:t>943</w:t>
      </w:r>
      <w:r w:rsidRPr="0041172A">
        <w:t xml:space="preserve"> mio. kr. højere end sidste år. Resultatet før skat i Bygma A/S er </w:t>
      </w:r>
      <w:r w:rsidR="00E66C8D" w:rsidRPr="0041172A">
        <w:t xml:space="preserve">670 </w:t>
      </w:r>
      <w:r w:rsidRPr="0041172A">
        <w:t xml:space="preserve">mio. kr., hvilket er </w:t>
      </w:r>
      <w:r w:rsidR="00E66C8D" w:rsidRPr="0041172A">
        <w:t>36</w:t>
      </w:r>
      <w:r w:rsidRPr="0041172A">
        <w:t>,</w:t>
      </w:r>
      <w:r w:rsidR="00D75483">
        <w:t xml:space="preserve">4 </w:t>
      </w:r>
      <w:r w:rsidRPr="0041172A">
        <w:t xml:space="preserve">% højere end sidste år. </w:t>
      </w:r>
    </w:p>
    <w:p w14:paraId="4FF8A9FD" w14:textId="14CE15AB" w:rsidR="00FF39D6" w:rsidRDefault="00A42560" w:rsidP="003532E4">
      <w:r w:rsidRPr="00E83D54">
        <w:rPr>
          <w:b/>
        </w:rPr>
        <w:t>Fremtid og</w:t>
      </w:r>
      <w:r w:rsidR="00FF39D6" w:rsidRPr="00E83D54">
        <w:rPr>
          <w:b/>
        </w:rPr>
        <w:t xml:space="preserve"> </w:t>
      </w:r>
      <w:r w:rsidRPr="00E83D54">
        <w:rPr>
          <w:b/>
        </w:rPr>
        <w:t>forventninger</w:t>
      </w:r>
      <w:r w:rsidR="00FF39D6" w:rsidRPr="00E83D54">
        <w:rPr>
          <w:b/>
        </w:rPr>
        <w:br/>
      </w:r>
      <w:r w:rsidR="00FF39D6" w:rsidRPr="00E83D54">
        <w:t>”Vi oplever en vis usikkerhed om, hvordan krigen i Ukraine og efterdønningerne af Corona-pandemien</w:t>
      </w:r>
      <w:r w:rsidR="00066EAF">
        <w:t xml:space="preserve"> fremover</w:t>
      </w:r>
      <w:r w:rsidR="00FF39D6" w:rsidRPr="00E83D54">
        <w:t xml:space="preserve"> vil påvirke</w:t>
      </w:r>
      <w:r w:rsidR="00AD223A">
        <w:t xml:space="preserve"> aktiviteten i byggeriet og</w:t>
      </w:r>
      <w:r w:rsidR="00FF39D6" w:rsidRPr="00E83D54">
        <w:t xml:space="preserve"> </w:t>
      </w:r>
      <w:r w:rsidR="00066EAF">
        <w:t>forsyningskæderne for byggematerialer</w:t>
      </w:r>
      <w:r w:rsidR="00FF39D6" w:rsidRPr="00E83D54">
        <w:t>,</w:t>
      </w:r>
      <w:r w:rsidR="0009003D" w:rsidRPr="00E83D54">
        <w:t>”</w:t>
      </w:r>
      <w:r w:rsidR="00FF39D6" w:rsidRPr="00E83D54">
        <w:t xml:space="preserve"> siger Peter H. Christiansen videre. ”Vi forventer, at byggeriets aktivitetsniveau </w:t>
      </w:r>
      <w:r w:rsidR="0009003D" w:rsidRPr="00E83D54">
        <w:t>vil falde</w:t>
      </w:r>
      <w:r w:rsidR="00FF39D6" w:rsidRPr="00E83D54">
        <w:t xml:space="preserve"> </w:t>
      </w:r>
      <w:r w:rsidR="003532E4" w:rsidRPr="00E83D54">
        <w:t xml:space="preserve">hen mod slutningen af 2022 og måske </w:t>
      </w:r>
      <w:r w:rsidR="0009003D" w:rsidRPr="00E83D54">
        <w:t>ind</w:t>
      </w:r>
      <w:r w:rsidR="003532E4" w:rsidRPr="00E83D54">
        <w:t xml:space="preserve"> i 2023. </w:t>
      </w:r>
      <w:r w:rsidR="00F732C6">
        <w:t>Hele branchen</w:t>
      </w:r>
      <w:r w:rsidR="003532E4" w:rsidRPr="00E83D54">
        <w:t xml:space="preserve"> </w:t>
      </w:r>
      <w:r w:rsidR="0009003D" w:rsidRPr="00E83D54">
        <w:t xml:space="preserve">vil formentlig fortsat </w:t>
      </w:r>
      <w:r w:rsidR="00066EAF">
        <w:t>være</w:t>
      </w:r>
      <w:r w:rsidR="0009003D" w:rsidRPr="00E83D54">
        <w:t xml:space="preserve"> påvirket af </w:t>
      </w:r>
      <w:r w:rsidR="00ED1B06">
        <w:t xml:space="preserve">mindre volumener af </w:t>
      </w:r>
      <w:r w:rsidR="0009003D" w:rsidRPr="00E83D54">
        <w:t>tilgængeligt træ</w:t>
      </w:r>
      <w:r w:rsidR="00977F0B">
        <w:t xml:space="preserve"> og materialer</w:t>
      </w:r>
      <w:r w:rsidR="0009003D" w:rsidRPr="00E83D54">
        <w:t xml:space="preserve">, øgede omkostninger til </w:t>
      </w:r>
      <w:r w:rsidR="003532E4" w:rsidRPr="00E83D54">
        <w:t>energi og logistik</w:t>
      </w:r>
      <w:r w:rsidR="0009003D" w:rsidRPr="00E83D54">
        <w:t xml:space="preserve"> </w:t>
      </w:r>
      <w:r w:rsidR="00F82FA2">
        <w:t>samt</w:t>
      </w:r>
      <w:r w:rsidR="0009003D" w:rsidRPr="00E83D54">
        <w:t xml:space="preserve"> </w:t>
      </w:r>
      <w:r w:rsidR="003532E4" w:rsidRPr="00E83D54">
        <w:t>stigende renter</w:t>
      </w:r>
      <w:r w:rsidR="0009003D" w:rsidRPr="00E83D54">
        <w:t>”</w:t>
      </w:r>
      <w:r w:rsidR="003532E4" w:rsidRPr="00E83D54">
        <w:t xml:space="preserve">. </w:t>
      </w:r>
    </w:p>
    <w:p w14:paraId="227D2983" w14:textId="234B56E0" w:rsidR="00311DFC" w:rsidRDefault="004D507F" w:rsidP="0041172A">
      <w:r>
        <w:rPr>
          <w:b/>
        </w:rPr>
        <w:t>Gearet til vækst</w:t>
      </w:r>
      <w:r w:rsidR="00311DFC" w:rsidRPr="0041172A">
        <w:t xml:space="preserve"> </w:t>
      </w:r>
      <w:r w:rsidR="00311DFC">
        <w:br/>
      </w:r>
      <w:r w:rsidR="0041172A" w:rsidRPr="0041172A">
        <w:t xml:space="preserve">Bygma Gruppen </w:t>
      </w:r>
      <w:r w:rsidR="00311DFC">
        <w:t>er dog</w:t>
      </w:r>
      <w:r w:rsidR="00F82FA2">
        <w:t xml:space="preserve"> </w:t>
      </w:r>
      <w:r w:rsidR="00311DFC">
        <w:t>gearet til yderligere</w:t>
      </w:r>
      <w:r w:rsidR="0041172A" w:rsidRPr="0041172A">
        <w:t xml:space="preserve"> vækst og</w:t>
      </w:r>
      <w:r w:rsidR="0041172A">
        <w:t xml:space="preserve"> i</w:t>
      </w:r>
      <w:r w:rsidR="00F82FA2">
        <w:t>gen i</w:t>
      </w:r>
      <w:r w:rsidR="0041172A">
        <w:t xml:space="preserve"> 2021 er markedspositionen blevet styrket gennem både </w:t>
      </w:r>
      <w:r w:rsidR="00311DFC">
        <w:t xml:space="preserve">opkøb og organisk vækst. </w:t>
      </w:r>
      <w:r w:rsidR="00F82FA2">
        <w:t xml:space="preserve">Bl.a. er to nye forretninger i </w:t>
      </w:r>
      <w:proofErr w:type="spellStart"/>
      <w:r w:rsidR="00311DFC">
        <w:t>hhv</w:t>
      </w:r>
      <w:proofErr w:type="spellEnd"/>
      <w:r w:rsidR="00311DFC">
        <w:t xml:space="preserve"> Nykøbing Falster og </w:t>
      </w:r>
      <w:proofErr w:type="spellStart"/>
      <w:r w:rsidR="00311DFC">
        <w:t>Hemavan</w:t>
      </w:r>
      <w:proofErr w:type="spellEnd"/>
      <w:r w:rsidR="00311DFC">
        <w:t xml:space="preserve"> i </w:t>
      </w:r>
      <w:r w:rsidR="00F82FA2">
        <w:t>Nords</w:t>
      </w:r>
      <w:r w:rsidR="00311DFC">
        <w:t>verige</w:t>
      </w:r>
      <w:r w:rsidR="00F82FA2">
        <w:t xml:space="preserve"> kommet til</w:t>
      </w:r>
      <w:r w:rsidR="00601263">
        <w:t xml:space="preserve">, ligesom to nye </w:t>
      </w:r>
      <w:r w:rsidR="00F82FA2">
        <w:t>DG</w:t>
      </w:r>
      <w:r w:rsidR="00601263">
        <w:t>NB</w:t>
      </w:r>
      <w:r w:rsidR="00F82FA2">
        <w:t xml:space="preserve">-certificerede trælaster- og logistikcentre </w:t>
      </w:r>
      <w:r w:rsidR="00601263">
        <w:t xml:space="preserve">er under opførelse </w:t>
      </w:r>
      <w:r w:rsidR="00F82FA2">
        <w:t>i hhv</w:t>
      </w:r>
      <w:r w:rsidR="00DC7A50">
        <w:t>.</w:t>
      </w:r>
      <w:r w:rsidR="00F82FA2">
        <w:t xml:space="preserve"> Thisted og Svendborg</w:t>
      </w:r>
      <w:r w:rsidR="00601263">
        <w:t xml:space="preserve">. </w:t>
      </w:r>
      <w:r w:rsidR="007257D6">
        <w:t>Det store</w:t>
      </w:r>
      <w:r w:rsidR="00601263">
        <w:t xml:space="preserve"> nye flagskib</w:t>
      </w:r>
      <w:r w:rsidR="00DC7A50">
        <w:t>,</w:t>
      </w:r>
      <w:r w:rsidR="00601263">
        <w:t xml:space="preserve"> Bygma København</w:t>
      </w:r>
      <w:r w:rsidR="00DC7A50">
        <w:t>,</w:t>
      </w:r>
      <w:r w:rsidR="00601263">
        <w:t xml:space="preserve"> </w:t>
      </w:r>
      <w:r w:rsidR="00977F0B">
        <w:t xml:space="preserve">tæt ved Kløvermarken </w:t>
      </w:r>
      <w:r w:rsidR="007257D6">
        <w:t xml:space="preserve">står </w:t>
      </w:r>
      <w:r w:rsidR="00601263">
        <w:t>foran snarlig åbning</w:t>
      </w:r>
      <w:r w:rsidR="007257D6">
        <w:t xml:space="preserve">. Og </w:t>
      </w:r>
      <w:r w:rsidR="00601263">
        <w:t xml:space="preserve">i Island og Sverige er der etableret nye butikker, der skal understøtte den fremtidige udvikling. </w:t>
      </w:r>
    </w:p>
    <w:p w14:paraId="6309A8A6" w14:textId="6ABBCF9E" w:rsidR="00817B5A" w:rsidRPr="00817B5A" w:rsidRDefault="00A13603">
      <w:r>
        <w:rPr>
          <w:b/>
        </w:rPr>
        <w:lastRenderedPageBreak/>
        <w:t>N</w:t>
      </w:r>
      <w:r w:rsidR="00631564">
        <w:rPr>
          <w:b/>
        </w:rPr>
        <w:t xml:space="preserve">ærmere oplysninger, kontakt venligst: </w:t>
      </w:r>
      <w:r w:rsidR="00631564">
        <w:rPr>
          <w:b/>
        </w:rPr>
        <w:br/>
      </w:r>
      <w:r w:rsidR="00631564">
        <w:t xml:space="preserve">Adm. direktør </w:t>
      </w:r>
      <w:r w:rsidR="0072129E">
        <w:t xml:space="preserve">Peter H. Christiansen: </w:t>
      </w:r>
      <w:hyperlink r:id="rId5" w:history="1">
        <w:r w:rsidR="0072129E" w:rsidRPr="000C1D10">
          <w:rPr>
            <w:rStyle w:val="Hyperlink"/>
          </w:rPr>
          <w:t>phc@bygma.dk</w:t>
        </w:r>
      </w:hyperlink>
      <w:r w:rsidR="0072129E">
        <w:br/>
        <w:t>Kommunikations</w:t>
      </w:r>
      <w:r w:rsidR="005D4EDC">
        <w:t>rådgiver</w:t>
      </w:r>
      <w:r w:rsidR="0072129E">
        <w:t xml:space="preserve"> Jytte Wolff-Sneedorff: </w:t>
      </w:r>
      <w:hyperlink r:id="rId6" w:history="1">
        <w:r w:rsidR="0072129E" w:rsidRPr="000C1D10">
          <w:rPr>
            <w:rStyle w:val="Hyperlink"/>
          </w:rPr>
          <w:t>jws@bygma.dk</w:t>
        </w:r>
      </w:hyperlink>
    </w:p>
    <w:p w14:paraId="0497C5BF" w14:textId="165D1476" w:rsidR="00F242EE" w:rsidRDefault="00817B5A" w:rsidP="00F242EE">
      <w:pPr>
        <w:rPr>
          <w:rFonts w:cs="Arial"/>
          <w:i/>
          <w:iCs/>
        </w:rPr>
      </w:pPr>
      <w:r>
        <w:rPr>
          <w:b/>
          <w:i/>
          <w:sz w:val="20"/>
          <w:szCs w:val="20"/>
        </w:rPr>
        <w:br/>
      </w:r>
      <w:bookmarkStart w:id="0" w:name="_Hlk7097326"/>
      <w:r w:rsidR="00FE721F">
        <w:rPr>
          <w:b/>
          <w:i/>
          <w:sz w:val="20"/>
          <w:szCs w:val="20"/>
        </w:rPr>
        <w:br/>
      </w:r>
      <w:r w:rsidR="00A13603" w:rsidRPr="00613376">
        <w:rPr>
          <w:b/>
          <w:i/>
          <w:sz w:val="20"/>
          <w:szCs w:val="20"/>
        </w:rPr>
        <w:t>Fakta om Bygma Gruppen</w:t>
      </w:r>
      <w:r w:rsidR="00B56336">
        <w:rPr>
          <w:b/>
          <w:i/>
          <w:sz w:val="20"/>
          <w:szCs w:val="20"/>
        </w:rPr>
        <w:t xml:space="preserve"> A/S</w:t>
      </w:r>
      <w:r>
        <w:rPr>
          <w:b/>
          <w:i/>
          <w:sz w:val="20"/>
          <w:szCs w:val="20"/>
        </w:rPr>
        <w:t>:</w:t>
      </w:r>
      <w:r w:rsidR="00613376" w:rsidRPr="00613376">
        <w:rPr>
          <w:b/>
          <w:i/>
          <w:sz w:val="20"/>
          <w:szCs w:val="20"/>
        </w:rPr>
        <w:br/>
      </w:r>
      <w:r w:rsidR="00F242EE" w:rsidRPr="00AA1E68">
        <w:rPr>
          <w:rFonts w:cs="Arial"/>
          <w:i/>
          <w:iCs/>
        </w:rPr>
        <w:t>Bygma Gruppen</w:t>
      </w:r>
      <w:r w:rsidR="00B56336" w:rsidRPr="00AA1E68">
        <w:rPr>
          <w:rFonts w:cs="Arial"/>
          <w:i/>
          <w:iCs/>
        </w:rPr>
        <w:t xml:space="preserve"> A/S</w:t>
      </w:r>
      <w:r w:rsidR="00F242EE" w:rsidRPr="00AA1E68">
        <w:rPr>
          <w:rFonts w:cs="Arial"/>
          <w:i/>
          <w:iCs/>
        </w:rPr>
        <w:t xml:space="preserve"> beskæftiger ca. 2.</w:t>
      </w:r>
      <w:r w:rsidR="009A534F">
        <w:rPr>
          <w:rFonts w:cs="Arial"/>
          <w:i/>
          <w:iCs/>
        </w:rPr>
        <w:t>6</w:t>
      </w:r>
      <w:r w:rsidR="00F242EE" w:rsidRPr="00AA1E68">
        <w:rPr>
          <w:rFonts w:cs="Arial"/>
          <w:i/>
          <w:iCs/>
        </w:rPr>
        <w:t xml:space="preserve">00 medarbejdere fordelt på </w:t>
      </w:r>
      <w:r w:rsidR="001376DD">
        <w:rPr>
          <w:rFonts w:cs="Arial"/>
          <w:i/>
          <w:iCs/>
        </w:rPr>
        <w:t>mere end</w:t>
      </w:r>
      <w:r w:rsidR="00F242EE" w:rsidRPr="00AA1E68">
        <w:rPr>
          <w:rFonts w:cs="Arial"/>
          <w:i/>
          <w:iCs/>
        </w:rPr>
        <w:t xml:space="preserve"> 100 forretningsenheder i hele Norden. Koncernen er den største danskejede leverandør til byggeriet med aktiviteter inden for salg og distribution af byggematerialer til både større og mindre byggerier. Bygma Gruppen </w:t>
      </w:r>
      <w:r w:rsidR="00B56336" w:rsidRPr="00AA1E68">
        <w:rPr>
          <w:rFonts w:cs="Arial"/>
          <w:i/>
          <w:iCs/>
        </w:rPr>
        <w:t xml:space="preserve">A/S </w:t>
      </w:r>
      <w:r w:rsidR="00F242EE" w:rsidRPr="00AA1E68">
        <w:rPr>
          <w:rFonts w:cs="Arial"/>
          <w:i/>
          <w:iCs/>
        </w:rPr>
        <w:t>oms</w:t>
      </w:r>
      <w:r w:rsidR="00AC1338" w:rsidRPr="00AA1E68">
        <w:rPr>
          <w:rFonts w:cs="Arial"/>
          <w:i/>
          <w:iCs/>
        </w:rPr>
        <w:t>atte i 20</w:t>
      </w:r>
      <w:r w:rsidR="00B16B2D">
        <w:rPr>
          <w:rFonts w:cs="Arial"/>
          <w:i/>
          <w:iCs/>
        </w:rPr>
        <w:t>2</w:t>
      </w:r>
      <w:r w:rsidR="00C01D2A">
        <w:rPr>
          <w:rFonts w:cs="Arial"/>
          <w:i/>
          <w:iCs/>
        </w:rPr>
        <w:t>1</w:t>
      </w:r>
      <w:r w:rsidR="00AC1338" w:rsidRPr="00AA1E68">
        <w:rPr>
          <w:rFonts w:cs="Arial"/>
          <w:i/>
          <w:iCs/>
        </w:rPr>
        <w:t xml:space="preserve"> for</w:t>
      </w:r>
      <w:r w:rsidR="00F242EE" w:rsidRPr="00AA1E68">
        <w:rPr>
          <w:rFonts w:cs="Arial"/>
          <w:i/>
          <w:iCs/>
        </w:rPr>
        <w:t xml:space="preserve"> </w:t>
      </w:r>
      <w:r w:rsidR="00AC1338" w:rsidRPr="00AA1E68">
        <w:rPr>
          <w:rFonts w:cs="Arial"/>
          <w:i/>
          <w:iCs/>
        </w:rPr>
        <w:br/>
      </w:r>
      <w:r w:rsidR="00C01D2A">
        <w:rPr>
          <w:rFonts w:cs="Arial"/>
          <w:i/>
          <w:iCs/>
        </w:rPr>
        <w:t xml:space="preserve">10,8 </w:t>
      </w:r>
      <w:r w:rsidR="00F242EE" w:rsidRPr="00AA1E68">
        <w:rPr>
          <w:rFonts w:cs="Arial"/>
          <w:i/>
          <w:iCs/>
        </w:rPr>
        <w:t xml:space="preserve">mia. </w:t>
      </w:r>
      <w:r w:rsidR="00CD3F31" w:rsidRPr="00AA1E68">
        <w:rPr>
          <w:rFonts w:cs="Arial"/>
          <w:i/>
          <w:iCs/>
        </w:rPr>
        <w:t>kr</w:t>
      </w:r>
      <w:r w:rsidR="00F242EE" w:rsidRPr="00AA1E68">
        <w:rPr>
          <w:rFonts w:cs="Arial"/>
          <w:i/>
          <w:iCs/>
        </w:rPr>
        <w:t>.</w:t>
      </w:r>
    </w:p>
    <w:bookmarkEnd w:id="0"/>
    <w:p w14:paraId="3B2027AD" w14:textId="5FB029ED" w:rsidR="00F242EE" w:rsidRDefault="00F242EE">
      <w:pPr>
        <w:rPr>
          <w:b/>
          <w:noProof/>
          <w:color w:val="FF0000"/>
        </w:rPr>
      </w:pPr>
    </w:p>
    <w:p w14:paraId="5CEDD364" w14:textId="500583CC" w:rsidR="001603CF" w:rsidRDefault="001603CF">
      <w:pPr>
        <w:rPr>
          <w:b/>
          <w:noProof/>
          <w:color w:val="FF0000"/>
        </w:rPr>
      </w:pPr>
    </w:p>
    <w:p w14:paraId="731863C6" w14:textId="7E9DF8D4" w:rsidR="001323D4" w:rsidRPr="00F21CB4" w:rsidRDefault="001A20B8">
      <w:pPr>
        <w:rPr>
          <w:b/>
          <w:color w:val="FF0000"/>
        </w:rPr>
      </w:pPr>
      <w:r>
        <w:rPr>
          <w:b/>
          <w:noProof/>
          <w:color w:val="FF0000"/>
        </w:rPr>
        <w:drawing>
          <wp:anchor distT="0" distB="0" distL="114300" distR="114300" simplePos="0" relativeHeight="251658240" behindDoc="0" locked="0" layoutInCell="1" allowOverlap="1" wp14:anchorId="26897CA7" wp14:editId="333252D8">
            <wp:simplePos x="0" y="0"/>
            <wp:positionH relativeFrom="column">
              <wp:posOffset>50364</wp:posOffset>
            </wp:positionH>
            <wp:positionV relativeFrom="page">
              <wp:posOffset>4392892</wp:posOffset>
            </wp:positionV>
            <wp:extent cx="2418715" cy="3224530"/>
            <wp:effectExtent l="0" t="0" r="635"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8715" cy="3224530"/>
                    </a:xfrm>
                    <a:prstGeom prst="rect">
                      <a:avLst/>
                    </a:prstGeom>
                  </pic:spPr>
                </pic:pic>
              </a:graphicData>
            </a:graphic>
            <wp14:sizeRelH relativeFrom="margin">
              <wp14:pctWidth>0</wp14:pctWidth>
            </wp14:sizeRelH>
            <wp14:sizeRelV relativeFrom="margin">
              <wp14:pctHeight>0</wp14:pctHeight>
            </wp14:sizeRelV>
          </wp:anchor>
        </w:drawing>
      </w:r>
      <w:r w:rsidR="001323D4" w:rsidRPr="00EF2798">
        <w:rPr>
          <w:i/>
          <w:color w:val="000000" w:themeColor="text1"/>
          <w:u w:val="single"/>
        </w:rPr>
        <w:t>Billedtekst</w:t>
      </w:r>
      <w:r w:rsidR="001323D4" w:rsidRPr="00EF2798">
        <w:rPr>
          <w:i/>
          <w:color w:val="000000" w:themeColor="text1"/>
        </w:rPr>
        <w:t xml:space="preserve">: </w:t>
      </w:r>
      <w:r w:rsidR="007257D6">
        <w:rPr>
          <w:i/>
          <w:color w:val="000000" w:themeColor="text1"/>
        </w:rPr>
        <w:br/>
        <w:t>”</w:t>
      </w:r>
      <w:r w:rsidR="007257D6" w:rsidRPr="007257D6">
        <w:rPr>
          <w:bCs/>
          <w:i/>
          <w:iCs/>
        </w:rPr>
        <w:t>Koncernen står fortsat godt rustet til at imødegå den fremtidige konkurrencesituation</w:t>
      </w:r>
      <w:r w:rsidR="007257D6">
        <w:rPr>
          <w:bCs/>
          <w:i/>
          <w:iCs/>
        </w:rPr>
        <w:t>” siger</w:t>
      </w:r>
      <w:r w:rsidR="001323D4" w:rsidRPr="00EF2798">
        <w:rPr>
          <w:i/>
          <w:color w:val="000000" w:themeColor="text1"/>
        </w:rPr>
        <w:t xml:space="preserve"> Bygma Gruppens adm. direktør Peter H. Christiansen</w:t>
      </w:r>
    </w:p>
    <w:sectPr w:rsidR="001323D4" w:rsidRPr="00F21C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7410"/>
    <w:multiLevelType w:val="hybridMultilevel"/>
    <w:tmpl w:val="C9C6603A"/>
    <w:lvl w:ilvl="0" w:tplc="F32A3C08">
      <w:start w:val="1"/>
      <w:numFmt w:val="bullet"/>
      <w:lvlText w:val="•"/>
      <w:lvlJc w:val="left"/>
      <w:pPr>
        <w:tabs>
          <w:tab w:val="num" w:pos="720"/>
        </w:tabs>
        <w:ind w:left="720" w:hanging="360"/>
      </w:pPr>
      <w:rPr>
        <w:rFonts w:ascii="Arial" w:hAnsi="Arial" w:hint="default"/>
      </w:rPr>
    </w:lvl>
    <w:lvl w:ilvl="1" w:tplc="72D855AC" w:tentative="1">
      <w:start w:val="1"/>
      <w:numFmt w:val="bullet"/>
      <w:lvlText w:val="•"/>
      <w:lvlJc w:val="left"/>
      <w:pPr>
        <w:tabs>
          <w:tab w:val="num" w:pos="1440"/>
        </w:tabs>
        <w:ind w:left="1440" w:hanging="360"/>
      </w:pPr>
      <w:rPr>
        <w:rFonts w:ascii="Arial" w:hAnsi="Arial" w:hint="default"/>
      </w:rPr>
    </w:lvl>
    <w:lvl w:ilvl="2" w:tplc="22AA5B56" w:tentative="1">
      <w:start w:val="1"/>
      <w:numFmt w:val="bullet"/>
      <w:lvlText w:val="•"/>
      <w:lvlJc w:val="left"/>
      <w:pPr>
        <w:tabs>
          <w:tab w:val="num" w:pos="2160"/>
        </w:tabs>
        <w:ind w:left="2160" w:hanging="360"/>
      </w:pPr>
      <w:rPr>
        <w:rFonts w:ascii="Arial" w:hAnsi="Arial" w:hint="default"/>
      </w:rPr>
    </w:lvl>
    <w:lvl w:ilvl="3" w:tplc="6422DB0A" w:tentative="1">
      <w:start w:val="1"/>
      <w:numFmt w:val="bullet"/>
      <w:lvlText w:val="•"/>
      <w:lvlJc w:val="left"/>
      <w:pPr>
        <w:tabs>
          <w:tab w:val="num" w:pos="2880"/>
        </w:tabs>
        <w:ind w:left="2880" w:hanging="360"/>
      </w:pPr>
      <w:rPr>
        <w:rFonts w:ascii="Arial" w:hAnsi="Arial" w:hint="default"/>
      </w:rPr>
    </w:lvl>
    <w:lvl w:ilvl="4" w:tplc="A848841A" w:tentative="1">
      <w:start w:val="1"/>
      <w:numFmt w:val="bullet"/>
      <w:lvlText w:val="•"/>
      <w:lvlJc w:val="left"/>
      <w:pPr>
        <w:tabs>
          <w:tab w:val="num" w:pos="3600"/>
        </w:tabs>
        <w:ind w:left="3600" w:hanging="360"/>
      </w:pPr>
      <w:rPr>
        <w:rFonts w:ascii="Arial" w:hAnsi="Arial" w:hint="default"/>
      </w:rPr>
    </w:lvl>
    <w:lvl w:ilvl="5" w:tplc="58089AE2" w:tentative="1">
      <w:start w:val="1"/>
      <w:numFmt w:val="bullet"/>
      <w:lvlText w:val="•"/>
      <w:lvlJc w:val="left"/>
      <w:pPr>
        <w:tabs>
          <w:tab w:val="num" w:pos="4320"/>
        </w:tabs>
        <w:ind w:left="4320" w:hanging="360"/>
      </w:pPr>
      <w:rPr>
        <w:rFonts w:ascii="Arial" w:hAnsi="Arial" w:hint="default"/>
      </w:rPr>
    </w:lvl>
    <w:lvl w:ilvl="6" w:tplc="71B48AD6" w:tentative="1">
      <w:start w:val="1"/>
      <w:numFmt w:val="bullet"/>
      <w:lvlText w:val="•"/>
      <w:lvlJc w:val="left"/>
      <w:pPr>
        <w:tabs>
          <w:tab w:val="num" w:pos="5040"/>
        </w:tabs>
        <w:ind w:left="5040" w:hanging="360"/>
      </w:pPr>
      <w:rPr>
        <w:rFonts w:ascii="Arial" w:hAnsi="Arial" w:hint="default"/>
      </w:rPr>
    </w:lvl>
    <w:lvl w:ilvl="7" w:tplc="A5AC260A" w:tentative="1">
      <w:start w:val="1"/>
      <w:numFmt w:val="bullet"/>
      <w:lvlText w:val="•"/>
      <w:lvlJc w:val="left"/>
      <w:pPr>
        <w:tabs>
          <w:tab w:val="num" w:pos="5760"/>
        </w:tabs>
        <w:ind w:left="5760" w:hanging="360"/>
      </w:pPr>
      <w:rPr>
        <w:rFonts w:ascii="Arial" w:hAnsi="Arial" w:hint="default"/>
      </w:rPr>
    </w:lvl>
    <w:lvl w:ilvl="8" w:tplc="D3F4CE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A35FE5"/>
    <w:multiLevelType w:val="hybridMultilevel"/>
    <w:tmpl w:val="5C664728"/>
    <w:lvl w:ilvl="0" w:tplc="205E33A4">
      <w:start w:val="1"/>
      <w:numFmt w:val="bullet"/>
      <w:lvlText w:val="•"/>
      <w:lvlJc w:val="left"/>
      <w:pPr>
        <w:tabs>
          <w:tab w:val="num" w:pos="720"/>
        </w:tabs>
        <w:ind w:left="720" w:hanging="360"/>
      </w:pPr>
      <w:rPr>
        <w:rFonts w:ascii="Arial" w:hAnsi="Arial" w:hint="default"/>
      </w:rPr>
    </w:lvl>
    <w:lvl w:ilvl="1" w:tplc="7DAC921E" w:tentative="1">
      <w:start w:val="1"/>
      <w:numFmt w:val="bullet"/>
      <w:lvlText w:val="•"/>
      <w:lvlJc w:val="left"/>
      <w:pPr>
        <w:tabs>
          <w:tab w:val="num" w:pos="1440"/>
        </w:tabs>
        <w:ind w:left="1440" w:hanging="360"/>
      </w:pPr>
      <w:rPr>
        <w:rFonts w:ascii="Arial" w:hAnsi="Arial" w:hint="default"/>
      </w:rPr>
    </w:lvl>
    <w:lvl w:ilvl="2" w:tplc="00843E8C" w:tentative="1">
      <w:start w:val="1"/>
      <w:numFmt w:val="bullet"/>
      <w:lvlText w:val="•"/>
      <w:lvlJc w:val="left"/>
      <w:pPr>
        <w:tabs>
          <w:tab w:val="num" w:pos="2160"/>
        </w:tabs>
        <w:ind w:left="2160" w:hanging="360"/>
      </w:pPr>
      <w:rPr>
        <w:rFonts w:ascii="Arial" w:hAnsi="Arial" w:hint="default"/>
      </w:rPr>
    </w:lvl>
    <w:lvl w:ilvl="3" w:tplc="0104516C" w:tentative="1">
      <w:start w:val="1"/>
      <w:numFmt w:val="bullet"/>
      <w:lvlText w:val="•"/>
      <w:lvlJc w:val="left"/>
      <w:pPr>
        <w:tabs>
          <w:tab w:val="num" w:pos="2880"/>
        </w:tabs>
        <w:ind w:left="2880" w:hanging="360"/>
      </w:pPr>
      <w:rPr>
        <w:rFonts w:ascii="Arial" w:hAnsi="Arial" w:hint="default"/>
      </w:rPr>
    </w:lvl>
    <w:lvl w:ilvl="4" w:tplc="15DAA86E" w:tentative="1">
      <w:start w:val="1"/>
      <w:numFmt w:val="bullet"/>
      <w:lvlText w:val="•"/>
      <w:lvlJc w:val="left"/>
      <w:pPr>
        <w:tabs>
          <w:tab w:val="num" w:pos="3600"/>
        </w:tabs>
        <w:ind w:left="3600" w:hanging="360"/>
      </w:pPr>
      <w:rPr>
        <w:rFonts w:ascii="Arial" w:hAnsi="Arial" w:hint="default"/>
      </w:rPr>
    </w:lvl>
    <w:lvl w:ilvl="5" w:tplc="19D674D4" w:tentative="1">
      <w:start w:val="1"/>
      <w:numFmt w:val="bullet"/>
      <w:lvlText w:val="•"/>
      <w:lvlJc w:val="left"/>
      <w:pPr>
        <w:tabs>
          <w:tab w:val="num" w:pos="4320"/>
        </w:tabs>
        <w:ind w:left="4320" w:hanging="360"/>
      </w:pPr>
      <w:rPr>
        <w:rFonts w:ascii="Arial" w:hAnsi="Arial" w:hint="default"/>
      </w:rPr>
    </w:lvl>
    <w:lvl w:ilvl="6" w:tplc="8B3AD942" w:tentative="1">
      <w:start w:val="1"/>
      <w:numFmt w:val="bullet"/>
      <w:lvlText w:val="•"/>
      <w:lvlJc w:val="left"/>
      <w:pPr>
        <w:tabs>
          <w:tab w:val="num" w:pos="5040"/>
        </w:tabs>
        <w:ind w:left="5040" w:hanging="360"/>
      </w:pPr>
      <w:rPr>
        <w:rFonts w:ascii="Arial" w:hAnsi="Arial" w:hint="default"/>
      </w:rPr>
    </w:lvl>
    <w:lvl w:ilvl="7" w:tplc="380237AC" w:tentative="1">
      <w:start w:val="1"/>
      <w:numFmt w:val="bullet"/>
      <w:lvlText w:val="•"/>
      <w:lvlJc w:val="left"/>
      <w:pPr>
        <w:tabs>
          <w:tab w:val="num" w:pos="5760"/>
        </w:tabs>
        <w:ind w:left="5760" w:hanging="360"/>
      </w:pPr>
      <w:rPr>
        <w:rFonts w:ascii="Arial" w:hAnsi="Arial" w:hint="default"/>
      </w:rPr>
    </w:lvl>
    <w:lvl w:ilvl="8" w:tplc="13120A6C" w:tentative="1">
      <w:start w:val="1"/>
      <w:numFmt w:val="bullet"/>
      <w:lvlText w:val="•"/>
      <w:lvlJc w:val="left"/>
      <w:pPr>
        <w:tabs>
          <w:tab w:val="num" w:pos="6480"/>
        </w:tabs>
        <w:ind w:left="6480" w:hanging="360"/>
      </w:pPr>
      <w:rPr>
        <w:rFonts w:ascii="Arial" w:hAnsi="Arial" w:hint="default"/>
      </w:rPr>
    </w:lvl>
  </w:abstractNum>
  <w:num w:numId="1" w16cid:durableId="1465154189">
    <w:abstractNumId w:val="1"/>
  </w:num>
  <w:num w:numId="2" w16cid:durableId="12315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B2"/>
    <w:rsid w:val="0000010C"/>
    <w:rsid w:val="0000683E"/>
    <w:rsid w:val="00011519"/>
    <w:rsid w:val="00013564"/>
    <w:rsid w:val="00015897"/>
    <w:rsid w:val="00024645"/>
    <w:rsid w:val="00024BCD"/>
    <w:rsid w:val="00036225"/>
    <w:rsid w:val="00042E8D"/>
    <w:rsid w:val="00043410"/>
    <w:rsid w:val="00046377"/>
    <w:rsid w:val="0006344B"/>
    <w:rsid w:val="0006666C"/>
    <w:rsid w:val="0006695C"/>
    <w:rsid w:val="00066EAF"/>
    <w:rsid w:val="00080602"/>
    <w:rsid w:val="0008573C"/>
    <w:rsid w:val="00085745"/>
    <w:rsid w:val="0009003D"/>
    <w:rsid w:val="000A2C7C"/>
    <w:rsid w:val="000A32EE"/>
    <w:rsid w:val="000B04E5"/>
    <w:rsid w:val="000B1E0A"/>
    <w:rsid w:val="000B43FE"/>
    <w:rsid w:val="000C2410"/>
    <w:rsid w:val="000C6E1E"/>
    <w:rsid w:val="000D67D8"/>
    <w:rsid w:val="0011523A"/>
    <w:rsid w:val="00125AB2"/>
    <w:rsid w:val="001323D4"/>
    <w:rsid w:val="00133A80"/>
    <w:rsid w:val="001376DD"/>
    <w:rsid w:val="00143965"/>
    <w:rsid w:val="00151E71"/>
    <w:rsid w:val="00153266"/>
    <w:rsid w:val="001603CF"/>
    <w:rsid w:val="00170FBA"/>
    <w:rsid w:val="001751C1"/>
    <w:rsid w:val="001807FE"/>
    <w:rsid w:val="00184C09"/>
    <w:rsid w:val="00191748"/>
    <w:rsid w:val="00194544"/>
    <w:rsid w:val="00196C86"/>
    <w:rsid w:val="001A20B8"/>
    <w:rsid w:val="001A78DC"/>
    <w:rsid w:val="001B751E"/>
    <w:rsid w:val="001D34F3"/>
    <w:rsid w:val="001E45B7"/>
    <w:rsid w:val="001E7321"/>
    <w:rsid w:val="00204FC9"/>
    <w:rsid w:val="0020750D"/>
    <w:rsid w:val="00226813"/>
    <w:rsid w:val="002373F8"/>
    <w:rsid w:val="00241044"/>
    <w:rsid w:val="00243A61"/>
    <w:rsid w:val="002632AA"/>
    <w:rsid w:val="00282204"/>
    <w:rsid w:val="0028421B"/>
    <w:rsid w:val="00285108"/>
    <w:rsid w:val="00285A4C"/>
    <w:rsid w:val="002B502B"/>
    <w:rsid w:val="002C2D37"/>
    <w:rsid w:val="002C402D"/>
    <w:rsid w:val="002D1375"/>
    <w:rsid w:val="002D1564"/>
    <w:rsid w:val="0030694E"/>
    <w:rsid w:val="00311DFC"/>
    <w:rsid w:val="00317EBE"/>
    <w:rsid w:val="00335300"/>
    <w:rsid w:val="003370D3"/>
    <w:rsid w:val="00342D89"/>
    <w:rsid w:val="00345635"/>
    <w:rsid w:val="00346AD0"/>
    <w:rsid w:val="003523D0"/>
    <w:rsid w:val="003532E4"/>
    <w:rsid w:val="0037057D"/>
    <w:rsid w:val="0037631D"/>
    <w:rsid w:val="0039625D"/>
    <w:rsid w:val="003A1B38"/>
    <w:rsid w:val="003A6BDE"/>
    <w:rsid w:val="003B2072"/>
    <w:rsid w:val="003B59E8"/>
    <w:rsid w:val="003D44CA"/>
    <w:rsid w:val="003E5CB5"/>
    <w:rsid w:val="003E6D78"/>
    <w:rsid w:val="003F0CD7"/>
    <w:rsid w:val="0041172A"/>
    <w:rsid w:val="0042654B"/>
    <w:rsid w:val="00435AB6"/>
    <w:rsid w:val="004366C3"/>
    <w:rsid w:val="004459B3"/>
    <w:rsid w:val="00450488"/>
    <w:rsid w:val="00450E01"/>
    <w:rsid w:val="00476074"/>
    <w:rsid w:val="00481B3B"/>
    <w:rsid w:val="004857CC"/>
    <w:rsid w:val="004864B7"/>
    <w:rsid w:val="00486CA2"/>
    <w:rsid w:val="00491624"/>
    <w:rsid w:val="004A2670"/>
    <w:rsid w:val="004C3E7B"/>
    <w:rsid w:val="004C4DF9"/>
    <w:rsid w:val="004C7A73"/>
    <w:rsid w:val="004D396D"/>
    <w:rsid w:val="004D507F"/>
    <w:rsid w:val="004E2CBB"/>
    <w:rsid w:val="004F1398"/>
    <w:rsid w:val="004F21BA"/>
    <w:rsid w:val="00514CAB"/>
    <w:rsid w:val="00515907"/>
    <w:rsid w:val="00554AC3"/>
    <w:rsid w:val="00557AC6"/>
    <w:rsid w:val="00587801"/>
    <w:rsid w:val="005943A8"/>
    <w:rsid w:val="005A6A43"/>
    <w:rsid w:val="005B34B6"/>
    <w:rsid w:val="005C6F54"/>
    <w:rsid w:val="005D4EDC"/>
    <w:rsid w:val="005E1328"/>
    <w:rsid w:val="00601263"/>
    <w:rsid w:val="006117C3"/>
    <w:rsid w:val="00611C74"/>
    <w:rsid w:val="00613376"/>
    <w:rsid w:val="00631564"/>
    <w:rsid w:val="0064023A"/>
    <w:rsid w:val="006412C5"/>
    <w:rsid w:val="006458D2"/>
    <w:rsid w:val="006459C8"/>
    <w:rsid w:val="006557FF"/>
    <w:rsid w:val="006655D4"/>
    <w:rsid w:val="006657C1"/>
    <w:rsid w:val="00671384"/>
    <w:rsid w:val="00684E47"/>
    <w:rsid w:val="0069600F"/>
    <w:rsid w:val="006A467C"/>
    <w:rsid w:val="006A486D"/>
    <w:rsid w:val="006A4FAE"/>
    <w:rsid w:val="006B2B93"/>
    <w:rsid w:val="006D227B"/>
    <w:rsid w:val="006E6741"/>
    <w:rsid w:val="006F35A3"/>
    <w:rsid w:val="007010F9"/>
    <w:rsid w:val="00706AB1"/>
    <w:rsid w:val="0071118C"/>
    <w:rsid w:val="00711748"/>
    <w:rsid w:val="0072129E"/>
    <w:rsid w:val="007257D6"/>
    <w:rsid w:val="00725BE7"/>
    <w:rsid w:val="007269F4"/>
    <w:rsid w:val="00727093"/>
    <w:rsid w:val="0073070C"/>
    <w:rsid w:val="0073286D"/>
    <w:rsid w:val="00735959"/>
    <w:rsid w:val="00744362"/>
    <w:rsid w:val="0075230C"/>
    <w:rsid w:val="00763939"/>
    <w:rsid w:val="00771744"/>
    <w:rsid w:val="00780B4D"/>
    <w:rsid w:val="007921E7"/>
    <w:rsid w:val="007940CE"/>
    <w:rsid w:val="00794112"/>
    <w:rsid w:val="007B746A"/>
    <w:rsid w:val="007C255E"/>
    <w:rsid w:val="007C46DF"/>
    <w:rsid w:val="007E0E48"/>
    <w:rsid w:val="0080557A"/>
    <w:rsid w:val="008156DD"/>
    <w:rsid w:val="00817B5A"/>
    <w:rsid w:val="008336A4"/>
    <w:rsid w:val="00840127"/>
    <w:rsid w:val="00841DC9"/>
    <w:rsid w:val="00862C87"/>
    <w:rsid w:val="00872BE0"/>
    <w:rsid w:val="008737AE"/>
    <w:rsid w:val="0087603D"/>
    <w:rsid w:val="00876A79"/>
    <w:rsid w:val="008938F6"/>
    <w:rsid w:val="00897833"/>
    <w:rsid w:val="008A139F"/>
    <w:rsid w:val="008D5951"/>
    <w:rsid w:val="008D5E83"/>
    <w:rsid w:val="008D5FA9"/>
    <w:rsid w:val="008D5FEE"/>
    <w:rsid w:val="00901BFC"/>
    <w:rsid w:val="00902E6A"/>
    <w:rsid w:val="00904593"/>
    <w:rsid w:val="00905B99"/>
    <w:rsid w:val="00910E31"/>
    <w:rsid w:val="009174BD"/>
    <w:rsid w:val="00925C7D"/>
    <w:rsid w:val="00940D46"/>
    <w:rsid w:val="00953BDC"/>
    <w:rsid w:val="0095615C"/>
    <w:rsid w:val="009601AF"/>
    <w:rsid w:val="00970500"/>
    <w:rsid w:val="00973171"/>
    <w:rsid w:val="00977F0B"/>
    <w:rsid w:val="00985DBD"/>
    <w:rsid w:val="00993B77"/>
    <w:rsid w:val="009A3B59"/>
    <w:rsid w:val="009A534F"/>
    <w:rsid w:val="009A5505"/>
    <w:rsid w:val="009B2973"/>
    <w:rsid w:val="009B5CEF"/>
    <w:rsid w:val="009C0F71"/>
    <w:rsid w:val="009D09D5"/>
    <w:rsid w:val="009D162B"/>
    <w:rsid w:val="009D2F91"/>
    <w:rsid w:val="009D4C2D"/>
    <w:rsid w:val="009D5C2B"/>
    <w:rsid w:val="009D5D7F"/>
    <w:rsid w:val="009D7E10"/>
    <w:rsid w:val="009E1D37"/>
    <w:rsid w:val="009E41D9"/>
    <w:rsid w:val="009E5354"/>
    <w:rsid w:val="009F42CB"/>
    <w:rsid w:val="00A03AC7"/>
    <w:rsid w:val="00A10961"/>
    <w:rsid w:val="00A13603"/>
    <w:rsid w:val="00A237E2"/>
    <w:rsid w:val="00A278EB"/>
    <w:rsid w:val="00A32853"/>
    <w:rsid w:val="00A34D6B"/>
    <w:rsid w:val="00A409C1"/>
    <w:rsid w:val="00A42560"/>
    <w:rsid w:val="00A453B9"/>
    <w:rsid w:val="00A5194D"/>
    <w:rsid w:val="00A53916"/>
    <w:rsid w:val="00A63B68"/>
    <w:rsid w:val="00A70893"/>
    <w:rsid w:val="00A73771"/>
    <w:rsid w:val="00A77DDB"/>
    <w:rsid w:val="00A8333F"/>
    <w:rsid w:val="00A867A4"/>
    <w:rsid w:val="00AA1E68"/>
    <w:rsid w:val="00AA454E"/>
    <w:rsid w:val="00AC1338"/>
    <w:rsid w:val="00AC2740"/>
    <w:rsid w:val="00AC5BBF"/>
    <w:rsid w:val="00AD223A"/>
    <w:rsid w:val="00B042B5"/>
    <w:rsid w:val="00B16B2D"/>
    <w:rsid w:val="00B3272A"/>
    <w:rsid w:val="00B3668A"/>
    <w:rsid w:val="00B45E42"/>
    <w:rsid w:val="00B510C1"/>
    <w:rsid w:val="00B513EA"/>
    <w:rsid w:val="00B56336"/>
    <w:rsid w:val="00B70A6B"/>
    <w:rsid w:val="00B73A26"/>
    <w:rsid w:val="00B77FCE"/>
    <w:rsid w:val="00B84C96"/>
    <w:rsid w:val="00B94EFC"/>
    <w:rsid w:val="00BA2745"/>
    <w:rsid w:val="00BB75C0"/>
    <w:rsid w:val="00C01D2A"/>
    <w:rsid w:val="00C215F4"/>
    <w:rsid w:val="00C45C77"/>
    <w:rsid w:val="00C51247"/>
    <w:rsid w:val="00C63D3E"/>
    <w:rsid w:val="00C82680"/>
    <w:rsid w:val="00C92642"/>
    <w:rsid w:val="00C94E31"/>
    <w:rsid w:val="00C96F2D"/>
    <w:rsid w:val="00C973D5"/>
    <w:rsid w:val="00CD3F31"/>
    <w:rsid w:val="00CF128F"/>
    <w:rsid w:val="00CF5926"/>
    <w:rsid w:val="00CF5FBC"/>
    <w:rsid w:val="00D03093"/>
    <w:rsid w:val="00D12C03"/>
    <w:rsid w:val="00D1435B"/>
    <w:rsid w:val="00D16E7A"/>
    <w:rsid w:val="00D46350"/>
    <w:rsid w:val="00D52E29"/>
    <w:rsid w:val="00D57D5D"/>
    <w:rsid w:val="00D65929"/>
    <w:rsid w:val="00D66FAB"/>
    <w:rsid w:val="00D75483"/>
    <w:rsid w:val="00D83190"/>
    <w:rsid w:val="00D84902"/>
    <w:rsid w:val="00D87790"/>
    <w:rsid w:val="00D92A83"/>
    <w:rsid w:val="00D93BA9"/>
    <w:rsid w:val="00D96B2B"/>
    <w:rsid w:val="00DA59EF"/>
    <w:rsid w:val="00DB65F3"/>
    <w:rsid w:val="00DC1B55"/>
    <w:rsid w:val="00DC4FB8"/>
    <w:rsid w:val="00DC7A50"/>
    <w:rsid w:val="00DD3AC3"/>
    <w:rsid w:val="00DD42EE"/>
    <w:rsid w:val="00DD5FB4"/>
    <w:rsid w:val="00DD73C6"/>
    <w:rsid w:val="00DE1F03"/>
    <w:rsid w:val="00DF4CC3"/>
    <w:rsid w:val="00DF6E2D"/>
    <w:rsid w:val="00E30CFF"/>
    <w:rsid w:val="00E4740F"/>
    <w:rsid w:val="00E52501"/>
    <w:rsid w:val="00E529A1"/>
    <w:rsid w:val="00E53393"/>
    <w:rsid w:val="00E53565"/>
    <w:rsid w:val="00E66C8D"/>
    <w:rsid w:val="00E67BE6"/>
    <w:rsid w:val="00E710C7"/>
    <w:rsid w:val="00E812C5"/>
    <w:rsid w:val="00E83D54"/>
    <w:rsid w:val="00E84BBE"/>
    <w:rsid w:val="00E90BFE"/>
    <w:rsid w:val="00E937E7"/>
    <w:rsid w:val="00EA3DFA"/>
    <w:rsid w:val="00EA512C"/>
    <w:rsid w:val="00EB5E14"/>
    <w:rsid w:val="00EB64BF"/>
    <w:rsid w:val="00ED1B06"/>
    <w:rsid w:val="00ED28BF"/>
    <w:rsid w:val="00EF2798"/>
    <w:rsid w:val="00F0022F"/>
    <w:rsid w:val="00F06A43"/>
    <w:rsid w:val="00F07EA8"/>
    <w:rsid w:val="00F20EF7"/>
    <w:rsid w:val="00F21CB4"/>
    <w:rsid w:val="00F242EE"/>
    <w:rsid w:val="00F27063"/>
    <w:rsid w:val="00F32F29"/>
    <w:rsid w:val="00F3580B"/>
    <w:rsid w:val="00F46DED"/>
    <w:rsid w:val="00F6392D"/>
    <w:rsid w:val="00F642C4"/>
    <w:rsid w:val="00F67B11"/>
    <w:rsid w:val="00F732C6"/>
    <w:rsid w:val="00F82FA2"/>
    <w:rsid w:val="00F83AEF"/>
    <w:rsid w:val="00F91F38"/>
    <w:rsid w:val="00FD1D40"/>
    <w:rsid w:val="00FE1DB9"/>
    <w:rsid w:val="00FE3968"/>
    <w:rsid w:val="00FE721F"/>
    <w:rsid w:val="00FF39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156C"/>
  <w15:chartTrackingRefBased/>
  <w15:docId w15:val="{4C8C189B-D2B3-4640-8944-4F3996DA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2129E"/>
    <w:rPr>
      <w:color w:val="0563C1" w:themeColor="hyperlink"/>
      <w:u w:val="single"/>
    </w:rPr>
  </w:style>
  <w:style w:type="character" w:styleId="Omtal">
    <w:name w:val="Mention"/>
    <w:basedOn w:val="Standardskrifttypeiafsnit"/>
    <w:uiPriority w:val="99"/>
    <w:semiHidden/>
    <w:unhideWhenUsed/>
    <w:rsid w:val="0072129E"/>
    <w:rPr>
      <w:color w:val="2B579A"/>
      <w:shd w:val="clear" w:color="auto" w:fill="E6E6E6"/>
    </w:rPr>
  </w:style>
  <w:style w:type="paragraph" w:styleId="Markeringsbobletekst">
    <w:name w:val="Balloon Text"/>
    <w:basedOn w:val="Normal"/>
    <w:link w:val="MarkeringsbobletekstTegn"/>
    <w:uiPriority w:val="99"/>
    <w:semiHidden/>
    <w:unhideWhenUsed/>
    <w:rsid w:val="00A7377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73771"/>
    <w:rPr>
      <w:rFonts w:ascii="Segoe UI" w:hAnsi="Segoe UI" w:cs="Segoe UI"/>
      <w:sz w:val="18"/>
      <w:szCs w:val="18"/>
    </w:rPr>
  </w:style>
  <w:style w:type="paragraph" w:styleId="Ingenafstand">
    <w:name w:val="No Spacing"/>
    <w:uiPriority w:val="1"/>
    <w:qFormat/>
    <w:rsid w:val="00D14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07009">
      <w:bodyDiv w:val="1"/>
      <w:marLeft w:val="0"/>
      <w:marRight w:val="0"/>
      <w:marTop w:val="0"/>
      <w:marBottom w:val="0"/>
      <w:divBdr>
        <w:top w:val="none" w:sz="0" w:space="0" w:color="auto"/>
        <w:left w:val="none" w:sz="0" w:space="0" w:color="auto"/>
        <w:bottom w:val="none" w:sz="0" w:space="0" w:color="auto"/>
        <w:right w:val="none" w:sz="0" w:space="0" w:color="auto"/>
      </w:divBdr>
    </w:div>
    <w:div w:id="947859532">
      <w:bodyDiv w:val="1"/>
      <w:marLeft w:val="0"/>
      <w:marRight w:val="0"/>
      <w:marTop w:val="0"/>
      <w:marBottom w:val="0"/>
      <w:divBdr>
        <w:top w:val="none" w:sz="0" w:space="0" w:color="auto"/>
        <w:left w:val="none" w:sz="0" w:space="0" w:color="auto"/>
        <w:bottom w:val="none" w:sz="0" w:space="0" w:color="auto"/>
        <w:right w:val="none" w:sz="0" w:space="0" w:color="auto"/>
      </w:divBdr>
      <w:divsChild>
        <w:div w:id="581988363">
          <w:marLeft w:val="562"/>
          <w:marRight w:val="0"/>
          <w:marTop w:val="200"/>
          <w:marBottom w:val="0"/>
          <w:divBdr>
            <w:top w:val="none" w:sz="0" w:space="0" w:color="auto"/>
            <w:left w:val="none" w:sz="0" w:space="0" w:color="auto"/>
            <w:bottom w:val="none" w:sz="0" w:space="0" w:color="auto"/>
            <w:right w:val="none" w:sz="0" w:space="0" w:color="auto"/>
          </w:divBdr>
        </w:div>
        <w:div w:id="1760441879">
          <w:marLeft w:val="562"/>
          <w:marRight w:val="0"/>
          <w:marTop w:val="200"/>
          <w:marBottom w:val="0"/>
          <w:divBdr>
            <w:top w:val="none" w:sz="0" w:space="0" w:color="auto"/>
            <w:left w:val="none" w:sz="0" w:space="0" w:color="auto"/>
            <w:bottom w:val="none" w:sz="0" w:space="0" w:color="auto"/>
            <w:right w:val="none" w:sz="0" w:space="0" w:color="auto"/>
          </w:divBdr>
        </w:div>
      </w:divsChild>
    </w:div>
    <w:div w:id="950206990">
      <w:bodyDiv w:val="1"/>
      <w:marLeft w:val="0"/>
      <w:marRight w:val="0"/>
      <w:marTop w:val="0"/>
      <w:marBottom w:val="0"/>
      <w:divBdr>
        <w:top w:val="none" w:sz="0" w:space="0" w:color="auto"/>
        <w:left w:val="none" w:sz="0" w:space="0" w:color="auto"/>
        <w:bottom w:val="none" w:sz="0" w:space="0" w:color="auto"/>
        <w:right w:val="none" w:sz="0" w:space="0" w:color="auto"/>
      </w:divBdr>
      <w:divsChild>
        <w:div w:id="1261719581">
          <w:marLeft w:val="562"/>
          <w:marRight w:val="0"/>
          <w:marTop w:val="200"/>
          <w:marBottom w:val="0"/>
          <w:divBdr>
            <w:top w:val="none" w:sz="0" w:space="0" w:color="auto"/>
            <w:left w:val="none" w:sz="0" w:space="0" w:color="auto"/>
            <w:bottom w:val="none" w:sz="0" w:space="0" w:color="auto"/>
            <w:right w:val="none" w:sz="0" w:space="0" w:color="auto"/>
          </w:divBdr>
        </w:div>
        <w:div w:id="1644383619">
          <w:marLeft w:val="562"/>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s@bygma.dk" TargetMode="External"/><Relationship Id="rId5" Type="http://schemas.openxmlformats.org/officeDocument/2006/relationships/hyperlink" Target="mailto:phc@bygma.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554</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5</cp:revision>
  <cp:lastPrinted>2022-04-01T11:35:00Z</cp:lastPrinted>
  <dcterms:created xsi:type="dcterms:W3CDTF">2022-04-05T13:12:00Z</dcterms:created>
  <dcterms:modified xsi:type="dcterms:W3CDTF">2022-04-07T12:42:00Z</dcterms:modified>
</cp:coreProperties>
</file>