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5396BFFE" w:rsidR="00566338" w:rsidRPr="00E92EF7" w:rsidRDefault="00E92EF7" w:rsidP="00183569">
      <w:pPr>
        <w:pStyle w:val="Tittel"/>
        <w:rPr>
          <w:color w:val="003C6A"/>
          <w:sz w:val="44"/>
          <w:szCs w:val="44"/>
          <w:rFonts w:ascii="Arial" w:hAnsi="Arial" w:cs="Arial"/>
        </w:rPr>
      </w:pPr>
      <w:r>
        <w:rPr>
          <w:color w:val="003C6A"/>
          <w:sz w:val="44"/>
          <w:rFonts w:ascii="Arial" w:hAnsi="Arial"/>
        </w:rPr>
        <w:t xml:space="preserve">Vinnare och förlorare på "den nya kraftmarknaden"</w:t>
      </w:r>
      <w:r>
        <w:rPr>
          <w:color w:val="003C6A"/>
          <w:sz w:val="44"/>
          <w:rFonts w:ascii="Arial" w:hAnsi="Arial"/>
        </w:rPr>
        <w:tab/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04E62C15" w14:textId="17D92882" w:rsidR="00DD230E" w:rsidRPr="00E92EF7" w:rsidRDefault="00DD230E" w:rsidP="00DD230E">
      <w:pPr>
        <w:spacing w:after="0"/>
        <w:rPr>
          <w:sz w:val="32"/>
          <w:szCs w:val="24"/>
          <w:rFonts w:ascii="Arial" w:hAnsi="Arial" w:cs="Arial"/>
        </w:rPr>
      </w:pPr>
      <w:r>
        <w:rPr>
          <w:rFonts w:ascii="Arial" w:hAnsi="Arial"/>
        </w:rPr>
        <w:t xml:space="preserve">(Kristiansand, 29 april 2021)</w:t>
      </w:r>
      <w:r>
        <w:rPr>
          <w:rFonts w:ascii="Arial" w:hAnsi="Arial"/>
        </w:rPr>
        <w:t xml:space="preserve"> </w:t>
      </w:r>
    </w:p>
    <w:p w14:paraId="456F2BD0" w14:textId="23A8E14E" w:rsidR="00420B01" w:rsidRDefault="00420B01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ADC9E61" w14:textId="32A7372D" w:rsidR="00420B01" w:rsidRDefault="00420B01" w:rsidP="00420B01">
      <w:pPr>
        <w:spacing w:after="0"/>
        <w:rPr>
          <w:b/>
          <w:bCs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Vi är vana vid att priserna går upp och ner, men i år har prisbilden på kraftmarknaden blivit helt upp- och nervänd.</w:t>
      </w:r>
      <w:r>
        <w:rPr>
          <w:b/>
          <w:sz w:val="28"/>
          <w:rFonts w:ascii="Arial" w:hAnsi="Arial"/>
        </w:rPr>
        <w:t xml:space="preserve"> </w:t>
      </w:r>
      <w:r>
        <w:rPr>
          <w:b/>
          <w:sz w:val="28"/>
          <w:rFonts w:ascii="Arial" w:hAnsi="Arial"/>
        </w:rPr>
        <w:t xml:space="preserve">Till fördel för elkunderna i norr och nackdel för dem i söder.</w:t>
      </w:r>
      <w:r>
        <w:rPr>
          <w:b/>
          <w:sz w:val="28"/>
          <w:rFonts w:ascii="Arial" w:hAnsi="Arial"/>
        </w:rPr>
        <w:t xml:space="preserve"> 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13D1982" w14:textId="7224B752" w:rsidR="00D93857" w:rsidRDefault="00F6548E" w:rsidP="007D0006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Den senaste månaden har elpriset i södra Norden i snitt legat ca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70 procent högre jämfört med elpriset i norr.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Ser vi på hela 2021 hittills ligger skillnaden på ca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45 procent</w:t>
      </w:r>
      <w:r>
        <w:rPr>
          <w:rFonts w:ascii="Arial" w:hAnsi="Arial"/>
        </w:rPr>
        <w:t xml:space="preserve"> </w:t>
      </w:r>
    </w:p>
    <w:p w14:paraId="1A254A87" w14:textId="77777777" w:rsidR="00D93857" w:rsidRDefault="00D93857" w:rsidP="007D0006">
      <w:pPr>
        <w:spacing w:after="0"/>
        <w:rPr>
          <w:rFonts w:ascii="Arial" w:hAnsi="Arial" w:cs="Arial"/>
        </w:rPr>
      </w:pPr>
    </w:p>
    <w:p w14:paraId="11314B12" w14:textId="3273F401" w:rsidR="00A70F29" w:rsidRDefault="00A70F29" w:rsidP="007D0006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Det är självklart till glädje för konsumenter i de norra delarna av Norge och Sverige.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Däremot har konsumenterna i de södra delarna av Norge respektive Sverige samt i Danmark periodvis upplevt priser på nivåer som liknar de vi brukar få på de allra kallaste vinterdagarna (enskilda timpriser en bra bit över 100 €/MWh).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Hur har denna situation uppstått?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 kommer vi strax tillbaka till.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Låt oss först se hur dessa olikheter gör det så kallade systempriset mindre användbart:</w:t>
      </w:r>
    </w:p>
    <w:p w14:paraId="13ED4455" w14:textId="77777777" w:rsidR="00A70F29" w:rsidRDefault="00A70F29" w:rsidP="007D0006">
      <w:pPr>
        <w:spacing w:after="0"/>
        <w:rPr>
          <w:rFonts w:ascii="Arial" w:hAnsi="Arial" w:cs="Arial"/>
        </w:rPr>
      </w:pPr>
    </w:p>
    <w:p w14:paraId="5F267958" w14:textId="1F26CDD9" w:rsidR="00012F3F" w:rsidRDefault="00E92EF7" w:rsidP="007D0006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Systempriset, som är ett slags genomsnittspris för Norden, landade på 37,9 €/MWh för april.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Detta är relativt högt för att vara april.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senaste tio åren har systempriset för april i snitt legat på 31,9 €/MWh.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senaste fem åren har systempriset för april i snitt landat på 27,3 €/MWh.</w:t>
      </w:r>
    </w:p>
    <w:p w14:paraId="54259FB4" w14:textId="17D74197" w:rsidR="00FB4280" w:rsidRDefault="00FB4280" w:rsidP="007D0006">
      <w:pPr>
        <w:spacing w:after="0"/>
        <w:rPr>
          <w:rFonts w:ascii="Arial" w:hAnsi="Arial" w:cs="Arial"/>
        </w:rPr>
      </w:pPr>
    </w:p>
    <w:p w14:paraId="37FBFC92" w14:textId="124F5068" w:rsidR="00420B01" w:rsidRPr="00420B01" w:rsidRDefault="00420B01" w:rsidP="007D0006">
      <w:pPr>
        <w:spacing w:after="0"/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Vad betyder egentligen systempriset?</w:t>
      </w:r>
    </w:p>
    <w:p w14:paraId="5DC8C4B4" w14:textId="043C8FFF" w:rsidR="00FB4280" w:rsidRDefault="00FB4280" w:rsidP="007D0006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Men vad betyder det i praktiken vad systempriset ligger på?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 är ju ingen som får systempriset levererat i eluttaget.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Svaret är att det endast fungerar som ett slags genomsnittspris för Norden och bara används för att göra prissäkringar på marknaden.</w:t>
      </w:r>
    </w:p>
    <w:p w14:paraId="28CC186B" w14:textId="38D1941E" w:rsidR="00FB4280" w:rsidRDefault="00FB4280" w:rsidP="007D0006">
      <w:pPr>
        <w:spacing w:after="0"/>
        <w:rPr>
          <w:rFonts w:ascii="Arial" w:hAnsi="Arial" w:cs="Arial"/>
        </w:rPr>
      </w:pPr>
    </w:p>
    <w:p w14:paraId="3A7DE87E" w14:textId="7DF67057" w:rsidR="00FB4280" w:rsidRDefault="00FB4280" w:rsidP="007D0006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Låt oss titta lite närmare på dessa skillnader inom Norden:</w:t>
      </w:r>
      <w:r>
        <w:rPr>
          <w:rFonts w:ascii="Arial" w:hAnsi="Arial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B4280" w14:paraId="1F05E59D" w14:textId="77777777" w:rsidTr="00FB4280">
        <w:tc>
          <w:tcPr>
            <w:tcW w:w="3096" w:type="dxa"/>
          </w:tcPr>
          <w:p w14:paraId="68D62671" w14:textId="1B30CB8C" w:rsidR="00FB4280" w:rsidRPr="00FB4280" w:rsidRDefault="00FB4280" w:rsidP="007D0006">
            <w:pPr>
              <w:spacing w:after="0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Ort</w:t>
            </w:r>
          </w:p>
        </w:tc>
        <w:tc>
          <w:tcPr>
            <w:tcW w:w="3096" w:type="dxa"/>
          </w:tcPr>
          <w:p w14:paraId="7A8DAA5E" w14:textId="0174EEB6" w:rsidR="00FB4280" w:rsidRPr="00FB4280" w:rsidRDefault="00FB4280" w:rsidP="007D0006">
            <w:pPr>
              <w:spacing w:after="0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Snittpris april €/MWh</w:t>
            </w:r>
          </w:p>
        </w:tc>
        <w:tc>
          <w:tcPr>
            <w:tcW w:w="3096" w:type="dxa"/>
          </w:tcPr>
          <w:p w14:paraId="27CDD8E1" w14:textId="0EE3D297" w:rsidR="00FB4280" w:rsidRPr="00FB4280" w:rsidRDefault="00FB4280" w:rsidP="007D0006">
            <w:pPr>
              <w:spacing w:after="0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Snittpris hittills i år €/MWh</w:t>
            </w:r>
          </w:p>
        </w:tc>
      </w:tr>
      <w:tr w:rsidR="00FB4280" w14:paraId="5108DB68" w14:textId="77777777" w:rsidTr="00FB4280">
        <w:tc>
          <w:tcPr>
            <w:tcW w:w="3096" w:type="dxa"/>
          </w:tcPr>
          <w:p w14:paraId="40468284" w14:textId="068935F8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Tromsø</w:t>
            </w:r>
          </w:p>
        </w:tc>
        <w:tc>
          <w:tcPr>
            <w:tcW w:w="3096" w:type="dxa"/>
          </w:tcPr>
          <w:p w14:paraId="6C09CA8E" w14:textId="7BB976ED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26,77</w:t>
            </w:r>
          </w:p>
        </w:tc>
        <w:tc>
          <w:tcPr>
            <w:tcW w:w="3096" w:type="dxa"/>
          </w:tcPr>
          <w:p w14:paraId="4EACAA2A" w14:textId="1878CE3A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32,13</w:t>
            </w:r>
          </w:p>
        </w:tc>
      </w:tr>
      <w:tr w:rsidR="00FB4280" w14:paraId="52AA577E" w14:textId="77777777" w:rsidTr="00FB4280">
        <w:tc>
          <w:tcPr>
            <w:tcW w:w="3096" w:type="dxa"/>
          </w:tcPr>
          <w:p w14:paraId="79C19D24" w14:textId="4FE8CF9D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Oslo</w:t>
            </w:r>
          </w:p>
        </w:tc>
        <w:tc>
          <w:tcPr>
            <w:tcW w:w="3096" w:type="dxa"/>
          </w:tcPr>
          <w:p w14:paraId="13B66E22" w14:textId="27256996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45,00</w:t>
            </w:r>
          </w:p>
        </w:tc>
        <w:tc>
          <w:tcPr>
            <w:tcW w:w="3096" w:type="dxa"/>
          </w:tcPr>
          <w:p w14:paraId="58ABD229" w14:textId="214D4124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46,79</w:t>
            </w:r>
          </w:p>
        </w:tc>
      </w:tr>
      <w:tr w:rsidR="00FB4280" w14:paraId="1DB18999" w14:textId="77777777" w:rsidTr="00FB4280">
        <w:tc>
          <w:tcPr>
            <w:tcW w:w="3096" w:type="dxa"/>
          </w:tcPr>
          <w:p w14:paraId="6F79B005" w14:textId="750DAB92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Luleå</w:t>
            </w:r>
          </w:p>
        </w:tc>
        <w:tc>
          <w:tcPr>
            <w:tcW w:w="3096" w:type="dxa"/>
          </w:tcPr>
          <w:p w14:paraId="2A629A24" w14:textId="7585CB2F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26,44</w:t>
            </w:r>
          </w:p>
        </w:tc>
        <w:tc>
          <w:tcPr>
            <w:tcW w:w="3096" w:type="dxa"/>
          </w:tcPr>
          <w:p w14:paraId="23C02754" w14:textId="00202B3C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34,70</w:t>
            </w:r>
          </w:p>
        </w:tc>
      </w:tr>
      <w:tr w:rsidR="00FB4280" w14:paraId="18BF2C54" w14:textId="77777777" w:rsidTr="00FB4280">
        <w:tc>
          <w:tcPr>
            <w:tcW w:w="3096" w:type="dxa"/>
          </w:tcPr>
          <w:p w14:paraId="0074510B" w14:textId="4DFC0596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Stockholm</w:t>
            </w:r>
          </w:p>
        </w:tc>
        <w:tc>
          <w:tcPr>
            <w:tcW w:w="3096" w:type="dxa"/>
          </w:tcPr>
          <w:p w14:paraId="0955B611" w14:textId="1DEF280F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33,12</w:t>
            </w:r>
          </w:p>
        </w:tc>
        <w:tc>
          <w:tcPr>
            <w:tcW w:w="3096" w:type="dxa"/>
          </w:tcPr>
          <w:p w14:paraId="38365DF4" w14:textId="14246A8D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42,57</w:t>
            </w:r>
          </w:p>
        </w:tc>
      </w:tr>
      <w:tr w:rsidR="00FB4280" w14:paraId="437798A9" w14:textId="77777777" w:rsidTr="00FB4280">
        <w:tc>
          <w:tcPr>
            <w:tcW w:w="3096" w:type="dxa"/>
          </w:tcPr>
          <w:p w14:paraId="07D9D544" w14:textId="7E35D7DE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Malmö</w:t>
            </w:r>
          </w:p>
        </w:tc>
        <w:tc>
          <w:tcPr>
            <w:tcW w:w="3096" w:type="dxa"/>
          </w:tcPr>
          <w:p w14:paraId="4AD7409C" w14:textId="1B76DB75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42,47</w:t>
            </w:r>
          </w:p>
        </w:tc>
        <w:tc>
          <w:tcPr>
            <w:tcW w:w="3096" w:type="dxa"/>
          </w:tcPr>
          <w:p w14:paraId="3ED66F46" w14:textId="6C289560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47,70</w:t>
            </w:r>
          </w:p>
        </w:tc>
      </w:tr>
      <w:tr w:rsidR="00FB4280" w14:paraId="78CC4085" w14:textId="77777777" w:rsidTr="00FB4280">
        <w:tc>
          <w:tcPr>
            <w:tcW w:w="3096" w:type="dxa"/>
          </w:tcPr>
          <w:p w14:paraId="73ACD77D" w14:textId="282A3D82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Köpenhamn</w:t>
            </w:r>
          </w:p>
        </w:tc>
        <w:tc>
          <w:tcPr>
            <w:tcW w:w="3096" w:type="dxa"/>
          </w:tcPr>
          <w:p w14:paraId="48D3C11C" w14:textId="02132473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47,86</w:t>
            </w:r>
          </w:p>
        </w:tc>
        <w:tc>
          <w:tcPr>
            <w:tcW w:w="3096" w:type="dxa"/>
          </w:tcPr>
          <w:p w14:paraId="7EA41BD2" w14:textId="6079C4C8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49,88</w:t>
            </w:r>
          </w:p>
        </w:tc>
      </w:tr>
      <w:tr w:rsidR="00FB4280" w14:paraId="6C734E1B" w14:textId="77777777" w:rsidTr="00FB4280">
        <w:tc>
          <w:tcPr>
            <w:tcW w:w="3096" w:type="dxa"/>
          </w:tcPr>
          <w:p w14:paraId="671A6657" w14:textId="09FB293B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Helsingfors</w:t>
            </w:r>
          </w:p>
        </w:tc>
        <w:tc>
          <w:tcPr>
            <w:tcW w:w="3096" w:type="dxa"/>
          </w:tcPr>
          <w:p w14:paraId="7AD509B8" w14:textId="03607954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36,76</w:t>
            </w:r>
          </w:p>
        </w:tc>
        <w:tc>
          <w:tcPr>
            <w:tcW w:w="3096" w:type="dxa"/>
          </w:tcPr>
          <w:p w14:paraId="59E2CA2F" w14:textId="1499AB0F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45,65</w:t>
            </w:r>
          </w:p>
        </w:tc>
      </w:tr>
      <w:tr w:rsidR="00FB4280" w14:paraId="26BD00CF" w14:textId="77777777" w:rsidTr="00FB4280">
        <w:tc>
          <w:tcPr>
            <w:tcW w:w="3096" w:type="dxa"/>
          </w:tcPr>
          <w:p w14:paraId="0A6B56B1" w14:textId="1481140E" w:rsidR="00FB4280" w:rsidRPr="00FB4280" w:rsidRDefault="00FB4280" w:rsidP="007D0006">
            <w:pPr>
              <w:spacing w:after="0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Systempris</w:t>
            </w:r>
            <w:r>
              <w:rPr>
                <w:b/>
                <w:rFonts w:ascii="Arial" w:hAnsi="Arial"/>
              </w:rPr>
              <w:t xml:space="preserve"> </w:t>
            </w:r>
          </w:p>
        </w:tc>
        <w:tc>
          <w:tcPr>
            <w:tcW w:w="3096" w:type="dxa"/>
          </w:tcPr>
          <w:p w14:paraId="52E973E1" w14:textId="7198F944" w:rsidR="00FB4280" w:rsidRPr="00FB4280" w:rsidRDefault="004B41F5" w:rsidP="009220D4">
            <w:pPr>
              <w:spacing w:after="0"/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37,86</w:t>
            </w:r>
          </w:p>
        </w:tc>
        <w:tc>
          <w:tcPr>
            <w:tcW w:w="3096" w:type="dxa"/>
          </w:tcPr>
          <w:p w14:paraId="610F65B0" w14:textId="6BEB6A0D" w:rsidR="00FB4280" w:rsidRPr="00FB4280" w:rsidRDefault="004B41F5" w:rsidP="009220D4">
            <w:pPr>
              <w:spacing w:after="0"/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41,06</w:t>
            </w:r>
          </w:p>
        </w:tc>
      </w:tr>
    </w:tbl>
    <w:p w14:paraId="22432A39" w14:textId="77777777" w:rsidR="00FB4280" w:rsidRDefault="00FB4280" w:rsidP="007D0006">
      <w:pPr>
        <w:spacing w:after="0"/>
        <w:rPr>
          <w:rFonts w:ascii="Arial" w:hAnsi="Arial" w:cs="Arial"/>
        </w:rPr>
      </w:pPr>
    </w:p>
    <w:p w14:paraId="7F1DEE10" w14:textId="77777777" w:rsidR="00A04479" w:rsidRDefault="00A04479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Med så stora skillnader mellan prisområdena är det uppenbart att systempriset inte längre fungerar lika bra att använda för prissäkringar, vare sig för konsumenterna eller producenterna av el.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För att säkerställa en förutsägbarhet i elpriserna finns det nu ett större behov av att även säkra det lokala priset.</w:t>
      </w:r>
    </w:p>
    <w:p w14:paraId="1647F3E1" w14:textId="6163BC07" w:rsidR="00246F3E" w:rsidRDefault="00246F3E" w:rsidP="0082692B">
      <w:pPr>
        <w:spacing w:after="0"/>
        <w:rPr>
          <w:rFonts w:ascii="Arial" w:hAnsi="Arial" w:cs="Arial"/>
        </w:rPr>
      </w:pPr>
    </w:p>
    <w:p w14:paraId="4A3148B6" w14:textId="564B90CC" w:rsidR="00246F3E" w:rsidRPr="001574C2" w:rsidRDefault="00246F3E" w:rsidP="0082692B">
      <w:pPr>
        <w:spacing w:after="0"/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Varför har det blivit så?</w:t>
      </w:r>
    </w:p>
    <w:p w14:paraId="2BFEBA9A" w14:textId="6BF9BDDD" w:rsidR="00246F3E" w:rsidRDefault="00246F3E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Den explosionsartade utbyggnaden av vindkraft i norr skapar inte bara en obalans mellan förbrukning och produktion.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 uppstår även flaskhalsar i kraftnätet som inte har kapacitet att överföra all den nya kraften söderut.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Därmed pressas priset nedåt i de nordliga delarna av Norden.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 xml:space="preserve">I söder ser bilden helt annorlunda ut: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Med starkare förbindelser till Europa ser vi att höga elpriser i Tyskland och Nederländerna håller upp priserna i Danmark och i de södra delarna av Norge respektive Sverige.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Därmed får en tydlig prisskillnad som för Norges del går vid Dovre.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 finns mycket som talar för att dessa prisskillnader kommer att hålla i sig en längre tid.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Kanske ända tills Dovre faller?</w:t>
      </w:r>
      <w:r>
        <w:rPr>
          <w:rFonts w:ascii="Arial" w:hAnsi="Arial"/>
        </w:rPr>
        <w:t xml:space="preserve"> </w:t>
      </w:r>
    </w:p>
    <w:p w14:paraId="6ECC639E" w14:textId="3216A281" w:rsidR="001574C2" w:rsidRDefault="001574C2" w:rsidP="0082692B">
      <w:pPr>
        <w:spacing w:after="0"/>
        <w:rPr>
          <w:rFonts w:ascii="Arial" w:hAnsi="Arial" w:cs="Arial"/>
        </w:rPr>
      </w:pPr>
    </w:p>
    <w:p w14:paraId="7D55EAB3" w14:textId="6419C03F" w:rsidR="004C0864" w:rsidRDefault="004C0864" w:rsidP="0082692B">
      <w:pPr>
        <w:spacing w:after="0"/>
        <w:rPr>
          <w:rFonts w:ascii="Arial" w:hAnsi="Arial" w:cs="Arial"/>
        </w:rPr>
      </w:pP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Om Entelios</w:t>
      </w:r>
      <w:r>
        <w:rPr>
          <w:b/>
          <w:sz w:val="22"/>
          <w:rFonts w:ascii="Arial" w:hAnsi="Arial"/>
        </w:rPr>
        <w:t xml:space="preserve">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Entelios erbjuder ren energi, spetskompetens och teknologi som gör det möjligt för industribolag samt små och stora företag i näringslivet och offentliga verksamhet att bli ledande på området klimatvänliga energilösningar.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Kärnverksamheten är styrning av och handel med förnybar energi på den nordiska och europeiska elmarknaden å kundernas vägnar.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4DAA5A9A" w:rsidR="00397D4B" w:rsidRDefault="00397D4B" w:rsidP="005E4FA6">
      <w:pPr>
        <w:numPr>
          <w:ilvl w:val="0"/>
          <w:numId w:val="12"/>
        </w:numPr>
        <w:spacing w:after="260" w:line="260" w:lineRule="exact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Entelios har 150 anställda fördelade på nio platser (Oslo, Arendal, Kristiansand, Stockholm, Göteborg, Helsingfors, Berlin, München och Zürich)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I Norden har Entelios ansvar för en kundportfölj på över 20 TWh (årsförbrukning för ca 1,3 miljoner hushåll).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Bolaget erbjuder alla uppdragsgivare en 100 % förnybar energi-garanti.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Entelios är ett helägt dotterbolag till </w:t>
      </w:r>
      <w:hyperlink r:id="rId8" w:history="1">
        <w:r>
          <w:rPr>
            <w:rStyle w:val="Hyperkobling"/>
            <w:sz w:val="22"/>
            <w:rFonts w:ascii="Arial" w:hAnsi="Arial"/>
          </w:rPr>
          <w:t xml:space="preserve"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CB62" w14:textId="77777777" w:rsidR="000B023E" w:rsidRDefault="000B023E" w:rsidP="0002014D">
      <w:pPr>
        <w:spacing w:after="0" w:line="240" w:lineRule="auto"/>
      </w:pPr>
      <w:r>
        <w:separator/>
      </w:r>
    </w:p>
  </w:endnote>
  <w:endnote w:type="continuationSeparator" w:id="0">
    <w:p w14:paraId="32561316" w14:textId="77777777" w:rsidR="000B023E" w:rsidRDefault="000B023E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7A85456A" w:rsidR="00397D4B" w:rsidRPr="00397D4B" w:rsidRDefault="00EA2C0C" w:rsidP="00397D4B">
    <w:pPr>
      <w:pStyle w:val="Bunntekst"/>
      <w:jc w:val="left"/>
      <w:rPr>
        <w:color w:val="003C6A"/>
        <w:rFonts w:ascii="Arial" w:hAnsi="Arial" w:cs="Arial"/>
      </w:rPr>
    </w:pPr>
    <w:r>
      <w:rPr>
        <w:color w:val="003C6A"/>
        <w:rFonts w:ascii="Arial" w:hAnsi="Aria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445587C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99a44a491dab0555e0983bf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6BB50301" w:rsidR="00EA2C0C" w:rsidRPr="00800660" w:rsidRDefault="00800660" w:rsidP="00800660">
                          <w:pPr>
                            <w:spacing w:after="0"/>
                            <w:rPr>
                              <w:color w:val="000000"/>
                              <w:sz w:val="18"/>
                              <w:rFonts w:ascii="Calibri" w:hAnsi="Calibri" w:cs="Calibri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rFonts w:ascii="Calibri" w:hAnsi="Calibri"/>
                            </w:rPr>
                            <w:t xml:space="preserve">Sensitivity:</w:t>
                          </w:r>
                          <w:r>
                            <w:rPr>
                              <w:color w:val="000000"/>
                              <w:sz w:val="18"/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  <w:rFonts w:ascii="Calibri" w:hAnsi="Calibri"/>
                            </w:rPr>
                            <w:t xml:space="preserve"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f99a44a491dab0555e0983bf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IT+NIexAgAARg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6EDBB366" w14:textId="6BB50301" w:rsidR="00EA2C0C" w:rsidRPr="00800660" w:rsidRDefault="00800660" w:rsidP="00800660">
                    <w:pPr>
                      <w:spacing w:after="0"/>
                      <w:rPr>
                        <w:color w:val="000000"/>
                        <w:sz w:val="18"/>
                        <w:rFonts w:ascii="Calibri" w:hAnsi="Calibri" w:cs="Calibri"/>
                      </w:rPr>
                    </w:pPr>
                    <w:r>
                      <w:rPr>
                        <w:color w:val="000000"/>
                        <w:sz w:val="18"/>
                        <w:rFonts w:ascii="Calibri" w:hAnsi="Calibri"/>
                      </w:rPr>
                      <w:t xml:space="preserve">Sensitivity:</w:t>
                    </w:r>
                    <w:r>
                      <w:rPr>
                        <w:color w:val="000000"/>
                        <w:sz w:val="18"/>
                        <w:rFonts w:ascii="Calibri" w:hAnsi="Calibri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  <w:rFonts w:ascii="Calibri" w:hAnsi="Calibri"/>
                      </w:rPr>
                      <w:t xml:space="preserve"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3C6A"/>
        <w:rFonts w:ascii="Arial" w:hAnsi="Arial"/>
      </w:rPr>
      <w:t xml:space="preserve">Entelios priskommentar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18B8" w14:textId="77777777" w:rsidR="000B023E" w:rsidRDefault="000B023E" w:rsidP="0002014D">
      <w:pPr>
        <w:spacing w:after="0" w:line="240" w:lineRule="auto"/>
      </w:pPr>
      <w:r>
        <w:separator/>
      </w:r>
    </w:p>
  </w:footnote>
  <w:footnote w:type="continuationSeparator" w:id="0">
    <w:p w14:paraId="7C975C87" w14:textId="77777777" w:rsidR="000B023E" w:rsidRDefault="000B023E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b/>
        <w:sz w:val="20"/>
        <w:szCs w:val="20"/>
        <w:rFonts w:ascii="Arial" w:hAnsi="Arial" w:cs="Arial"/>
      </w:rPr>
    </w:pPr>
    <w:r>
      <w:rPr>
        <w:b/>
        <w:sz w:val="20"/>
        <w:rFonts w:ascii="Arial" w:hAnsi="Arial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sz w:val="20"/>
        <w:szCs w:val="20"/>
        <w:rFonts w:ascii="Arial" w:hAnsi="Arial" w:cs="Arial"/>
      </w:rPr>
    </w:pPr>
    <w:r>
      <w:rPr>
        <w:sz w:val="20"/>
        <w:b/>
        <w:rFonts w:ascii="Arial" w:hAnsi="Arial"/>
      </w:rPr>
      <w:t xml:space="preserve">Entelios AS</w:t>
    </w:r>
    <w:r>
      <w:rPr>
        <w:sz w:val="20"/>
        <w:b/>
        <w:rFonts w:ascii="Arial" w:hAnsi="Arial"/>
      </w:rPr>
      <w:tab/>
    </w:r>
    <w:r>
      <w:rPr>
        <w:sz w:val="20"/>
        <w:b/>
        <w:rFonts w:ascii="Arial" w:hAnsi="Arial"/>
      </w:rPr>
      <w:t xml:space="preserve">A part of Agder Energi</w:t>
    </w:r>
    <w:r>
      <w:rPr>
        <w:sz w:val="20"/>
        <w:rFonts w:ascii="Arial" w:hAnsi="Arial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3CF3"/>
    <w:rsid w:val="000A5475"/>
    <w:rsid w:val="000A5D27"/>
    <w:rsid w:val="000B023E"/>
    <w:rsid w:val="000B1DA7"/>
    <w:rsid w:val="000B32D7"/>
    <w:rsid w:val="000B34B0"/>
    <w:rsid w:val="000B454E"/>
    <w:rsid w:val="000B6D2B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11D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67B3"/>
    <w:rsid w:val="001574C2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3735"/>
    <w:rsid w:val="001B42D7"/>
    <w:rsid w:val="001B5BBC"/>
    <w:rsid w:val="001B7804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5C51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2483"/>
    <w:rsid w:val="00253FAE"/>
    <w:rsid w:val="00255161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1930"/>
    <w:rsid w:val="00291F80"/>
    <w:rsid w:val="002927E8"/>
    <w:rsid w:val="002929AA"/>
    <w:rsid w:val="00293FB5"/>
    <w:rsid w:val="002946B5"/>
    <w:rsid w:val="002948CA"/>
    <w:rsid w:val="0029616C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71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1B8"/>
    <w:rsid w:val="00373C62"/>
    <w:rsid w:val="0037529A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0B01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383D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1F5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47BE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33CA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A25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660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7EF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2167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4479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E3E"/>
    <w:rsid w:val="00A336EC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1EF9"/>
    <w:rsid w:val="00A6327D"/>
    <w:rsid w:val="00A66747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3C72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34D8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4A5C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8E0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8A2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1E38"/>
    <w:rsid w:val="00BE6B59"/>
    <w:rsid w:val="00BE77F9"/>
    <w:rsid w:val="00BF1012"/>
    <w:rsid w:val="00BF3E5E"/>
    <w:rsid w:val="00BF4508"/>
    <w:rsid w:val="00BF7050"/>
    <w:rsid w:val="00C000EC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4E66"/>
    <w:rsid w:val="00C464CF"/>
    <w:rsid w:val="00C51879"/>
    <w:rsid w:val="00C51E60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E19"/>
    <w:rsid w:val="00C72400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1793F"/>
    <w:rsid w:val="00D212B4"/>
    <w:rsid w:val="00D25DE5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857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5383"/>
    <w:rsid w:val="00DF77D6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182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2EF7"/>
    <w:rsid w:val="00E93DAD"/>
    <w:rsid w:val="00E95234"/>
    <w:rsid w:val="00E95866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1754"/>
    <w:rsid w:val="00F32162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548E"/>
    <w:rsid w:val="00F6631F"/>
    <w:rsid w:val="00F70345"/>
    <w:rsid w:val="00F73837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06C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4</TotalTime>
  <Pages>2</Pages>
  <Words>547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12</cp:revision>
  <cp:lastPrinted>2016-06-29T18:53:00Z</cp:lastPrinted>
  <dcterms:created xsi:type="dcterms:W3CDTF">2021-04-29T12:25:00Z</dcterms:created>
  <dcterms:modified xsi:type="dcterms:W3CDTF">2021-04-29T12:47:00Z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4" name="_NewReviewCycle">
    <vt:lpwstr/>
  </property>
  <property fmtid="{D5CDD505-2E9C-101B-9397-08002B2CF9AE}" pid="10" name="MSIP_Label_0b9f4afd-f22f-4e0c-9866-08e785c7ee22_Enabled">
    <vt:lpwstr>true</vt:lpwstr>
  </property>
  <property fmtid="{D5CDD505-2E9C-101B-9397-08002B2CF9AE}" pid="11" name="MSIP_Label_0b9f4afd-f22f-4e0c-9866-08e785c7ee22_SetDate">
    <vt:lpwstr>2021-04-29T12:25:22Z</vt:lpwstr>
  </property>
  <property fmtid="{D5CDD505-2E9C-101B-9397-08002B2CF9AE}" pid="12" name="MSIP_Label_0b9f4afd-f22f-4e0c-9866-08e785c7ee22_Method">
    <vt:lpwstr>Standard</vt:lpwstr>
  </property>
  <property fmtid="{D5CDD505-2E9C-101B-9397-08002B2CF9AE}" pid="13" name="MSIP_Label_0b9f4afd-f22f-4e0c-9866-08e785c7ee22_Name">
    <vt:lpwstr>Internal</vt:lpwstr>
  </property>
  <property fmtid="{D5CDD505-2E9C-101B-9397-08002B2CF9AE}" pid="14" name="MSIP_Label_0b9f4afd-f22f-4e0c-9866-08e785c7ee22_SiteId">
    <vt:lpwstr>35de1f6f-7463-4230-b310-c6161e75518a</vt:lpwstr>
  </property>
  <property fmtid="{D5CDD505-2E9C-101B-9397-08002B2CF9AE}" pid="15" name="MSIP_Label_0b9f4afd-f22f-4e0c-9866-08e785c7ee22_ActionId">
    <vt:lpwstr>53f68797-76f8-4992-adc2-0000d0d8cbff</vt:lpwstr>
  </property>
  <property fmtid="{D5CDD505-2E9C-101B-9397-08002B2CF9AE}" pid="16" name="MSIP_Label_0b9f4afd-f22f-4e0c-9866-08e785c7ee22_ContentBits">
    <vt:lpwstr>2</vt:lpwstr>
  </property>
</Properties>
</file>