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13" w:type="dxa"/>
        <w:tblLayout w:type="fixed"/>
        <w:tblLook w:val="0000" w:firstRow="0" w:lastRow="0" w:firstColumn="0" w:lastColumn="0" w:noHBand="0" w:noVBand="0"/>
      </w:tblPr>
      <w:tblGrid>
        <w:gridCol w:w="5074"/>
        <w:gridCol w:w="2642"/>
        <w:gridCol w:w="2377"/>
      </w:tblGrid>
      <w:tr w:rsidR="00233F20" w:rsidRPr="00535288" w14:paraId="6560CF1D" w14:textId="77777777" w:rsidTr="00FB7D39">
        <w:tc>
          <w:tcPr>
            <w:tcW w:w="5074" w:type="dxa"/>
          </w:tcPr>
          <w:p w14:paraId="4A56E14A" w14:textId="77777777" w:rsidR="00233F20" w:rsidRPr="00535288" w:rsidRDefault="00233F20" w:rsidP="00FB7D39">
            <w:pPr>
              <w:rPr>
                <w:rFonts w:asciiTheme="minorHAnsi" w:hAnsiTheme="minorHAnsi"/>
                <w:sz w:val="24"/>
              </w:rPr>
            </w:pPr>
            <w:r w:rsidRPr="00535288">
              <w:rPr>
                <w:rFonts w:asciiTheme="minorHAnsi" w:hAnsiTheme="minorHAnsi"/>
                <w:noProof/>
                <w:sz w:val="24"/>
                <w:lang w:eastAsia="en-GB"/>
              </w:rPr>
              <w:drawing>
                <wp:inline distT="0" distB="0" distL="0" distR="0" wp14:anchorId="26FF3097" wp14:editId="26F7DE68">
                  <wp:extent cx="1562100" cy="923925"/>
                  <wp:effectExtent l="0" t="0" r="0" b="9525"/>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0" cy="923925"/>
                          </a:xfrm>
                          <a:prstGeom prst="rect">
                            <a:avLst/>
                          </a:prstGeom>
                          <a:noFill/>
                          <a:ln>
                            <a:noFill/>
                          </a:ln>
                        </pic:spPr>
                      </pic:pic>
                    </a:graphicData>
                  </a:graphic>
                </wp:inline>
              </w:drawing>
            </w:r>
          </w:p>
        </w:tc>
        <w:tc>
          <w:tcPr>
            <w:tcW w:w="2642" w:type="dxa"/>
          </w:tcPr>
          <w:p w14:paraId="020DAD0D" w14:textId="77777777" w:rsidR="00233F20" w:rsidRPr="00535288" w:rsidRDefault="00233F20" w:rsidP="00FB7D39">
            <w:pPr>
              <w:rPr>
                <w:rFonts w:asciiTheme="minorHAnsi" w:hAnsiTheme="minorHAnsi"/>
              </w:rPr>
            </w:pPr>
          </w:p>
        </w:tc>
        <w:tc>
          <w:tcPr>
            <w:tcW w:w="2377" w:type="dxa"/>
          </w:tcPr>
          <w:p w14:paraId="61B4850B" w14:textId="77777777" w:rsidR="00233F20" w:rsidRPr="00535288" w:rsidRDefault="00233F20" w:rsidP="00FB7D39">
            <w:pPr>
              <w:rPr>
                <w:rFonts w:asciiTheme="minorHAnsi" w:hAnsiTheme="minorHAnsi"/>
              </w:rPr>
            </w:pPr>
          </w:p>
        </w:tc>
      </w:tr>
      <w:tr w:rsidR="00233F20" w:rsidRPr="00535288" w14:paraId="4A35BC2C" w14:textId="77777777" w:rsidTr="00FB7D39">
        <w:trPr>
          <w:trHeight w:hRule="exact" w:val="160"/>
        </w:trPr>
        <w:tc>
          <w:tcPr>
            <w:tcW w:w="5074" w:type="dxa"/>
          </w:tcPr>
          <w:p w14:paraId="4DF66D64" w14:textId="77777777" w:rsidR="00233F20" w:rsidRPr="00535288" w:rsidRDefault="00233F20" w:rsidP="00FB7D39">
            <w:pPr>
              <w:rPr>
                <w:rFonts w:asciiTheme="minorHAnsi" w:hAnsiTheme="minorHAnsi"/>
                <w:sz w:val="24"/>
              </w:rPr>
            </w:pPr>
          </w:p>
        </w:tc>
        <w:tc>
          <w:tcPr>
            <w:tcW w:w="2642" w:type="dxa"/>
          </w:tcPr>
          <w:p w14:paraId="01CF77B7" w14:textId="77777777" w:rsidR="00233F20" w:rsidRPr="00535288" w:rsidRDefault="00233F20" w:rsidP="00FB7D39">
            <w:pPr>
              <w:rPr>
                <w:rFonts w:asciiTheme="minorHAnsi" w:hAnsiTheme="minorHAnsi"/>
                <w:b/>
              </w:rPr>
            </w:pPr>
          </w:p>
        </w:tc>
        <w:tc>
          <w:tcPr>
            <w:tcW w:w="2377" w:type="dxa"/>
          </w:tcPr>
          <w:p w14:paraId="0F30478E" w14:textId="77777777" w:rsidR="00233F20" w:rsidRPr="00535288" w:rsidRDefault="00233F20" w:rsidP="00FB7D39">
            <w:pPr>
              <w:rPr>
                <w:rFonts w:asciiTheme="minorHAnsi" w:hAnsiTheme="minorHAnsi"/>
                <w:b/>
              </w:rPr>
            </w:pPr>
          </w:p>
        </w:tc>
      </w:tr>
    </w:tbl>
    <w:p w14:paraId="0A80CD90" w14:textId="77777777" w:rsidR="00233F20" w:rsidRPr="00535288" w:rsidRDefault="00233F20" w:rsidP="00233F20">
      <w:pPr>
        <w:rPr>
          <w:rFonts w:asciiTheme="minorHAnsi" w:hAnsiTheme="minorHAnsi"/>
          <w:color w:val="FFFFFF"/>
          <w:sz w:val="24"/>
        </w:rPr>
      </w:pPr>
      <w:r w:rsidRPr="00535288">
        <w:rPr>
          <w:rFonts w:asciiTheme="minorHAnsi" w:hAnsiTheme="minorHAnsi"/>
          <w:noProof/>
          <w:lang w:eastAsia="en-GB"/>
        </w:rPr>
        <mc:AlternateContent>
          <mc:Choice Requires="wps">
            <w:drawing>
              <wp:anchor distT="0" distB="0" distL="114300" distR="114300" simplePos="0" relativeHeight="251659264" behindDoc="0" locked="0" layoutInCell="0" allowOverlap="1" wp14:anchorId="0E1C158C" wp14:editId="66736690">
                <wp:simplePos x="0" y="0"/>
                <wp:positionH relativeFrom="column">
                  <wp:posOffset>12065</wp:posOffset>
                </wp:positionH>
                <wp:positionV relativeFrom="paragraph">
                  <wp:posOffset>41275</wp:posOffset>
                </wp:positionV>
                <wp:extent cx="5733415" cy="366395"/>
                <wp:effectExtent l="0" t="0" r="1968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1E3435" w14:textId="77777777" w:rsidR="00233F20" w:rsidRDefault="00233F20" w:rsidP="00233F20">
                            <w:pPr>
                              <w:tabs>
                                <w:tab w:val="right" w:pos="8931"/>
                              </w:tabs>
                              <w:rPr>
                                <w:rFonts w:ascii="Arial" w:hAnsi="Arial"/>
                                <w:b/>
                                <w:i/>
                                <w:color w:val="FFFFFF"/>
                                <w:sz w:val="44"/>
                              </w:rPr>
                            </w:pPr>
                            <w:r>
                              <w:rPr>
                                <w:b/>
                                <w:i/>
                                <w:sz w:val="44"/>
                              </w:rPr>
                              <w:tab/>
                            </w:r>
                            <w:r>
                              <w:rPr>
                                <w:rFonts w:ascii="Arial" w:hAnsi="Arial"/>
                                <w:b/>
                                <w:i/>
                                <w:color w:val="FFFFFF"/>
                                <w:sz w:val="44"/>
                              </w:rPr>
                              <w:t>News Release</w:t>
                            </w:r>
                          </w:p>
                          <w:p w14:paraId="50C5D89A" w14:textId="77777777" w:rsidR="00233F20" w:rsidRDefault="00233F20" w:rsidP="00233F20">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C158C"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14:paraId="7B1E3435" w14:textId="77777777" w:rsidR="00233F20" w:rsidRDefault="00233F20" w:rsidP="00233F20">
                      <w:pPr>
                        <w:tabs>
                          <w:tab w:val="right" w:pos="8931"/>
                        </w:tabs>
                        <w:rPr>
                          <w:rFonts w:ascii="Arial" w:hAnsi="Arial"/>
                          <w:b/>
                          <w:i/>
                          <w:color w:val="FFFFFF"/>
                          <w:sz w:val="44"/>
                        </w:rPr>
                      </w:pPr>
                      <w:r>
                        <w:rPr>
                          <w:b/>
                          <w:i/>
                          <w:sz w:val="44"/>
                        </w:rPr>
                        <w:tab/>
                      </w:r>
                      <w:r>
                        <w:rPr>
                          <w:rFonts w:ascii="Arial" w:hAnsi="Arial"/>
                          <w:b/>
                          <w:i/>
                          <w:color w:val="FFFFFF"/>
                          <w:sz w:val="44"/>
                        </w:rPr>
                        <w:t>News Release</w:t>
                      </w:r>
                    </w:p>
                    <w:p w14:paraId="50C5D89A" w14:textId="77777777" w:rsidR="00233F20" w:rsidRDefault="00233F20" w:rsidP="00233F20">
                      <w:pPr>
                        <w:rPr>
                          <w:b/>
                          <w:i/>
                          <w:color w:val="FFFFFF"/>
                          <w:sz w:val="44"/>
                        </w:rPr>
                      </w:pPr>
                    </w:p>
                  </w:txbxContent>
                </v:textbox>
              </v:rect>
            </w:pict>
          </mc:Fallback>
        </mc:AlternateContent>
      </w:r>
    </w:p>
    <w:p w14:paraId="0A5ABE2B" w14:textId="77777777" w:rsidR="00233F20" w:rsidRPr="00535288" w:rsidRDefault="00233F20" w:rsidP="00233F20">
      <w:pPr>
        <w:pStyle w:val="FootnoteText"/>
        <w:rPr>
          <w:rFonts w:asciiTheme="minorHAnsi" w:hAnsiTheme="minorHAnsi"/>
          <w:b/>
        </w:rPr>
      </w:pPr>
    </w:p>
    <w:p w14:paraId="563E3B94" w14:textId="77777777" w:rsidR="00233F20" w:rsidRPr="00535288" w:rsidRDefault="00233F20" w:rsidP="00233F20">
      <w:pPr>
        <w:pStyle w:val="NormalWeb"/>
        <w:suppressAutoHyphens/>
        <w:spacing w:before="0" w:after="0"/>
        <w:rPr>
          <w:rFonts w:asciiTheme="minorHAnsi" w:eastAsia="Times New Roman" w:hAnsiTheme="minorHAnsi"/>
          <w:spacing w:val="-3"/>
        </w:rPr>
      </w:pPr>
    </w:p>
    <w:p w14:paraId="2C80934E" w14:textId="77777777" w:rsidR="00233F20" w:rsidRPr="00544B82" w:rsidRDefault="00233F20" w:rsidP="00233F20">
      <w:pPr>
        <w:pStyle w:val="NormalWeb"/>
        <w:suppressAutoHyphens/>
        <w:spacing w:before="0" w:after="0"/>
        <w:rPr>
          <w:rFonts w:ascii="Arial" w:eastAsia="Times New Roman" w:hAnsi="Arial" w:cs="Arial"/>
          <w:spacing w:val="-3"/>
        </w:rPr>
      </w:pPr>
    </w:p>
    <w:tbl>
      <w:tblPr>
        <w:tblW w:w="10802" w:type="dxa"/>
        <w:tblInd w:w="-913" w:type="dxa"/>
        <w:tblLayout w:type="fixed"/>
        <w:tblLook w:val="0000" w:firstRow="0" w:lastRow="0" w:firstColumn="0" w:lastColumn="0" w:noHBand="0" w:noVBand="0"/>
      </w:tblPr>
      <w:tblGrid>
        <w:gridCol w:w="1021"/>
        <w:gridCol w:w="685"/>
        <w:gridCol w:w="5116"/>
        <w:gridCol w:w="1137"/>
        <w:gridCol w:w="2132"/>
        <w:gridCol w:w="711"/>
      </w:tblGrid>
      <w:tr w:rsidR="00233F20" w:rsidRPr="00544B82" w14:paraId="30BBAFAB" w14:textId="77777777" w:rsidTr="00FB7D39">
        <w:trPr>
          <w:cantSplit/>
        </w:trPr>
        <w:tc>
          <w:tcPr>
            <w:tcW w:w="1021" w:type="dxa"/>
          </w:tcPr>
          <w:p w14:paraId="5B9FD873" w14:textId="77777777" w:rsidR="00233F20" w:rsidRPr="00544B82" w:rsidRDefault="00233F20" w:rsidP="00FB7D39">
            <w:pPr>
              <w:spacing w:before="60"/>
              <w:rPr>
                <w:rFonts w:ascii="Arial" w:hAnsi="Arial" w:cs="Arial"/>
              </w:rPr>
            </w:pPr>
          </w:p>
        </w:tc>
        <w:tc>
          <w:tcPr>
            <w:tcW w:w="5801" w:type="dxa"/>
            <w:gridSpan w:val="2"/>
            <w:tcBorders>
              <w:bottom w:val="single" w:sz="12" w:space="0" w:color="auto"/>
            </w:tcBorders>
          </w:tcPr>
          <w:p w14:paraId="1E3F87B3" w14:textId="4A0A107B" w:rsidR="00233F20" w:rsidRPr="00544B82" w:rsidRDefault="00233F20" w:rsidP="00366E44">
            <w:pPr>
              <w:pStyle w:val="Bannerstrapline"/>
              <w:spacing w:before="60"/>
              <w:rPr>
                <w:rFonts w:ascii="Arial" w:hAnsi="Arial" w:cs="Arial"/>
              </w:rPr>
            </w:pPr>
            <w:r w:rsidRPr="00544B82">
              <w:rPr>
                <w:rFonts w:ascii="Arial" w:hAnsi="Arial" w:cs="Arial"/>
              </w:rPr>
              <w:t xml:space="preserve">For the attention of </w:t>
            </w:r>
            <w:bookmarkStart w:id="0" w:name="Text3"/>
            <w:r w:rsidR="002F240C" w:rsidRPr="00544B82">
              <w:rPr>
                <w:rFonts w:ascii="Arial" w:hAnsi="Arial" w:cs="Arial"/>
                <w:b/>
                <w:noProof/>
              </w:rPr>
              <w:t>N</w:t>
            </w:r>
            <w:r w:rsidRPr="00544B82">
              <w:rPr>
                <w:rFonts w:ascii="Arial" w:hAnsi="Arial" w:cs="Arial"/>
                <w:b/>
                <w:noProof/>
              </w:rPr>
              <w:t>ews Desks</w:t>
            </w:r>
            <w:bookmarkEnd w:id="0"/>
            <w:r w:rsidRPr="00544B82">
              <w:rPr>
                <w:rFonts w:ascii="Arial" w:hAnsi="Arial" w:cs="Arial"/>
                <w:b/>
              </w:rPr>
              <w:t xml:space="preserve"> </w:t>
            </w:r>
          </w:p>
        </w:tc>
        <w:tc>
          <w:tcPr>
            <w:tcW w:w="3269" w:type="dxa"/>
            <w:gridSpan w:val="2"/>
            <w:tcBorders>
              <w:bottom w:val="single" w:sz="12" w:space="0" w:color="auto"/>
            </w:tcBorders>
          </w:tcPr>
          <w:p w14:paraId="0645A24A" w14:textId="35D013A8" w:rsidR="00233F20" w:rsidRPr="00544B82" w:rsidRDefault="00233F20" w:rsidP="00FB7D39">
            <w:pPr>
              <w:pStyle w:val="Pages"/>
              <w:spacing w:before="60"/>
              <w:rPr>
                <w:rFonts w:ascii="Arial" w:hAnsi="Arial" w:cs="Arial"/>
              </w:rPr>
            </w:pPr>
            <w:r w:rsidRPr="00544B82">
              <w:rPr>
                <w:rFonts w:ascii="Arial" w:hAnsi="Arial" w:cs="Arial"/>
              </w:rPr>
              <w:t xml:space="preserve">No of pages: </w:t>
            </w:r>
            <w:r w:rsidR="0004798A">
              <w:rPr>
                <w:rFonts w:ascii="Arial" w:hAnsi="Arial" w:cs="Arial"/>
              </w:rPr>
              <w:t>3</w:t>
            </w:r>
          </w:p>
        </w:tc>
        <w:tc>
          <w:tcPr>
            <w:tcW w:w="711" w:type="dxa"/>
          </w:tcPr>
          <w:p w14:paraId="386FB691" w14:textId="77777777" w:rsidR="00233F20" w:rsidRPr="00544B82" w:rsidRDefault="00233F20" w:rsidP="00FB7D39">
            <w:pPr>
              <w:spacing w:before="60"/>
              <w:rPr>
                <w:rFonts w:ascii="Arial" w:hAnsi="Arial" w:cs="Arial"/>
              </w:rPr>
            </w:pPr>
          </w:p>
        </w:tc>
      </w:tr>
      <w:tr w:rsidR="00233F20" w:rsidRPr="00544B82" w14:paraId="0718E33C" w14:textId="77777777" w:rsidTr="00FB7D39">
        <w:trPr>
          <w:cantSplit/>
        </w:trPr>
        <w:tc>
          <w:tcPr>
            <w:tcW w:w="1021" w:type="dxa"/>
          </w:tcPr>
          <w:p w14:paraId="2B4F088A" w14:textId="77777777" w:rsidR="00233F20" w:rsidRPr="00544B82" w:rsidRDefault="00233F20" w:rsidP="00FB7D39">
            <w:pPr>
              <w:spacing w:before="120"/>
              <w:rPr>
                <w:rFonts w:ascii="Arial" w:hAnsi="Arial" w:cs="Arial"/>
              </w:rPr>
            </w:pPr>
          </w:p>
        </w:tc>
        <w:tc>
          <w:tcPr>
            <w:tcW w:w="685" w:type="dxa"/>
            <w:tcBorders>
              <w:top w:val="single" w:sz="12" w:space="0" w:color="auto"/>
            </w:tcBorders>
            <w:vAlign w:val="center"/>
          </w:tcPr>
          <w:p w14:paraId="120772AC" w14:textId="77777777" w:rsidR="00233F20" w:rsidRPr="00544B82" w:rsidRDefault="00233F20" w:rsidP="00FB7D39">
            <w:pPr>
              <w:jc w:val="right"/>
              <w:rPr>
                <w:rFonts w:ascii="Arial" w:hAnsi="Arial" w:cs="Arial"/>
                <w:sz w:val="18"/>
              </w:rPr>
            </w:pPr>
            <w:r w:rsidRPr="00544B82">
              <w:rPr>
                <w:rFonts w:ascii="Arial" w:hAnsi="Arial" w:cs="Arial"/>
                <w:sz w:val="18"/>
              </w:rPr>
              <w:t>Date:</w:t>
            </w:r>
          </w:p>
        </w:tc>
        <w:tc>
          <w:tcPr>
            <w:tcW w:w="5116" w:type="dxa"/>
            <w:tcBorders>
              <w:top w:val="single" w:sz="12" w:space="0" w:color="auto"/>
            </w:tcBorders>
          </w:tcPr>
          <w:p w14:paraId="42C6F079" w14:textId="78D4B441" w:rsidR="00233F20" w:rsidRPr="00544B82" w:rsidRDefault="00521408" w:rsidP="000805D2">
            <w:pPr>
              <w:pStyle w:val="Issuedate"/>
              <w:spacing w:line="276" w:lineRule="auto"/>
              <w:rPr>
                <w:rFonts w:ascii="Arial" w:hAnsi="Arial" w:cs="Arial"/>
              </w:rPr>
            </w:pPr>
            <w:r>
              <w:rPr>
                <w:rFonts w:ascii="Arial" w:hAnsi="Arial" w:cs="Arial"/>
              </w:rPr>
              <w:t>04</w:t>
            </w:r>
            <w:r w:rsidR="00D45775" w:rsidRPr="00544B82">
              <w:rPr>
                <w:rFonts w:ascii="Arial" w:hAnsi="Arial" w:cs="Arial"/>
              </w:rPr>
              <w:t xml:space="preserve"> </w:t>
            </w:r>
            <w:r w:rsidR="000805D2">
              <w:rPr>
                <w:rFonts w:ascii="Arial" w:hAnsi="Arial" w:cs="Arial"/>
              </w:rPr>
              <w:t>March</w:t>
            </w:r>
            <w:r w:rsidR="000805D2" w:rsidRPr="00544B82">
              <w:rPr>
                <w:rFonts w:ascii="Arial" w:hAnsi="Arial" w:cs="Arial"/>
              </w:rPr>
              <w:t xml:space="preserve"> </w:t>
            </w:r>
            <w:r w:rsidR="00BC4E40" w:rsidRPr="00544B82">
              <w:rPr>
                <w:rFonts w:ascii="Arial" w:hAnsi="Arial" w:cs="Arial"/>
              </w:rPr>
              <w:t>2019</w:t>
            </w:r>
          </w:p>
        </w:tc>
        <w:tc>
          <w:tcPr>
            <w:tcW w:w="1137" w:type="dxa"/>
            <w:tcBorders>
              <w:top w:val="single" w:sz="12" w:space="0" w:color="auto"/>
            </w:tcBorders>
            <w:vAlign w:val="center"/>
          </w:tcPr>
          <w:p w14:paraId="65043071" w14:textId="77777777" w:rsidR="00233F20" w:rsidRPr="00544B82" w:rsidRDefault="00233F20" w:rsidP="00FB7D39">
            <w:pPr>
              <w:jc w:val="right"/>
              <w:rPr>
                <w:rFonts w:ascii="Arial" w:hAnsi="Arial" w:cs="Arial"/>
                <w:sz w:val="18"/>
              </w:rPr>
            </w:pPr>
          </w:p>
        </w:tc>
        <w:tc>
          <w:tcPr>
            <w:tcW w:w="2132" w:type="dxa"/>
            <w:tcBorders>
              <w:top w:val="single" w:sz="12" w:space="0" w:color="auto"/>
            </w:tcBorders>
          </w:tcPr>
          <w:p w14:paraId="6CC33AC3" w14:textId="59F25FBB" w:rsidR="00233F20" w:rsidRPr="00544B82" w:rsidRDefault="00233F20" w:rsidP="00366E44">
            <w:pPr>
              <w:pStyle w:val="Ref"/>
              <w:rPr>
                <w:rFonts w:ascii="Arial" w:hAnsi="Arial" w:cs="Arial"/>
              </w:rPr>
            </w:pPr>
          </w:p>
        </w:tc>
        <w:tc>
          <w:tcPr>
            <w:tcW w:w="711" w:type="dxa"/>
          </w:tcPr>
          <w:p w14:paraId="18B23145" w14:textId="77777777" w:rsidR="00233F20" w:rsidRPr="00544B82" w:rsidRDefault="00233F20" w:rsidP="00FB7D39">
            <w:pPr>
              <w:pStyle w:val="Bannerstrapline"/>
              <w:rPr>
                <w:rFonts w:ascii="Arial" w:hAnsi="Arial" w:cs="Arial"/>
              </w:rPr>
            </w:pPr>
          </w:p>
        </w:tc>
      </w:tr>
    </w:tbl>
    <w:p w14:paraId="60D22CFE" w14:textId="77777777" w:rsidR="00233F20" w:rsidRPr="00535288" w:rsidRDefault="00233F20" w:rsidP="00233F20">
      <w:pPr>
        <w:spacing w:line="360" w:lineRule="auto"/>
        <w:rPr>
          <w:rFonts w:asciiTheme="minorHAnsi" w:hAnsiTheme="minorHAnsi" w:cs="Arial"/>
          <w:b/>
          <w:sz w:val="36"/>
          <w:szCs w:val="36"/>
        </w:rPr>
      </w:pPr>
    </w:p>
    <w:p w14:paraId="7A14EEF3" w14:textId="4BBD7FDD" w:rsidR="00233F20" w:rsidRPr="00544B82" w:rsidRDefault="00BD0B55" w:rsidP="00233F20">
      <w:pPr>
        <w:jc w:val="center"/>
        <w:rPr>
          <w:rFonts w:ascii="Arial" w:hAnsi="Arial" w:cs="Arial"/>
          <w:b/>
          <w:bCs/>
          <w:color w:val="000000"/>
          <w:sz w:val="36"/>
          <w:szCs w:val="36"/>
          <w:lang w:eastAsia="en-GB"/>
        </w:rPr>
      </w:pPr>
      <w:r>
        <w:rPr>
          <w:rFonts w:ascii="Arial" w:hAnsi="Arial" w:cs="Arial"/>
          <w:b/>
          <w:bCs/>
          <w:color w:val="000000"/>
          <w:sz w:val="36"/>
          <w:szCs w:val="36"/>
          <w:lang w:eastAsia="en-GB"/>
        </w:rPr>
        <w:t>E</w:t>
      </w:r>
      <w:r w:rsidR="00FD4764">
        <w:rPr>
          <w:rFonts w:ascii="Arial" w:hAnsi="Arial" w:cs="Arial"/>
          <w:b/>
          <w:bCs/>
          <w:color w:val="000000"/>
          <w:sz w:val="36"/>
          <w:szCs w:val="36"/>
          <w:lang w:eastAsia="en-GB"/>
        </w:rPr>
        <w:t xml:space="preserve">state agents </w:t>
      </w:r>
      <w:r w:rsidR="009C4101">
        <w:rPr>
          <w:rFonts w:ascii="Arial" w:hAnsi="Arial" w:cs="Arial"/>
          <w:b/>
          <w:bCs/>
          <w:color w:val="000000"/>
          <w:sz w:val="36"/>
          <w:szCs w:val="36"/>
          <w:lang w:eastAsia="en-GB"/>
        </w:rPr>
        <w:t xml:space="preserve">targeted </w:t>
      </w:r>
      <w:r w:rsidR="003A668D">
        <w:rPr>
          <w:rFonts w:ascii="Arial" w:hAnsi="Arial" w:cs="Arial"/>
          <w:b/>
          <w:bCs/>
          <w:color w:val="000000"/>
          <w:sz w:val="36"/>
          <w:szCs w:val="36"/>
          <w:lang w:eastAsia="en-GB"/>
        </w:rPr>
        <w:t>in money laundering crackdown</w:t>
      </w:r>
    </w:p>
    <w:p w14:paraId="101FE8F3" w14:textId="77777777" w:rsidR="0090226E" w:rsidRPr="00C54195" w:rsidRDefault="0090226E" w:rsidP="00047412">
      <w:pPr>
        <w:pStyle w:val="ListParagraph"/>
        <w:ind w:left="440"/>
        <w:rPr>
          <w:rFonts w:asciiTheme="minorHAnsi" w:hAnsiTheme="minorHAnsi" w:cstheme="minorHAnsi"/>
          <w:b/>
          <w:bCs/>
          <w:color w:val="000000"/>
          <w:sz w:val="36"/>
          <w:szCs w:val="36"/>
          <w:lang w:eastAsia="en-GB"/>
        </w:rPr>
      </w:pPr>
    </w:p>
    <w:p w14:paraId="333871BE" w14:textId="7E500C1E" w:rsidR="00EB2CCA" w:rsidRDefault="00BD0B55" w:rsidP="00233F20">
      <w:pPr>
        <w:tabs>
          <w:tab w:val="left" w:pos="2868"/>
        </w:tabs>
        <w:spacing w:line="360" w:lineRule="auto"/>
        <w:rPr>
          <w:rFonts w:ascii="Arial" w:hAnsi="Arial" w:cs="Arial"/>
          <w:sz w:val="22"/>
          <w:szCs w:val="22"/>
        </w:rPr>
      </w:pPr>
      <w:r>
        <w:rPr>
          <w:rFonts w:ascii="Arial" w:hAnsi="Arial" w:cs="Arial"/>
          <w:sz w:val="22"/>
          <w:szCs w:val="22"/>
        </w:rPr>
        <w:t>E</w:t>
      </w:r>
      <w:r w:rsidR="00EB2CCA">
        <w:rPr>
          <w:rFonts w:ascii="Arial" w:hAnsi="Arial" w:cs="Arial"/>
          <w:sz w:val="22"/>
          <w:szCs w:val="22"/>
        </w:rPr>
        <w:t>state agents</w:t>
      </w:r>
      <w:r w:rsidR="00366E44">
        <w:rPr>
          <w:rFonts w:ascii="Arial" w:hAnsi="Arial" w:cs="Arial"/>
          <w:sz w:val="22"/>
          <w:szCs w:val="22"/>
        </w:rPr>
        <w:t xml:space="preserve"> </w:t>
      </w:r>
      <w:r w:rsidR="00EB2CCA">
        <w:rPr>
          <w:rFonts w:ascii="Arial" w:hAnsi="Arial" w:cs="Arial"/>
          <w:sz w:val="22"/>
          <w:szCs w:val="22"/>
        </w:rPr>
        <w:t xml:space="preserve">have been </w:t>
      </w:r>
      <w:r w:rsidR="009C4101">
        <w:rPr>
          <w:rFonts w:ascii="Arial" w:hAnsi="Arial" w:cs="Arial"/>
          <w:sz w:val="22"/>
          <w:szCs w:val="22"/>
        </w:rPr>
        <w:t xml:space="preserve">hit with unannounced inspections </w:t>
      </w:r>
      <w:r w:rsidR="00EB2CCA">
        <w:rPr>
          <w:rFonts w:ascii="Arial" w:hAnsi="Arial" w:cs="Arial"/>
          <w:sz w:val="22"/>
          <w:szCs w:val="22"/>
        </w:rPr>
        <w:t xml:space="preserve">as part of a </w:t>
      </w:r>
      <w:r w:rsidR="009C4101">
        <w:rPr>
          <w:rFonts w:ascii="Arial" w:hAnsi="Arial" w:cs="Arial"/>
          <w:sz w:val="22"/>
          <w:szCs w:val="22"/>
        </w:rPr>
        <w:t xml:space="preserve">week-long </w:t>
      </w:r>
      <w:r w:rsidR="00EB2CCA">
        <w:rPr>
          <w:rFonts w:ascii="Arial" w:hAnsi="Arial" w:cs="Arial"/>
          <w:sz w:val="22"/>
          <w:szCs w:val="22"/>
        </w:rPr>
        <w:t xml:space="preserve">crackdown on money laundering in the property </w:t>
      </w:r>
      <w:r w:rsidR="00DC6F39">
        <w:rPr>
          <w:rFonts w:ascii="Arial" w:hAnsi="Arial" w:cs="Arial"/>
          <w:sz w:val="22"/>
          <w:szCs w:val="22"/>
        </w:rPr>
        <w:t>industry</w:t>
      </w:r>
      <w:r w:rsidR="00EB2CCA">
        <w:rPr>
          <w:rFonts w:ascii="Arial" w:hAnsi="Arial" w:cs="Arial"/>
          <w:sz w:val="22"/>
          <w:szCs w:val="22"/>
        </w:rPr>
        <w:t>, HM Revenue and Customs (HMRC) has revealed.</w:t>
      </w:r>
    </w:p>
    <w:p w14:paraId="17705A19" w14:textId="77777777" w:rsidR="00EB2CCA" w:rsidRDefault="00EB2CCA" w:rsidP="00233F20">
      <w:pPr>
        <w:tabs>
          <w:tab w:val="left" w:pos="2868"/>
        </w:tabs>
        <w:spacing w:line="360" w:lineRule="auto"/>
        <w:rPr>
          <w:rFonts w:ascii="Arial" w:hAnsi="Arial" w:cs="Arial"/>
          <w:sz w:val="22"/>
          <w:szCs w:val="22"/>
        </w:rPr>
      </w:pPr>
    </w:p>
    <w:p w14:paraId="4C3D1CEA" w14:textId="43688147" w:rsidR="00F95105" w:rsidRDefault="009C4101" w:rsidP="009C4101">
      <w:pPr>
        <w:tabs>
          <w:tab w:val="left" w:pos="2868"/>
        </w:tabs>
        <w:spacing w:line="360" w:lineRule="auto"/>
        <w:rPr>
          <w:rFonts w:ascii="Arial" w:hAnsi="Arial" w:cs="Arial"/>
          <w:sz w:val="22"/>
          <w:szCs w:val="22"/>
        </w:rPr>
      </w:pPr>
      <w:r>
        <w:rPr>
          <w:rFonts w:ascii="Arial" w:hAnsi="Arial" w:cs="Arial"/>
          <w:sz w:val="22"/>
          <w:szCs w:val="22"/>
        </w:rPr>
        <w:t xml:space="preserve">HMRC officers </w:t>
      </w:r>
      <w:r w:rsidR="00FB4EAB">
        <w:rPr>
          <w:rFonts w:ascii="Arial" w:hAnsi="Arial" w:cs="Arial"/>
          <w:sz w:val="22"/>
          <w:szCs w:val="22"/>
        </w:rPr>
        <w:t>visited 50 estate agents across England</w:t>
      </w:r>
      <w:r w:rsidR="00366E44">
        <w:rPr>
          <w:rFonts w:ascii="Arial" w:hAnsi="Arial" w:cs="Arial"/>
          <w:sz w:val="22"/>
          <w:szCs w:val="22"/>
        </w:rPr>
        <w:t xml:space="preserve"> </w:t>
      </w:r>
      <w:r>
        <w:rPr>
          <w:rFonts w:ascii="Arial" w:hAnsi="Arial" w:cs="Arial"/>
          <w:sz w:val="22"/>
          <w:szCs w:val="22"/>
        </w:rPr>
        <w:t xml:space="preserve">after they were suspected of </w:t>
      </w:r>
      <w:r w:rsidR="00BD0B55">
        <w:rPr>
          <w:rFonts w:ascii="Arial" w:hAnsi="Arial" w:cs="Arial"/>
          <w:sz w:val="22"/>
          <w:szCs w:val="22"/>
        </w:rPr>
        <w:t>trading</w:t>
      </w:r>
      <w:r>
        <w:rPr>
          <w:rFonts w:ascii="Arial" w:hAnsi="Arial" w:cs="Arial"/>
          <w:sz w:val="22"/>
          <w:szCs w:val="22"/>
        </w:rPr>
        <w:t xml:space="preserve"> without being registered as required under money laundering r</w:t>
      </w:r>
      <w:r w:rsidR="00F95105">
        <w:rPr>
          <w:rFonts w:ascii="Arial" w:hAnsi="Arial" w:cs="Arial"/>
          <w:sz w:val="22"/>
          <w:szCs w:val="22"/>
        </w:rPr>
        <w:t>egulations</w:t>
      </w:r>
      <w:r w:rsidR="00F95105" w:rsidRPr="009C4101">
        <w:rPr>
          <w:rFonts w:ascii="Arial" w:hAnsi="Arial" w:cs="Arial"/>
          <w:sz w:val="22"/>
          <w:szCs w:val="22"/>
        </w:rPr>
        <w:t>.</w:t>
      </w:r>
    </w:p>
    <w:p w14:paraId="1ADB973D" w14:textId="77777777" w:rsidR="00BE781E" w:rsidRDefault="00BE781E" w:rsidP="00233F20">
      <w:pPr>
        <w:tabs>
          <w:tab w:val="left" w:pos="2868"/>
        </w:tabs>
        <w:spacing w:line="360" w:lineRule="auto"/>
        <w:rPr>
          <w:rFonts w:ascii="Arial" w:hAnsi="Arial" w:cs="Arial"/>
          <w:sz w:val="22"/>
          <w:szCs w:val="22"/>
        </w:rPr>
      </w:pPr>
    </w:p>
    <w:p w14:paraId="4B03CFE8" w14:textId="023D6347" w:rsidR="009C4101" w:rsidRDefault="009C4101" w:rsidP="00233F20">
      <w:pPr>
        <w:tabs>
          <w:tab w:val="left" w:pos="2868"/>
        </w:tabs>
        <w:spacing w:line="360" w:lineRule="auto"/>
        <w:rPr>
          <w:rFonts w:ascii="Arial" w:hAnsi="Arial" w:cs="Arial"/>
          <w:sz w:val="22"/>
          <w:szCs w:val="22"/>
        </w:rPr>
      </w:pPr>
      <w:r>
        <w:rPr>
          <w:rFonts w:ascii="Arial" w:hAnsi="Arial" w:cs="Arial"/>
          <w:sz w:val="22"/>
          <w:szCs w:val="22"/>
        </w:rPr>
        <w:t xml:space="preserve">The visits came as HMRC </w:t>
      </w:r>
      <w:r w:rsidR="007042B9">
        <w:rPr>
          <w:rFonts w:ascii="Arial" w:hAnsi="Arial" w:cs="Arial"/>
          <w:sz w:val="22"/>
          <w:szCs w:val="22"/>
        </w:rPr>
        <w:t xml:space="preserve">published the </w:t>
      </w:r>
      <w:r w:rsidR="00A6266F">
        <w:rPr>
          <w:rFonts w:ascii="Arial" w:hAnsi="Arial" w:cs="Arial"/>
          <w:sz w:val="22"/>
          <w:szCs w:val="22"/>
        </w:rPr>
        <w:t xml:space="preserve">latest businesses </w:t>
      </w:r>
      <w:r>
        <w:rPr>
          <w:rFonts w:ascii="Arial" w:hAnsi="Arial" w:cs="Arial"/>
          <w:sz w:val="22"/>
          <w:szCs w:val="22"/>
        </w:rPr>
        <w:t xml:space="preserve">hit with </w:t>
      </w:r>
      <w:r w:rsidR="0004682A">
        <w:rPr>
          <w:rFonts w:ascii="Arial" w:hAnsi="Arial" w:cs="Arial"/>
          <w:sz w:val="22"/>
          <w:szCs w:val="22"/>
        </w:rPr>
        <w:t>fines for failing to comply with the regulations</w:t>
      </w:r>
      <w:r w:rsidR="00A6266F">
        <w:rPr>
          <w:rFonts w:ascii="Arial" w:hAnsi="Arial" w:cs="Arial"/>
          <w:sz w:val="22"/>
          <w:szCs w:val="22"/>
        </w:rPr>
        <w:t xml:space="preserve">. This includes estate agent </w:t>
      </w:r>
      <w:r w:rsidR="0004682A">
        <w:rPr>
          <w:rFonts w:ascii="Arial" w:hAnsi="Arial" w:cs="Arial"/>
          <w:sz w:val="22"/>
          <w:szCs w:val="22"/>
        </w:rPr>
        <w:t xml:space="preserve">Countrywide </w:t>
      </w:r>
      <w:r w:rsidR="00FB4EAB">
        <w:rPr>
          <w:rFonts w:ascii="Arial" w:hAnsi="Arial" w:cs="Arial"/>
          <w:sz w:val="22"/>
          <w:szCs w:val="22"/>
        </w:rPr>
        <w:t xml:space="preserve">Estate Agents </w:t>
      </w:r>
      <w:r w:rsidR="0004682A">
        <w:rPr>
          <w:rFonts w:ascii="Arial" w:hAnsi="Arial" w:cs="Arial"/>
          <w:sz w:val="22"/>
          <w:szCs w:val="22"/>
        </w:rPr>
        <w:t xml:space="preserve">receiving </w:t>
      </w:r>
      <w:r>
        <w:rPr>
          <w:rFonts w:ascii="Arial" w:hAnsi="Arial" w:cs="Arial"/>
          <w:sz w:val="22"/>
          <w:szCs w:val="22"/>
        </w:rPr>
        <w:t>a £215,000 fine.</w:t>
      </w:r>
    </w:p>
    <w:p w14:paraId="6C4BCA4D" w14:textId="77777777" w:rsidR="009C4101" w:rsidRDefault="009C4101" w:rsidP="00233F20">
      <w:pPr>
        <w:tabs>
          <w:tab w:val="left" w:pos="2868"/>
        </w:tabs>
        <w:spacing w:line="360" w:lineRule="auto"/>
        <w:rPr>
          <w:rFonts w:ascii="Arial" w:hAnsi="Arial" w:cs="Arial"/>
          <w:sz w:val="22"/>
          <w:szCs w:val="22"/>
        </w:rPr>
      </w:pPr>
    </w:p>
    <w:p w14:paraId="02B72BEF" w14:textId="52E4101C" w:rsidR="009C4101" w:rsidRDefault="009C4101" w:rsidP="00233F20">
      <w:pPr>
        <w:tabs>
          <w:tab w:val="left" w:pos="2868"/>
        </w:tabs>
        <w:spacing w:line="360" w:lineRule="auto"/>
        <w:rPr>
          <w:rFonts w:ascii="Arial" w:hAnsi="Arial" w:cs="Arial"/>
          <w:sz w:val="22"/>
          <w:szCs w:val="22"/>
        </w:rPr>
      </w:pPr>
      <w:r>
        <w:rPr>
          <w:rFonts w:ascii="Arial" w:hAnsi="Arial" w:cs="Arial"/>
          <w:sz w:val="22"/>
          <w:szCs w:val="22"/>
        </w:rPr>
        <w:t xml:space="preserve">HMRC will now </w:t>
      </w:r>
      <w:r w:rsidR="00D771AB">
        <w:rPr>
          <w:rFonts w:ascii="Arial" w:hAnsi="Arial" w:cs="Arial"/>
          <w:sz w:val="22"/>
          <w:szCs w:val="22"/>
        </w:rPr>
        <w:t xml:space="preserve">take </w:t>
      </w:r>
      <w:r>
        <w:rPr>
          <w:rFonts w:ascii="Arial" w:hAnsi="Arial" w:cs="Arial"/>
          <w:sz w:val="22"/>
          <w:szCs w:val="22"/>
        </w:rPr>
        <w:t xml:space="preserve">action against the </w:t>
      </w:r>
      <w:r w:rsidR="00BD0B55">
        <w:rPr>
          <w:rFonts w:ascii="Arial" w:hAnsi="Arial" w:cs="Arial"/>
          <w:sz w:val="22"/>
          <w:szCs w:val="22"/>
        </w:rPr>
        <w:t xml:space="preserve">visited </w:t>
      </w:r>
      <w:r>
        <w:rPr>
          <w:rFonts w:ascii="Arial" w:hAnsi="Arial" w:cs="Arial"/>
          <w:sz w:val="22"/>
          <w:szCs w:val="22"/>
        </w:rPr>
        <w:t xml:space="preserve">businesses </w:t>
      </w:r>
      <w:r w:rsidR="00A6266F">
        <w:rPr>
          <w:rFonts w:ascii="Arial" w:hAnsi="Arial" w:cs="Arial"/>
          <w:sz w:val="22"/>
          <w:szCs w:val="22"/>
        </w:rPr>
        <w:t>who</w:t>
      </w:r>
      <w:r w:rsidR="006A0F2D">
        <w:rPr>
          <w:rFonts w:ascii="Arial" w:hAnsi="Arial" w:cs="Arial"/>
          <w:sz w:val="22"/>
          <w:szCs w:val="22"/>
        </w:rPr>
        <w:t xml:space="preserve"> have</w:t>
      </w:r>
      <w:r w:rsidR="00A6266F">
        <w:rPr>
          <w:rFonts w:ascii="Arial" w:hAnsi="Arial" w:cs="Arial"/>
          <w:sz w:val="22"/>
          <w:szCs w:val="22"/>
        </w:rPr>
        <w:t xml:space="preserve"> failed to comply</w:t>
      </w:r>
      <w:r>
        <w:rPr>
          <w:rFonts w:ascii="Arial" w:hAnsi="Arial" w:cs="Arial"/>
          <w:sz w:val="22"/>
          <w:szCs w:val="22"/>
        </w:rPr>
        <w:t>, which can include fines</w:t>
      </w:r>
      <w:r w:rsidR="00D771AB">
        <w:rPr>
          <w:rFonts w:ascii="Arial" w:hAnsi="Arial" w:cs="Arial"/>
          <w:sz w:val="22"/>
          <w:szCs w:val="22"/>
        </w:rPr>
        <w:t>, publication</w:t>
      </w:r>
      <w:r w:rsidR="009C1670">
        <w:rPr>
          <w:rFonts w:ascii="Arial" w:hAnsi="Arial" w:cs="Arial"/>
          <w:sz w:val="22"/>
          <w:szCs w:val="22"/>
        </w:rPr>
        <w:t xml:space="preserve"> and criminal proceedings</w:t>
      </w:r>
      <w:r>
        <w:rPr>
          <w:rFonts w:ascii="Arial" w:hAnsi="Arial" w:cs="Arial"/>
          <w:sz w:val="22"/>
          <w:szCs w:val="22"/>
        </w:rPr>
        <w:t>.</w:t>
      </w:r>
    </w:p>
    <w:p w14:paraId="43DEE5F2" w14:textId="77777777" w:rsidR="009C4101" w:rsidRDefault="009C4101" w:rsidP="009C4101">
      <w:pPr>
        <w:tabs>
          <w:tab w:val="left" w:pos="2868"/>
        </w:tabs>
        <w:spacing w:line="360" w:lineRule="auto"/>
        <w:rPr>
          <w:rFonts w:ascii="Arial" w:hAnsi="Arial" w:cs="Arial"/>
          <w:sz w:val="22"/>
          <w:szCs w:val="22"/>
        </w:rPr>
      </w:pPr>
    </w:p>
    <w:p w14:paraId="59B55B52" w14:textId="4692841C" w:rsidR="00815643" w:rsidRPr="00815643" w:rsidRDefault="00815643" w:rsidP="00815643">
      <w:pPr>
        <w:tabs>
          <w:tab w:val="left" w:pos="2868"/>
        </w:tabs>
        <w:spacing w:line="360" w:lineRule="auto"/>
        <w:rPr>
          <w:rFonts w:ascii="Arial" w:hAnsi="Arial" w:cs="Arial"/>
          <w:sz w:val="22"/>
          <w:szCs w:val="22"/>
        </w:rPr>
      </w:pPr>
      <w:r w:rsidRPr="00815643">
        <w:rPr>
          <w:rFonts w:ascii="Arial" w:hAnsi="Arial" w:cs="Arial"/>
          <w:sz w:val="22"/>
          <w:szCs w:val="22"/>
        </w:rPr>
        <w:t>John Glen, Economic Secretary to the Treasury</w:t>
      </w:r>
      <w:r w:rsidR="007108B2">
        <w:rPr>
          <w:rFonts w:ascii="Arial" w:hAnsi="Arial" w:cs="Arial"/>
          <w:sz w:val="22"/>
          <w:szCs w:val="22"/>
        </w:rPr>
        <w:t>,</w:t>
      </w:r>
      <w:r w:rsidRPr="00815643">
        <w:rPr>
          <w:rFonts w:ascii="Arial" w:hAnsi="Arial" w:cs="Arial"/>
          <w:sz w:val="22"/>
          <w:szCs w:val="22"/>
        </w:rPr>
        <w:t xml:space="preserve"> said:</w:t>
      </w:r>
    </w:p>
    <w:p w14:paraId="1D7D4D4E" w14:textId="77777777" w:rsidR="00815643" w:rsidRPr="00815643" w:rsidRDefault="00815643" w:rsidP="00815643">
      <w:pPr>
        <w:tabs>
          <w:tab w:val="left" w:pos="2868"/>
        </w:tabs>
        <w:spacing w:line="360" w:lineRule="auto"/>
        <w:rPr>
          <w:rFonts w:ascii="Arial" w:hAnsi="Arial" w:cs="Arial"/>
          <w:sz w:val="22"/>
          <w:szCs w:val="22"/>
        </w:rPr>
      </w:pPr>
    </w:p>
    <w:p w14:paraId="6B0B6E1E" w14:textId="0DBC6A77" w:rsidR="00815643" w:rsidRDefault="00815643" w:rsidP="00815643">
      <w:pPr>
        <w:tabs>
          <w:tab w:val="left" w:pos="2868"/>
        </w:tabs>
        <w:spacing w:line="360" w:lineRule="auto"/>
        <w:rPr>
          <w:rFonts w:ascii="Arial" w:hAnsi="Arial" w:cs="Arial"/>
          <w:sz w:val="22"/>
          <w:szCs w:val="22"/>
        </w:rPr>
      </w:pPr>
      <w:r w:rsidRPr="00815643">
        <w:rPr>
          <w:rFonts w:ascii="Arial" w:hAnsi="Arial" w:cs="Arial"/>
          <w:sz w:val="22"/>
          <w:szCs w:val="22"/>
        </w:rPr>
        <w:t>“The vast majority of estate agents play by the rules and help us to crack down on dirty money. But I have zero tolerance for firms prepared to turn a blind eye to the law. Money laundering regulation exists to help protect honest business, so anyone who flaunts the law should know th</w:t>
      </w:r>
      <w:r w:rsidR="00D047B1">
        <w:rPr>
          <w:rFonts w:ascii="Arial" w:hAnsi="Arial" w:cs="Arial"/>
          <w:sz w:val="22"/>
          <w:szCs w:val="22"/>
        </w:rPr>
        <w:t>at swift action will be taken.”</w:t>
      </w:r>
    </w:p>
    <w:p w14:paraId="24A5F533" w14:textId="77777777" w:rsidR="00D047B1" w:rsidRDefault="00D047B1" w:rsidP="00815643">
      <w:pPr>
        <w:tabs>
          <w:tab w:val="left" w:pos="2868"/>
        </w:tabs>
        <w:spacing w:line="360" w:lineRule="auto"/>
        <w:rPr>
          <w:rFonts w:ascii="Arial" w:hAnsi="Arial" w:cs="Arial"/>
          <w:sz w:val="22"/>
          <w:szCs w:val="22"/>
        </w:rPr>
      </w:pPr>
    </w:p>
    <w:p w14:paraId="3A6F0E06" w14:textId="77777777" w:rsidR="00D047B1" w:rsidRDefault="00D047B1" w:rsidP="00D047B1">
      <w:pPr>
        <w:pStyle w:val="NormalWeb"/>
        <w:spacing w:before="0" w:after="0" w:line="360" w:lineRule="auto"/>
        <w:rPr>
          <w:rFonts w:ascii="Arial" w:hAnsi="Arial" w:cs="Arial"/>
          <w:bCs/>
          <w:color w:val="000000"/>
          <w:sz w:val="22"/>
          <w:szCs w:val="22"/>
          <w:lang w:val="en"/>
        </w:rPr>
      </w:pPr>
      <w:r>
        <w:rPr>
          <w:rFonts w:ascii="Arial" w:hAnsi="Arial" w:cs="Arial"/>
          <w:bCs/>
          <w:color w:val="000000"/>
          <w:sz w:val="22"/>
          <w:szCs w:val="22"/>
          <w:lang w:val="en"/>
        </w:rPr>
        <w:t>Ben Wallace, Minister for National Security and Economic Crime, said:</w:t>
      </w:r>
    </w:p>
    <w:p w14:paraId="3A016EB0" w14:textId="77777777" w:rsidR="005446FB" w:rsidRDefault="005446FB" w:rsidP="00D047B1">
      <w:pPr>
        <w:pStyle w:val="NormalWeb"/>
        <w:spacing w:before="0" w:after="0" w:line="360" w:lineRule="auto"/>
        <w:rPr>
          <w:sz w:val="22"/>
          <w:szCs w:val="22"/>
        </w:rPr>
      </w:pPr>
    </w:p>
    <w:p w14:paraId="5179C0F7" w14:textId="77777777" w:rsidR="00D047B1" w:rsidRDefault="00D047B1" w:rsidP="00D047B1">
      <w:pPr>
        <w:pStyle w:val="NormalWeb"/>
        <w:spacing w:before="0" w:after="0" w:line="360" w:lineRule="auto"/>
        <w:rPr>
          <w:rFonts w:ascii="Arial" w:hAnsi="Arial" w:cs="Arial"/>
          <w:bCs/>
          <w:color w:val="000000"/>
          <w:sz w:val="22"/>
          <w:szCs w:val="22"/>
          <w:lang w:val="en"/>
        </w:rPr>
      </w:pPr>
      <w:r>
        <w:rPr>
          <w:rFonts w:ascii="Arial" w:hAnsi="Arial" w:cs="Arial"/>
          <w:bCs/>
          <w:color w:val="000000"/>
          <w:sz w:val="22"/>
          <w:szCs w:val="22"/>
          <w:lang w:val="en"/>
        </w:rPr>
        <w:lastRenderedPageBreak/>
        <w:t xml:space="preserve">“Criminals who seek to use this country as a place to launder money should be in no doubt that they have nowhere to hide. Estate agents are a crucial line of </w:t>
      </w:r>
      <w:proofErr w:type="spellStart"/>
      <w:r>
        <w:rPr>
          <w:rFonts w:ascii="Arial" w:hAnsi="Arial" w:cs="Arial"/>
          <w:bCs/>
          <w:color w:val="000000"/>
          <w:sz w:val="22"/>
          <w:szCs w:val="22"/>
          <w:lang w:val="en"/>
        </w:rPr>
        <w:t>defence</w:t>
      </w:r>
      <w:proofErr w:type="spellEnd"/>
      <w:r>
        <w:rPr>
          <w:rFonts w:ascii="Arial" w:hAnsi="Arial" w:cs="Arial"/>
          <w:bCs/>
          <w:color w:val="000000"/>
          <w:sz w:val="22"/>
          <w:szCs w:val="22"/>
          <w:lang w:val="en"/>
        </w:rPr>
        <w:t xml:space="preserve"> against them and that’s why they’re under a legal – and moral – obligation to file a report when they spot something amiss.</w:t>
      </w:r>
    </w:p>
    <w:p w14:paraId="46EC93D4" w14:textId="77777777" w:rsidR="00D047B1" w:rsidRDefault="00D047B1" w:rsidP="00D047B1">
      <w:pPr>
        <w:pStyle w:val="NormalWeb"/>
        <w:spacing w:before="0" w:after="0" w:line="360" w:lineRule="auto"/>
        <w:rPr>
          <w:rFonts w:ascii="Arial" w:hAnsi="Arial" w:cs="Arial"/>
          <w:bCs/>
          <w:color w:val="000000"/>
          <w:sz w:val="22"/>
          <w:szCs w:val="22"/>
          <w:lang w:val="en"/>
        </w:rPr>
      </w:pPr>
    </w:p>
    <w:p w14:paraId="7CF00C85" w14:textId="77777777" w:rsidR="00D047B1" w:rsidRDefault="00D047B1" w:rsidP="00D047B1">
      <w:pPr>
        <w:pStyle w:val="NormalWeb"/>
        <w:spacing w:before="0" w:after="0" w:line="360" w:lineRule="auto"/>
        <w:rPr>
          <w:sz w:val="22"/>
          <w:szCs w:val="22"/>
        </w:rPr>
      </w:pPr>
      <w:r>
        <w:rPr>
          <w:rFonts w:ascii="Arial" w:hAnsi="Arial" w:cs="Arial"/>
          <w:bCs/>
          <w:color w:val="000000"/>
          <w:sz w:val="22"/>
          <w:szCs w:val="22"/>
          <w:lang w:val="en"/>
        </w:rPr>
        <w:t xml:space="preserve">“It’s wrong to think of money laundering as a victimless crime. Those with dirty cash to clean don’t just sit on it – they reinvest it in serious </w:t>
      </w:r>
      <w:proofErr w:type="spellStart"/>
      <w:r>
        <w:rPr>
          <w:rFonts w:ascii="Arial" w:hAnsi="Arial" w:cs="Arial"/>
          <w:bCs/>
          <w:color w:val="000000"/>
          <w:sz w:val="22"/>
          <w:szCs w:val="22"/>
          <w:lang w:val="en"/>
        </w:rPr>
        <w:t>organised</w:t>
      </w:r>
      <w:proofErr w:type="spellEnd"/>
      <w:r>
        <w:rPr>
          <w:rFonts w:ascii="Arial" w:hAnsi="Arial" w:cs="Arial"/>
          <w:bCs/>
          <w:color w:val="000000"/>
          <w:sz w:val="22"/>
          <w:szCs w:val="22"/>
          <w:lang w:val="en"/>
        </w:rPr>
        <w:t xml:space="preserve"> crime, from drug importation to child sexual exploitation, human trafficking and even terrorism.”</w:t>
      </w:r>
    </w:p>
    <w:p w14:paraId="663DECCF" w14:textId="77777777" w:rsidR="00815643" w:rsidRDefault="00815643" w:rsidP="009C4101">
      <w:pPr>
        <w:tabs>
          <w:tab w:val="left" w:pos="2868"/>
        </w:tabs>
        <w:spacing w:line="360" w:lineRule="auto"/>
        <w:rPr>
          <w:rFonts w:ascii="Arial" w:hAnsi="Arial" w:cs="Arial"/>
          <w:sz w:val="22"/>
          <w:szCs w:val="22"/>
        </w:rPr>
      </w:pPr>
    </w:p>
    <w:p w14:paraId="59285DF6" w14:textId="77777777" w:rsidR="009C4101" w:rsidRPr="00544B82" w:rsidRDefault="009C4101" w:rsidP="009C4101">
      <w:pPr>
        <w:tabs>
          <w:tab w:val="left" w:pos="2868"/>
        </w:tabs>
        <w:spacing w:line="360" w:lineRule="auto"/>
        <w:rPr>
          <w:rFonts w:ascii="Arial" w:hAnsi="Arial" w:cs="Arial"/>
          <w:sz w:val="22"/>
          <w:szCs w:val="22"/>
        </w:rPr>
      </w:pPr>
      <w:r w:rsidRPr="00E3550B">
        <w:rPr>
          <w:rFonts w:ascii="Arial" w:hAnsi="Arial" w:cs="Arial"/>
          <w:sz w:val="22"/>
          <w:szCs w:val="22"/>
        </w:rPr>
        <w:t>Simon York, Director of HMRC’s Fraud Investigation Servic</w:t>
      </w:r>
      <w:r>
        <w:rPr>
          <w:rFonts w:ascii="Arial" w:hAnsi="Arial" w:cs="Arial"/>
          <w:sz w:val="22"/>
          <w:szCs w:val="22"/>
        </w:rPr>
        <w:t>e</w:t>
      </w:r>
      <w:r w:rsidRPr="00544B82">
        <w:rPr>
          <w:rFonts w:ascii="Arial" w:hAnsi="Arial" w:cs="Arial"/>
          <w:sz w:val="22"/>
          <w:szCs w:val="22"/>
        </w:rPr>
        <w:t>, said:</w:t>
      </w:r>
    </w:p>
    <w:p w14:paraId="7CA99987" w14:textId="77777777" w:rsidR="009C4101" w:rsidRPr="00544B82" w:rsidRDefault="009C4101" w:rsidP="009C4101">
      <w:pPr>
        <w:tabs>
          <w:tab w:val="left" w:pos="2868"/>
        </w:tabs>
        <w:spacing w:line="360" w:lineRule="auto"/>
        <w:rPr>
          <w:rFonts w:ascii="Arial" w:hAnsi="Arial" w:cs="Arial"/>
          <w:sz w:val="22"/>
          <w:szCs w:val="22"/>
        </w:rPr>
      </w:pPr>
    </w:p>
    <w:p w14:paraId="2C061720" w14:textId="5994CC73" w:rsidR="005B3E5F" w:rsidRPr="005B3E5F" w:rsidRDefault="005B3E5F" w:rsidP="005B3E5F">
      <w:pPr>
        <w:tabs>
          <w:tab w:val="left" w:pos="2868"/>
        </w:tabs>
        <w:spacing w:line="360" w:lineRule="auto"/>
        <w:rPr>
          <w:rFonts w:ascii="Arial" w:hAnsi="Arial" w:cs="Arial"/>
          <w:sz w:val="22"/>
          <w:szCs w:val="22"/>
        </w:rPr>
      </w:pPr>
      <w:r w:rsidRPr="005B3E5F">
        <w:rPr>
          <w:rFonts w:ascii="Arial" w:hAnsi="Arial" w:cs="Arial"/>
          <w:sz w:val="22"/>
          <w:szCs w:val="22"/>
        </w:rPr>
        <w:t>“Estate agents need to understand that criminals prey on weaknesses, so it’s vital they take all steps to protect themselves. The money laundering regulations are key to that, but there’s still a minority of agents who ignore their legal obligations. These</w:t>
      </w:r>
      <w:r w:rsidR="00FB4EAB">
        <w:rPr>
          <w:rFonts w:ascii="Arial" w:hAnsi="Arial" w:cs="Arial"/>
          <w:sz w:val="22"/>
          <w:szCs w:val="22"/>
        </w:rPr>
        <w:t xml:space="preserve"> inspections are a wake-</w:t>
      </w:r>
      <w:r w:rsidRPr="005B3E5F">
        <w:rPr>
          <w:rFonts w:ascii="Arial" w:hAnsi="Arial" w:cs="Arial"/>
          <w:sz w:val="22"/>
          <w:szCs w:val="22"/>
        </w:rPr>
        <w:t>up call that if you continue to trade illegally we will come knocking.”</w:t>
      </w:r>
    </w:p>
    <w:p w14:paraId="105BF6B2" w14:textId="77777777" w:rsidR="009C4101" w:rsidRDefault="009C4101" w:rsidP="00233F20">
      <w:pPr>
        <w:tabs>
          <w:tab w:val="left" w:pos="2868"/>
        </w:tabs>
        <w:spacing w:line="360" w:lineRule="auto"/>
        <w:rPr>
          <w:rFonts w:ascii="Arial" w:hAnsi="Arial" w:cs="Arial"/>
          <w:sz w:val="22"/>
          <w:szCs w:val="22"/>
        </w:rPr>
      </w:pPr>
    </w:p>
    <w:p w14:paraId="7776A34D" w14:textId="3C7430A2" w:rsidR="00F95105" w:rsidRDefault="009C4101" w:rsidP="00233F20">
      <w:pPr>
        <w:tabs>
          <w:tab w:val="left" w:pos="2868"/>
        </w:tabs>
        <w:spacing w:line="360" w:lineRule="auto"/>
        <w:rPr>
          <w:rFonts w:ascii="Arial" w:hAnsi="Arial" w:cs="Arial"/>
          <w:sz w:val="22"/>
          <w:szCs w:val="22"/>
        </w:rPr>
      </w:pPr>
      <w:r>
        <w:rPr>
          <w:rFonts w:ascii="Arial" w:hAnsi="Arial" w:cs="Arial"/>
          <w:sz w:val="22"/>
          <w:szCs w:val="22"/>
        </w:rPr>
        <w:t xml:space="preserve">This is the first such </w:t>
      </w:r>
      <w:r w:rsidR="00F63BBC" w:rsidRPr="009C4101">
        <w:rPr>
          <w:rFonts w:ascii="Arial" w:hAnsi="Arial" w:cs="Arial"/>
          <w:sz w:val="22"/>
          <w:szCs w:val="22"/>
        </w:rPr>
        <w:t>week of action</w:t>
      </w:r>
      <w:r w:rsidR="00F95105">
        <w:rPr>
          <w:rFonts w:ascii="Arial" w:hAnsi="Arial" w:cs="Arial"/>
          <w:sz w:val="22"/>
          <w:szCs w:val="22"/>
        </w:rPr>
        <w:t xml:space="preserve"> </w:t>
      </w:r>
      <w:r>
        <w:rPr>
          <w:rFonts w:ascii="Arial" w:hAnsi="Arial" w:cs="Arial"/>
          <w:sz w:val="22"/>
          <w:szCs w:val="22"/>
        </w:rPr>
        <w:t>involv</w:t>
      </w:r>
      <w:r w:rsidR="009C1670">
        <w:rPr>
          <w:rFonts w:ascii="Arial" w:hAnsi="Arial" w:cs="Arial"/>
          <w:sz w:val="22"/>
          <w:szCs w:val="22"/>
        </w:rPr>
        <w:t>ing</w:t>
      </w:r>
      <w:r>
        <w:rPr>
          <w:rFonts w:ascii="Arial" w:hAnsi="Arial" w:cs="Arial"/>
          <w:sz w:val="22"/>
          <w:szCs w:val="22"/>
        </w:rPr>
        <w:t xml:space="preserve"> intelligence-led</w:t>
      </w:r>
      <w:r w:rsidR="00FB4EAB">
        <w:rPr>
          <w:rFonts w:ascii="Arial" w:hAnsi="Arial" w:cs="Arial"/>
          <w:sz w:val="22"/>
          <w:szCs w:val="22"/>
        </w:rPr>
        <w:t>,</w:t>
      </w:r>
      <w:r>
        <w:rPr>
          <w:rFonts w:ascii="Arial" w:hAnsi="Arial" w:cs="Arial"/>
          <w:sz w:val="22"/>
          <w:szCs w:val="22"/>
        </w:rPr>
        <w:t xml:space="preserve"> </w:t>
      </w:r>
      <w:r w:rsidRPr="00672D00">
        <w:rPr>
          <w:rFonts w:ascii="Arial" w:hAnsi="Arial" w:cs="Arial"/>
          <w:sz w:val="22"/>
          <w:szCs w:val="22"/>
        </w:rPr>
        <w:t>co</w:t>
      </w:r>
      <w:r w:rsidR="006A0F2D" w:rsidRPr="00672D00">
        <w:rPr>
          <w:rFonts w:ascii="Arial" w:hAnsi="Arial" w:cs="Arial"/>
          <w:sz w:val="22"/>
          <w:szCs w:val="22"/>
        </w:rPr>
        <w:t>-</w:t>
      </w:r>
      <w:r w:rsidRPr="00672D00">
        <w:rPr>
          <w:rFonts w:ascii="Arial" w:hAnsi="Arial" w:cs="Arial"/>
          <w:sz w:val="22"/>
          <w:szCs w:val="22"/>
        </w:rPr>
        <w:t>ordinated</w:t>
      </w:r>
      <w:r>
        <w:rPr>
          <w:rFonts w:ascii="Arial" w:hAnsi="Arial" w:cs="Arial"/>
          <w:sz w:val="22"/>
          <w:szCs w:val="22"/>
        </w:rPr>
        <w:t xml:space="preserve"> </w:t>
      </w:r>
      <w:r w:rsidR="00BD0B55">
        <w:rPr>
          <w:rFonts w:ascii="Arial" w:hAnsi="Arial" w:cs="Arial"/>
          <w:sz w:val="22"/>
          <w:szCs w:val="22"/>
        </w:rPr>
        <w:t xml:space="preserve">activity </w:t>
      </w:r>
      <w:r w:rsidR="00F95105">
        <w:rPr>
          <w:rFonts w:ascii="Arial" w:hAnsi="Arial" w:cs="Arial"/>
          <w:sz w:val="22"/>
          <w:szCs w:val="22"/>
        </w:rPr>
        <w:t xml:space="preserve">aimed at estate agents </w:t>
      </w:r>
      <w:r>
        <w:rPr>
          <w:rFonts w:ascii="Arial" w:hAnsi="Arial" w:cs="Arial"/>
          <w:sz w:val="22"/>
          <w:szCs w:val="22"/>
        </w:rPr>
        <w:t>trading without registering with HMRC as legally required</w:t>
      </w:r>
      <w:r w:rsidR="00F95105">
        <w:rPr>
          <w:rFonts w:ascii="Arial" w:hAnsi="Arial" w:cs="Arial"/>
          <w:sz w:val="22"/>
          <w:szCs w:val="22"/>
        </w:rPr>
        <w:t>.</w:t>
      </w:r>
      <w:r w:rsidR="00A6266F">
        <w:rPr>
          <w:rFonts w:ascii="Arial" w:hAnsi="Arial" w:cs="Arial"/>
          <w:sz w:val="22"/>
          <w:szCs w:val="22"/>
        </w:rPr>
        <w:t xml:space="preserve"> </w:t>
      </w:r>
    </w:p>
    <w:p w14:paraId="6C6E4B34" w14:textId="77777777" w:rsidR="009C4101" w:rsidRDefault="009C4101" w:rsidP="00233F20">
      <w:pPr>
        <w:tabs>
          <w:tab w:val="left" w:pos="2868"/>
        </w:tabs>
        <w:spacing w:line="360" w:lineRule="auto"/>
        <w:rPr>
          <w:rFonts w:ascii="Arial" w:hAnsi="Arial" w:cs="Arial"/>
          <w:sz w:val="22"/>
          <w:szCs w:val="22"/>
        </w:rPr>
      </w:pPr>
    </w:p>
    <w:p w14:paraId="5E4800A7" w14:textId="3D5043EF" w:rsidR="009C4101" w:rsidRDefault="00C67456" w:rsidP="00233F20">
      <w:pPr>
        <w:tabs>
          <w:tab w:val="left" w:pos="2868"/>
        </w:tabs>
        <w:spacing w:line="360" w:lineRule="auto"/>
        <w:rPr>
          <w:rFonts w:ascii="Arial" w:hAnsi="Arial" w:cs="Arial"/>
          <w:sz w:val="22"/>
          <w:szCs w:val="22"/>
        </w:rPr>
      </w:pPr>
      <w:r>
        <w:rPr>
          <w:rFonts w:ascii="Arial" w:hAnsi="Arial" w:cs="Arial"/>
          <w:sz w:val="22"/>
          <w:szCs w:val="22"/>
        </w:rPr>
        <w:t xml:space="preserve">The visits involved </w:t>
      </w:r>
      <w:r w:rsidR="009C4101">
        <w:rPr>
          <w:rFonts w:ascii="Arial" w:hAnsi="Arial" w:cs="Arial"/>
          <w:sz w:val="22"/>
          <w:szCs w:val="22"/>
        </w:rPr>
        <w:t>HMRC inspectors question</w:t>
      </w:r>
      <w:r>
        <w:rPr>
          <w:rFonts w:ascii="Arial" w:hAnsi="Arial" w:cs="Arial"/>
          <w:sz w:val="22"/>
          <w:szCs w:val="22"/>
        </w:rPr>
        <w:t>ing</w:t>
      </w:r>
      <w:r w:rsidR="009C4101">
        <w:rPr>
          <w:rFonts w:ascii="Arial" w:hAnsi="Arial" w:cs="Arial"/>
          <w:sz w:val="22"/>
          <w:szCs w:val="22"/>
        </w:rPr>
        <w:t xml:space="preserve"> the businesses to establish whether they </w:t>
      </w:r>
      <w:r>
        <w:rPr>
          <w:rFonts w:ascii="Arial" w:hAnsi="Arial" w:cs="Arial"/>
          <w:sz w:val="22"/>
          <w:szCs w:val="22"/>
        </w:rPr>
        <w:t xml:space="preserve">were </w:t>
      </w:r>
      <w:r w:rsidR="009C4101">
        <w:rPr>
          <w:rFonts w:ascii="Arial" w:hAnsi="Arial" w:cs="Arial"/>
          <w:sz w:val="22"/>
          <w:szCs w:val="22"/>
        </w:rPr>
        <w:t>trading in breach of the regulations</w:t>
      </w:r>
      <w:r w:rsidR="00BD0B55">
        <w:rPr>
          <w:rFonts w:ascii="Arial" w:hAnsi="Arial" w:cs="Arial"/>
          <w:sz w:val="22"/>
          <w:szCs w:val="22"/>
        </w:rPr>
        <w:t xml:space="preserve">. Inspectors then assess whether </w:t>
      </w:r>
      <w:r w:rsidR="009C4101">
        <w:rPr>
          <w:rFonts w:ascii="Arial" w:hAnsi="Arial" w:cs="Arial"/>
          <w:sz w:val="22"/>
          <w:szCs w:val="22"/>
        </w:rPr>
        <w:t>any further action</w:t>
      </w:r>
      <w:r w:rsidR="00BD0B55">
        <w:rPr>
          <w:rFonts w:ascii="Arial" w:hAnsi="Arial" w:cs="Arial"/>
          <w:sz w:val="22"/>
          <w:szCs w:val="22"/>
        </w:rPr>
        <w:t xml:space="preserve"> is required</w:t>
      </w:r>
      <w:r w:rsidR="009C4101">
        <w:rPr>
          <w:rFonts w:ascii="Arial" w:hAnsi="Arial" w:cs="Arial"/>
          <w:sz w:val="22"/>
          <w:szCs w:val="22"/>
        </w:rPr>
        <w:t>.</w:t>
      </w:r>
    </w:p>
    <w:p w14:paraId="1D63B5B7" w14:textId="77777777" w:rsidR="00F95105" w:rsidRDefault="00F95105" w:rsidP="00233F20">
      <w:pPr>
        <w:tabs>
          <w:tab w:val="left" w:pos="2868"/>
        </w:tabs>
        <w:spacing w:line="360" w:lineRule="auto"/>
        <w:rPr>
          <w:rFonts w:ascii="Arial" w:hAnsi="Arial" w:cs="Arial"/>
          <w:sz w:val="22"/>
          <w:szCs w:val="22"/>
        </w:rPr>
      </w:pPr>
    </w:p>
    <w:p w14:paraId="10130E3E" w14:textId="7B764B33" w:rsidR="004E0A60" w:rsidRDefault="00BD0B55" w:rsidP="00233F20">
      <w:pPr>
        <w:tabs>
          <w:tab w:val="left" w:pos="2868"/>
        </w:tabs>
        <w:spacing w:line="360" w:lineRule="auto"/>
        <w:rPr>
          <w:rFonts w:ascii="Arial" w:hAnsi="Arial" w:cs="Arial"/>
          <w:sz w:val="22"/>
          <w:szCs w:val="22"/>
        </w:rPr>
      </w:pPr>
      <w:r>
        <w:rPr>
          <w:rFonts w:ascii="Arial" w:hAnsi="Arial" w:cs="Arial"/>
          <w:sz w:val="22"/>
          <w:szCs w:val="22"/>
        </w:rPr>
        <w:t>HMRC supervises m</w:t>
      </w:r>
      <w:r w:rsidR="004E0A60">
        <w:rPr>
          <w:rFonts w:ascii="Arial" w:hAnsi="Arial" w:cs="Arial"/>
          <w:sz w:val="22"/>
          <w:szCs w:val="22"/>
        </w:rPr>
        <w:t>ore than 11,000 residential and commercial estate agents across the UK</w:t>
      </w:r>
      <w:r>
        <w:rPr>
          <w:rFonts w:ascii="Arial" w:hAnsi="Arial" w:cs="Arial"/>
          <w:sz w:val="22"/>
          <w:szCs w:val="22"/>
        </w:rPr>
        <w:t xml:space="preserve"> and helps</w:t>
      </w:r>
      <w:r w:rsidR="004E0A60">
        <w:rPr>
          <w:rFonts w:ascii="Arial" w:hAnsi="Arial" w:cs="Arial"/>
          <w:sz w:val="22"/>
          <w:szCs w:val="22"/>
        </w:rPr>
        <w:t xml:space="preserve"> these business</w:t>
      </w:r>
      <w:r w:rsidR="00F854D4">
        <w:rPr>
          <w:rFonts w:ascii="Arial" w:hAnsi="Arial" w:cs="Arial"/>
          <w:sz w:val="22"/>
          <w:szCs w:val="22"/>
        </w:rPr>
        <w:t>es</w:t>
      </w:r>
      <w:r w:rsidR="004E0A60">
        <w:rPr>
          <w:rFonts w:ascii="Arial" w:hAnsi="Arial" w:cs="Arial"/>
          <w:sz w:val="22"/>
          <w:szCs w:val="22"/>
        </w:rPr>
        <w:t xml:space="preserve"> protect themselves from cr</w:t>
      </w:r>
      <w:r w:rsidR="00F854D4">
        <w:rPr>
          <w:rFonts w:ascii="Arial" w:hAnsi="Arial" w:cs="Arial"/>
          <w:sz w:val="22"/>
          <w:szCs w:val="22"/>
        </w:rPr>
        <w:t>iminals who use</w:t>
      </w:r>
      <w:r w:rsidR="004E0A60">
        <w:rPr>
          <w:rFonts w:ascii="Arial" w:hAnsi="Arial" w:cs="Arial"/>
          <w:sz w:val="22"/>
          <w:szCs w:val="22"/>
        </w:rPr>
        <w:t xml:space="preserve"> property</w:t>
      </w:r>
      <w:r w:rsidR="00F854D4">
        <w:rPr>
          <w:rFonts w:ascii="Arial" w:hAnsi="Arial" w:cs="Arial"/>
          <w:sz w:val="22"/>
          <w:szCs w:val="22"/>
        </w:rPr>
        <w:t xml:space="preserve"> sales</w:t>
      </w:r>
      <w:r w:rsidR="004E0A60">
        <w:rPr>
          <w:rFonts w:ascii="Arial" w:hAnsi="Arial" w:cs="Arial"/>
          <w:sz w:val="22"/>
          <w:szCs w:val="22"/>
        </w:rPr>
        <w:t xml:space="preserve"> to launder cash or finance terrorism.</w:t>
      </w:r>
    </w:p>
    <w:p w14:paraId="28B14AFD" w14:textId="77777777" w:rsidR="00CF0AFD" w:rsidRDefault="00CF0AFD" w:rsidP="00B76682">
      <w:pPr>
        <w:tabs>
          <w:tab w:val="left" w:pos="2868"/>
        </w:tabs>
        <w:spacing w:line="360" w:lineRule="auto"/>
        <w:rPr>
          <w:rFonts w:ascii="Arial" w:hAnsi="Arial" w:cs="Arial"/>
          <w:sz w:val="22"/>
          <w:szCs w:val="22"/>
        </w:rPr>
      </w:pPr>
    </w:p>
    <w:p w14:paraId="34969AE3" w14:textId="3F678547" w:rsidR="00F92FC3" w:rsidRDefault="00BD0B55" w:rsidP="00B76682">
      <w:pPr>
        <w:tabs>
          <w:tab w:val="left" w:pos="2868"/>
        </w:tabs>
        <w:spacing w:line="360" w:lineRule="auto"/>
        <w:rPr>
          <w:rFonts w:ascii="Arial" w:hAnsi="Arial" w:cs="Arial"/>
          <w:sz w:val="22"/>
          <w:szCs w:val="22"/>
        </w:rPr>
      </w:pPr>
      <w:r>
        <w:rPr>
          <w:rFonts w:ascii="Arial" w:hAnsi="Arial" w:cs="Arial"/>
          <w:sz w:val="22"/>
          <w:szCs w:val="22"/>
        </w:rPr>
        <w:t>W</w:t>
      </w:r>
      <w:r w:rsidR="00595522">
        <w:rPr>
          <w:rFonts w:ascii="Arial" w:hAnsi="Arial" w:cs="Arial"/>
          <w:sz w:val="22"/>
          <w:szCs w:val="22"/>
        </w:rPr>
        <w:t>ebinars</w:t>
      </w:r>
      <w:r w:rsidR="00F61A9B">
        <w:rPr>
          <w:rFonts w:ascii="Arial" w:hAnsi="Arial" w:cs="Arial"/>
          <w:sz w:val="22"/>
          <w:szCs w:val="22"/>
        </w:rPr>
        <w:t>, guidance and e-learning</w:t>
      </w:r>
      <w:r w:rsidR="00595522">
        <w:rPr>
          <w:rFonts w:ascii="Arial" w:hAnsi="Arial" w:cs="Arial"/>
          <w:sz w:val="22"/>
          <w:szCs w:val="22"/>
        </w:rPr>
        <w:t xml:space="preserve"> </w:t>
      </w:r>
      <w:r>
        <w:rPr>
          <w:rFonts w:ascii="Arial" w:hAnsi="Arial" w:cs="Arial"/>
          <w:sz w:val="22"/>
          <w:szCs w:val="22"/>
        </w:rPr>
        <w:t xml:space="preserve">have been produced by HMRC </w:t>
      </w:r>
      <w:r w:rsidR="00595522">
        <w:rPr>
          <w:rFonts w:ascii="Arial" w:hAnsi="Arial" w:cs="Arial"/>
          <w:sz w:val="22"/>
          <w:szCs w:val="22"/>
        </w:rPr>
        <w:t xml:space="preserve">to help </w:t>
      </w:r>
      <w:r w:rsidR="009C4101">
        <w:rPr>
          <w:rFonts w:ascii="Arial" w:hAnsi="Arial" w:cs="Arial"/>
          <w:sz w:val="22"/>
          <w:szCs w:val="22"/>
        </w:rPr>
        <w:t xml:space="preserve">guide and </w:t>
      </w:r>
      <w:r w:rsidR="00595522">
        <w:rPr>
          <w:rFonts w:ascii="Arial" w:hAnsi="Arial" w:cs="Arial"/>
          <w:sz w:val="22"/>
          <w:szCs w:val="22"/>
        </w:rPr>
        <w:t>educate estate agents</w:t>
      </w:r>
      <w:r w:rsidR="009C4101">
        <w:rPr>
          <w:rFonts w:ascii="Arial" w:hAnsi="Arial" w:cs="Arial"/>
          <w:sz w:val="22"/>
          <w:szCs w:val="22"/>
        </w:rPr>
        <w:t xml:space="preserve"> on their money laundering responsibilities</w:t>
      </w:r>
      <w:r w:rsidR="00595522">
        <w:rPr>
          <w:rFonts w:ascii="Arial" w:hAnsi="Arial" w:cs="Arial"/>
          <w:sz w:val="22"/>
          <w:szCs w:val="22"/>
        </w:rPr>
        <w:t>.</w:t>
      </w:r>
    </w:p>
    <w:p w14:paraId="10C0BB2D" w14:textId="77777777" w:rsidR="00595522" w:rsidRDefault="00595522" w:rsidP="00B76682">
      <w:pPr>
        <w:tabs>
          <w:tab w:val="left" w:pos="2868"/>
        </w:tabs>
        <w:spacing w:line="360" w:lineRule="auto"/>
        <w:rPr>
          <w:rFonts w:ascii="Arial" w:hAnsi="Arial" w:cs="Arial"/>
          <w:sz w:val="22"/>
          <w:szCs w:val="22"/>
        </w:rPr>
      </w:pPr>
    </w:p>
    <w:p w14:paraId="6380118D" w14:textId="089EA42A" w:rsidR="00BD0B55" w:rsidRDefault="00BD0B55" w:rsidP="00BD0B55">
      <w:pPr>
        <w:tabs>
          <w:tab w:val="left" w:pos="2868"/>
        </w:tabs>
        <w:spacing w:line="360" w:lineRule="auto"/>
        <w:rPr>
          <w:rFonts w:ascii="Arial" w:hAnsi="Arial" w:cs="Arial"/>
          <w:sz w:val="22"/>
          <w:szCs w:val="22"/>
        </w:rPr>
      </w:pPr>
      <w:r>
        <w:rPr>
          <w:rFonts w:ascii="Arial" w:hAnsi="Arial" w:cs="Arial"/>
          <w:sz w:val="22"/>
          <w:szCs w:val="22"/>
        </w:rPr>
        <w:t xml:space="preserve">The </w:t>
      </w:r>
      <w:r w:rsidR="00595522" w:rsidRPr="00027782">
        <w:rPr>
          <w:rFonts w:ascii="Arial" w:hAnsi="Arial" w:cs="Arial"/>
          <w:sz w:val="22"/>
          <w:szCs w:val="22"/>
        </w:rPr>
        <w:t xml:space="preserve">UK </w:t>
      </w:r>
      <w:r>
        <w:rPr>
          <w:rFonts w:ascii="Arial" w:hAnsi="Arial" w:cs="Arial"/>
          <w:sz w:val="22"/>
          <w:szCs w:val="22"/>
        </w:rPr>
        <w:t xml:space="preserve">was rated </w:t>
      </w:r>
      <w:r w:rsidR="00595522" w:rsidRPr="00027782">
        <w:rPr>
          <w:rFonts w:ascii="Arial" w:hAnsi="Arial" w:cs="Arial"/>
          <w:sz w:val="22"/>
          <w:szCs w:val="22"/>
        </w:rPr>
        <w:t>as having the most robust processes in the world for tackling money laundering</w:t>
      </w:r>
      <w:r>
        <w:rPr>
          <w:rFonts w:ascii="Arial" w:hAnsi="Arial" w:cs="Arial"/>
          <w:sz w:val="22"/>
          <w:szCs w:val="22"/>
        </w:rPr>
        <w:t xml:space="preserve"> </w:t>
      </w:r>
      <w:r w:rsidRPr="009C4101">
        <w:rPr>
          <w:rFonts w:ascii="Arial" w:hAnsi="Arial" w:cs="Arial"/>
          <w:sz w:val="22"/>
          <w:szCs w:val="22"/>
        </w:rPr>
        <w:t>by the Financial Action Task Force</w:t>
      </w:r>
      <w:r>
        <w:rPr>
          <w:rFonts w:ascii="Arial" w:hAnsi="Arial" w:cs="Arial"/>
          <w:sz w:val="22"/>
          <w:szCs w:val="22"/>
        </w:rPr>
        <w:t xml:space="preserve"> in a recent report.</w:t>
      </w:r>
    </w:p>
    <w:p w14:paraId="4DA30AF3" w14:textId="77777777" w:rsidR="00027782" w:rsidRDefault="00027782" w:rsidP="00027782">
      <w:pPr>
        <w:tabs>
          <w:tab w:val="left" w:pos="2868"/>
        </w:tabs>
        <w:spacing w:line="360" w:lineRule="auto"/>
        <w:rPr>
          <w:rFonts w:ascii="Arial" w:hAnsi="Arial" w:cs="Arial"/>
          <w:sz w:val="22"/>
          <w:szCs w:val="22"/>
        </w:rPr>
      </w:pPr>
    </w:p>
    <w:p w14:paraId="15208253" w14:textId="231EF875" w:rsidR="00E3550B" w:rsidRPr="007042B9" w:rsidRDefault="00027782" w:rsidP="00233F20">
      <w:pPr>
        <w:tabs>
          <w:tab w:val="left" w:pos="2868"/>
        </w:tabs>
        <w:spacing w:line="360" w:lineRule="auto"/>
        <w:rPr>
          <w:rFonts w:ascii="Arial" w:hAnsi="Arial" w:cs="Arial"/>
          <w:sz w:val="22"/>
          <w:szCs w:val="22"/>
        </w:rPr>
      </w:pPr>
      <w:r w:rsidRPr="00027782">
        <w:rPr>
          <w:rFonts w:ascii="Arial" w:hAnsi="Arial" w:cs="Arial"/>
          <w:sz w:val="22"/>
          <w:szCs w:val="22"/>
        </w:rPr>
        <w:t>HMRC</w:t>
      </w:r>
      <w:r>
        <w:rPr>
          <w:rFonts w:ascii="Arial" w:hAnsi="Arial" w:cs="Arial"/>
          <w:sz w:val="22"/>
          <w:szCs w:val="22"/>
        </w:rPr>
        <w:t xml:space="preserve"> has played a key part in</w:t>
      </w:r>
      <w:r w:rsidRPr="00027782">
        <w:rPr>
          <w:rFonts w:ascii="Arial" w:hAnsi="Arial" w:cs="Arial"/>
          <w:sz w:val="22"/>
          <w:szCs w:val="22"/>
        </w:rPr>
        <w:t xml:space="preserve"> this success. Over the past three years, it has carried out more than 5,</w:t>
      </w:r>
      <w:r w:rsidRPr="007042B9">
        <w:rPr>
          <w:rFonts w:ascii="Arial" w:hAnsi="Arial" w:cs="Arial"/>
          <w:sz w:val="22"/>
          <w:szCs w:val="22"/>
        </w:rPr>
        <w:t>000 interventions on supervised businesses, with 655 penalties worth £2.3m issued in 2017-18. In addition, HMRC recovered over £31million under the proceeds of Proceeds of Crime Act.</w:t>
      </w:r>
    </w:p>
    <w:p w14:paraId="1B34619B" w14:textId="77777777" w:rsidR="00E3550B" w:rsidRDefault="00E3550B" w:rsidP="00233F20">
      <w:pPr>
        <w:tabs>
          <w:tab w:val="left" w:pos="2868"/>
        </w:tabs>
        <w:spacing w:line="360" w:lineRule="auto"/>
        <w:rPr>
          <w:rFonts w:ascii="Arial" w:hAnsi="Arial" w:cs="Arial"/>
          <w:sz w:val="22"/>
          <w:szCs w:val="22"/>
        </w:rPr>
      </w:pPr>
    </w:p>
    <w:p w14:paraId="43912B4F" w14:textId="77777777" w:rsidR="00233F20" w:rsidRPr="007042B9" w:rsidRDefault="00233F20" w:rsidP="00233F20">
      <w:pPr>
        <w:tabs>
          <w:tab w:val="left" w:pos="2868"/>
        </w:tabs>
        <w:spacing w:line="360" w:lineRule="auto"/>
        <w:rPr>
          <w:rFonts w:ascii="Arial" w:hAnsi="Arial" w:cs="Arial"/>
          <w:b/>
          <w:sz w:val="22"/>
          <w:szCs w:val="22"/>
        </w:rPr>
      </w:pPr>
      <w:r w:rsidRPr="007042B9">
        <w:rPr>
          <w:rFonts w:ascii="Arial" w:hAnsi="Arial" w:cs="Arial"/>
          <w:b/>
          <w:sz w:val="22"/>
          <w:szCs w:val="22"/>
        </w:rPr>
        <w:t>Notes to Editors</w:t>
      </w:r>
    </w:p>
    <w:p w14:paraId="1B90D3A6" w14:textId="77777777" w:rsidR="00973342" w:rsidRPr="007042B9" w:rsidRDefault="00973342" w:rsidP="00233F20">
      <w:pPr>
        <w:tabs>
          <w:tab w:val="left" w:pos="2868"/>
        </w:tabs>
        <w:spacing w:line="360" w:lineRule="auto"/>
        <w:rPr>
          <w:rFonts w:ascii="Arial" w:hAnsi="Arial" w:cs="Arial"/>
          <w:b/>
          <w:sz w:val="22"/>
          <w:szCs w:val="22"/>
        </w:rPr>
      </w:pPr>
    </w:p>
    <w:p w14:paraId="16330E0A" w14:textId="4578AE32" w:rsidR="00F61A9B" w:rsidRPr="007042B9" w:rsidRDefault="00F61A9B" w:rsidP="00121A55">
      <w:pPr>
        <w:pStyle w:val="ListParagraph"/>
        <w:numPr>
          <w:ilvl w:val="0"/>
          <w:numId w:val="1"/>
        </w:numPr>
        <w:tabs>
          <w:tab w:val="left" w:pos="0"/>
          <w:tab w:val="left" w:pos="270"/>
          <w:tab w:val="left" w:pos="360"/>
        </w:tabs>
        <w:rPr>
          <w:rFonts w:ascii="Arial" w:hAnsi="Arial" w:cs="Arial"/>
          <w:sz w:val="22"/>
          <w:szCs w:val="22"/>
        </w:rPr>
      </w:pPr>
      <w:r w:rsidRPr="007042B9">
        <w:rPr>
          <w:rFonts w:ascii="Arial" w:hAnsi="Arial" w:cs="Arial"/>
          <w:sz w:val="22"/>
          <w:szCs w:val="22"/>
        </w:rPr>
        <w:lastRenderedPageBreak/>
        <w:t xml:space="preserve">List of businesses not complying with the Money Laundering Regulations 2017  </w:t>
      </w:r>
      <w:hyperlink r:id="rId6" w:history="1">
        <w:r w:rsidRPr="007042B9">
          <w:rPr>
            <w:rStyle w:val="Hyperlink"/>
            <w:rFonts w:ascii="Arial" w:hAnsi="Arial" w:cs="Arial"/>
            <w:sz w:val="22"/>
            <w:szCs w:val="22"/>
          </w:rPr>
          <w:t>https://www.gov.uk/government/publications/businesses-not-complying-with-money-laundering-regulations-in-2018-to-2019/current-list-of-businesses-that-have-not-complied-with-the-2017-money-laundering-regulations</w:t>
        </w:r>
      </w:hyperlink>
      <w:r w:rsidRPr="007042B9">
        <w:rPr>
          <w:rFonts w:ascii="Arial" w:hAnsi="Arial" w:cs="Arial"/>
          <w:sz w:val="22"/>
          <w:szCs w:val="22"/>
        </w:rPr>
        <w:t>.</w:t>
      </w:r>
    </w:p>
    <w:p w14:paraId="168452D9" w14:textId="77777777" w:rsidR="0004682A" w:rsidRPr="007042B9" w:rsidRDefault="0004682A" w:rsidP="0004682A">
      <w:pPr>
        <w:pStyle w:val="ListParagraph"/>
        <w:tabs>
          <w:tab w:val="left" w:pos="0"/>
          <w:tab w:val="left" w:pos="270"/>
          <w:tab w:val="left" w:pos="360"/>
        </w:tabs>
        <w:ind w:left="786"/>
        <w:rPr>
          <w:rFonts w:ascii="Arial" w:hAnsi="Arial" w:cs="Arial"/>
          <w:sz w:val="22"/>
          <w:szCs w:val="22"/>
        </w:rPr>
      </w:pPr>
    </w:p>
    <w:p w14:paraId="0A366061" w14:textId="77777777" w:rsidR="003661A7" w:rsidRDefault="003661A7" w:rsidP="003661A7">
      <w:pPr>
        <w:pStyle w:val="ListParagraph"/>
        <w:numPr>
          <w:ilvl w:val="0"/>
          <w:numId w:val="1"/>
        </w:numPr>
        <w:tabs>
          <w:tab w:val="left" w:pos="0"/>
          <w:tab w:val="left" w:pos="270"/>
          <w:tab w:val="left" w:pos="360"/>
        </w:tabs>
        <w:rPr>
          <w:rFonts w:ascii="Arial" w:hAnsi="Arial" w:cs="Arial"/>
          <w:sz w:val="22"/>
          <w:szCs w:val="22"/>
        </w:rPr>
      </w:pPr>
      <w:r>
        <w:rPr>
          <w:rFonts w:ascii="Arial" w:hAnsi="Arial" w:cs="Arial"/>
          <w:sz w:val="22"/>
          <w:szCs w:val="22"/>
        </w:rPr>
        <w:t xml:space="preserve">The estate agents visited were in: </w:t>
      </w:r>
    </w:p>
    <w:p w14:paraId="47D9F1E9" w14:textId="77777777" w:rsidR="003661A7" w:rsidRPr="003661A7" w:rsidRDefault="003661A7" w:rsidP="003661A7">
      <w:pPr>
        <w:pStyle w:val="ListParagraph"/>
        <w:rPr>
          <w:rFonts w:ascii="Arial" w:hAnsi="Arial" w:cs="Arial"/>
          <w:sz w:val="22"/>
          <w:szCs w:val="22"/>
        </w:rPr>
      </w:pPr>
    </w:p>
    <w:p w14:paraId="3AEE7A08" w14:textId="77777777" w:rsidR="003661A7" w:rsidRDefault="003661A7" w:rsidP="003661A7">
      <w:pPr>
        <w:pStyle w:val="ListParagraph"/>
        <w:numPr>
          <w:ilvl w:val="1"/>
          <w:numId w:val="7"/>
        </w:numPr>
        <w:tabs>
          <w:tab w:val="left" w:pos="0"/>
          <w:tab w:val="left" w:pos="270"/>
          <w:tab w:val="left" w:pos="360"/>
        </w:tabs>
        <w:rPr>
          <w:rFonts w:ascii="Arial" w:hAnsi="Arial" w:cs="Arial"/>
          <w:sz w:val="22"/>
          <w:szCs w:val="22"/>
        </w:rPr>
      </w:pPr>
      <w:r w:rsidRPr="003661A7">
        <w:rPr>
          <w:rFonts w:ascii="Arial" w:hAnsi="Arial" w:cs="Arial"/>
          <w:sz w:val="22"/>
          <w:szCs w:val="22"/>
        </w:rPr>
        <w:t xml:space="preserve">London (35) </w:t>
      </w:r>
    </w:p>
    <w:p w14:paraId="607E1581" w14:textId="77777777" w:rsidR="003661A7" w:rsidRDefault="003661A7" w:rsidP="003661A7">
      <w:pPr>
        <w:pStyle w:val="ListParagraph"/>
        <w:numPr>
          <w:ilvl w:val="1"/>
          <w:numId w:val="7"/>
        </w:numPr>
        <w:tabs>
          <w:tab w:val="left" w:pos="0"/>
          <w:tab w:val="left" w:pos="270"/>
          <w:tab w:val="left" w:pos="360"/>
        </w:tabs>
        <w:rPr>
          <w:rFonts w:ascii="Arial" w:hAnsi="Arial" w:cs="Arial"/>
          <w:sz w:val="22"/>
          <w:szCs w:val="22"/>
        </w:rPr>
      </w:pPr>
      <w:r w:rsidRPr="003661A7">
        <w:rPr>
          <w:rFonts w:ascii="Arial" w:hAnsi="Arial" w:cs="Arial"/>
          <w:sz w:val="22"/>
          <w:szCs w:val="22"/>
        </w:rPr>
        <w:t xml:space="preserve">Leicester (5) </w:t>
      </w:r>
    </w:p>
    <w:p w14:paraId="44310FC4" w14:textId="77777777" w:rsidR="003661A7" w:rsidRDefault="003661A7" w:rsidP="003661A7">
      <w:pPr>
        <w:pStyle w:val="ListParagraph"/>
        <w:numPr>
          <w:ilvl w:val="1"/>
          <w:numId w:val="7"/>
        </w:numPr>
        <w:tabs>
          <w:tab w:val="left" w:pos="0"/>
          <w:tab w:val="left" w:pos="270"/>
          <w:tab w:val="left" w:pos="360"/>
        </w:tabs>
        <w:rPr>
          <w:rFonts w:ascii="Arial" w:hAnsi="Arial" w:cs="Arial"/>
          <w:sz w:val="22"/>
          <w:szCs w:val="22"/>
        </w:rPr>
      </w:pPr>
      <w:r w:rsidRPr="003661A7">
        <w:rPr>
          <w:rFonts w:ascii="Arial" w:hAnsi="Arial" w:cs="Arial"/>
          <w:sz w:val="22"/>
          <w:szCs w:val="22"/>
        </w:rPr>
        <w:t xml:space="preserve">South Bucks and Berkshire (4) </w:t>
      </w:r>
    </w:p>
    <w:p w14:paraId="2EC112B5" w14:textId="43A68575" w:rsidR="003661A7" w:rsidRDefault="003661A7" w:rsidP="003661A7">
      <w:pPr>
        <w:pStyle w:val="ListParagraph"/>
        <w:numPr>
          <w:ilvl w:val="1"/>
          <w:numId w:val="7"/>
        </w:numPr>
        <w:tabs>
          <w:tab w:val="left" w:pos="0"/>
          <w:tab w:val="left" w:pos="270"/>
          <w:tab w:val="left" w:pos="360"/>
        </w:tabs>
        <w:rPr>
          <w:rFonts w:ascii="Arial" w:hAnsi="Arial" w:cs="Arial"/>
          <w:sz w:val="22"/>
          <w:szCs w:val="22"/>
        </w:rPr>
      </w:pPr>
      <w:r>
        <w:rPr>
          <w:rFonts w:ascii="Arial" w:hAnsi="Arial" w:cs="Arial"/>
          <w:sz w:val="22"/>
          <w:szCs w:val="22"/>
        </w:rPr>
        <w:t xml:space="preserve">Greater </w:t>
      </w:r>
      <w:r w:rsidRPr="003661A7">
        <w:rPr>
          <w:rFonts w:ascii="Arial" w:hAnsi="Arial" w:cs="Arial"/>
          <w:sz w:val="22"/>
          <w:szCs w:val="22"/>
        </w:rPr>
        <w:t xml:space="preserve">Manchester (3) </w:t>
      </w:r>
    </w:p>
    <w:p w14:paraId="142CFF27" w14:textId="77777777" w:rsidR="003661A7" w:rsidRDefault="003661A7" w:rsidP="003661A7">
      <w:pPr>
        <w:pStyle w:val="ListParagraph"/>
        <w:numPr>
          <w:ilvl w:val="1"/>
          <w:numId w:val="7"/>
        </w:numPr>
        <w:tabs>
          <w:tab w:val="left" w:pos="0"/>
          <w:tab w:val="left" w:pos="270"/>
          <w:tab w:val="left" w:pos="360"/>
        </w:tabs>
        <w:rPr>
          <w:rFonts w:ascii="Arial" w:hAnsi="Arial" w:cs="Arial"/>
          <w:sz w:val="22"/>
          <w:szCs w:val="22"/>
        </w:rPr>
      </w:pPr>
      <w:r w:rsidRPr="003661A7">
        <w:rPr>
          <w:rFonts w:ascii="Arial" w:hAnsi="Arial" w:cs="Arial"/>
          <w:sz w:val="22"/>
          <w:szCs w:val="22"/>
        </w:rPr>
        <w:t xml:space="preserve">Watford (1) </w:t>
      </w:r>
    </w:p>
    <w:p w14:paraId="05EC95A5" w14:textId="77777777" w:rsidR="003661A7" w:rsidRDefault="003661A7" w:rsidP="003661A7">
      <w:pPr>
        <w:pStyle w:val="ListParagraph"/>
        <w:numPr>
          <w:ilvl w:val="1"/>
          <w:numId w:val="7"/>
        </w:numPr>
        <w:tabs>
          <w:tab w:val="left" w:pos="0"/>
          <w:tab w:val="left" w:pos="270"/>
          <w:tab w:val="left" w:pos="360"/>
        </w:tabs>
        <w:rPr>
          <w:rFonts w:ascii="Arial" w:hAnsi="Arial" w:cs="Arial"/>
          <w:sz w:val="22"/>
          <w:szCs w:val="22"/>
        </w:rPr>
      </w:pPr>
      <w:r w:rsidRPr="003661A7">
        <w:rPr>
          <w:rFonts w:ascii="Arial" w:hAnsi="Arial" w:cs="Arial"/>
          <w:sz w:val="22"/>
          <w:szCs w:val="22"/>
        </w:rPr>
        <w:t xml:space="preserve">Wakefield (1) </w:t>
      </w:r>
    </w:p>
    <w:p w14:paraId="7304D8FD" w14:textId="6035A040" w:rsidR="003661A7" w:rsidRPr="003661A7" w:rsidRDefault="003661A7" w:rsidP="003661A7">
      <w:pPr>
        <w:pStyle w:val="ListParagraph"/>
        <w:numPr>
          <w:ilvl w:val="1"/>
          <w:numId w:val="7"/>
        </w:numPr>
        <w:tabs>
          <w:tab w:val="left" w:pos="0"/>
          <w:tab w:val="left" w:pos="270"/>
          <w:tab w:val="left" w:pos="360"/>
        </w:tabs>
        <w:rPr>
          <w:rFonts w:ascii="Arial" w:hAnsi="Arial" w:cs="Arial"/>
          <w:sz w:val="22"/>
          <w:szCs w:val="22"/>
        </w:rPr>
      </w:pPr>
      <w:r w:rsidRPr="003661A7">
        <w:rPr>
          <w:rFonts w:ascii="Arial" w:hAnsi="Arial" w:cs="Arial"/>
          <w:sz w:val="22"/>
          <w:szCs w:val="22"/>
        </w:rPr>
        <w:t xml:space="preserve">Wolverhampton (1) </w:t>
      </w:r>
    </w:p>
    <w:p w14:paraId="55BFEC65" w14:textId="77777777" w:rsidR="003661A7" w:rsidRDefault="003661A7" w:rsidP="003661A7">
      <w:pPr>
        <w:pStyle w:val="ListParagraph"/>
        <w:rPr>
          <w:rFonts w:ascii="Arial" w:hAnsi="Arial" w:cs="Arial"/>
          <w:sz w:val="22"/>
          <w:szCs w:val="22"/>
        </w:rPr>
      </w:pPr>
    </w:p>
    <w:p w14:paraId="48A4BD74" w14:textId="77777777" w:rsidR="003661A7" w:rsidRPr="003661A7" w:rsidRDefault="003661A7" w:rsidP="003661A7">
      <w:pPr>
        <w:pStyle w:val="ListParagraph"/>
        <w:rPr>
          <w:rFonts w:ascii="Arial" w:hAnsi="Arial" w:cs="Arial"/>
          <w:sz w:val="22"/>
          <w:szCs w:val="22"/>
        </w:rPr>
      </w:pPr>
    </w:p>
    <w:p w14:paraId="197A13F2" w14:textId="61443473" w:rsidR="00EE564A" w:rsidRPr="00EE564A" w:rsidRDefault="0004682A" w:rsidP="00EE564A">
      <w:pPr>
        <w:pStyle w:val="ListParagraph"/>
        <w:numPr>
          <w:ilvl w:val="0"/>
          <w:numId w:val="1"/>
        </w:numPr>
        <w:tabs>
          <w:tab w:val="left" w:pos="0"/>
          <w:tab w:val="left" w:pos="270"/>
          <w:tab w:val="left" w:pos="360"/>
        </w:tabs>
        <w:rPr>
          <w:rFonts w:ascii="Arial" w:hAnsi="Arial" w:cs="Arial"/>
          <w:sz w:val="22"/>
          <w:szCs w:val="22"/>
        </w:rPr>
      </w:pPr>
      <w:r w:rsidRPr="00EE564A">
        <w:rPr>
          <w:rFonts w:ascii="Arial" w:hAnsi="Arial" w:cs="Arial"/>
          <w:sz w:val="22"/>
          <w:szCs w:val="22"/>
        </w:rPr>
        <w:t>Educational resources for estate agents on MLR can be found here</w:t>
      </w:r>
      <w:r w:rsidR="00EE564A" w:rsidRPr="00EE564A">
        <w:rPr>
          <w:rFonts w:ascii="Arial" w:hAnsi="Arial" w:cs="Arial"/>
          <w:sz w:val="22"/>
          <w:szCs w:val="22"/>
        </w:rPr>
        <w:t xml:space="preserve"> </w:t>
      </w:r>
      <w:hyperlink r:id="rId7" w:anchor="estate-agency-businesses" w:history="1">
        <w:r w:rsidR="00EE564A" w:rsidRPr="00EE564A">
          <w:rPr>
            <w:rStyle w:val="Hyperlink"/>
            <w:rFonts w:ascii="Arial" w:hAnsi="Arial" w:cs="Arial"/>
            <w:sz w:val="22"/>
            <w:szCs w:val="22"/>
          </w:rPr>
          <w:t>www.gov.uk/guidance/help-and-support-for-anti-money-laundering#estate-agency-businesses</w:t>
        </w:r>
      </w:hyperlink>
    </w:p>
    <w:p w14:paraId="711B0B3D" w14:textId="77777777" w:rsidR="00EE564A" w:rsidRPr="00EE564A" w:rsidRDefault="00EE564A" w:rsidP="00E2664C">
      <w:pPr>
        <w:tabs>
          <w:tab w:val="left" w:pos="0"/>
          <w:tab w:val="left" w:pos="270"/>
          <w:tab w:val="left" w:pos="360"/>
        </w:tabs>
        <w:ind w:left="786"/>
        <w:rPr>
          <w:rFonts w:ascii="Arial" w:hAnsi="Arial" w:cs="Arial"/>
          <w:sz w:val="22"/>
          <w:szCs w:val="22"/>
        </w:rPr>
      </w:pPr>
    </w:p>
    <w:p w14:paraId="358B1DE5" w14:textId="77777777" w:rsidR="00EE564A" w:rsidRPr="007042B9" w:rsidRDefault="00EE564A" w:rsidP="00E2664C">
      <w:pPr>
        <w:tabs>
          <w:tab w:val="left" w:pos="0"/>
          <w:tab w:val="left" w:pos="270"/>
          <w:tab w:val="left" w:pos="360"/>
        </w:tabs>
        <w:ind w:left="786"/>
        <w:rPr>
          <w:rFonts w:ascii="Arial" w:hAnsi="Arial" w:cs="Arial"/>
          <w:sz w:val="22"/>
          <w:szCs w:val="22"/>
        </w:rPr>
      </w:pPr>
    </w:p>
    <w:p w14:paraId="58314AF2" w14:textId="77777777" w:rsidR="00233F20" w:rsidRPr="007042B9" w:rsidRDefault="00233F20" w:rsidP="00772F2C">
      <w:pPr>
        <w:numPr>
          <w:ilvl w:val="0"/>
          <w:numId w:val="1"/>
        </w:numPr>
        <w:tabs>
          <w:tab w:val="left" w:pos="0"/>
          <w:tab w:val="left" w:pos="270"/>
          <w:tab w:val="left" w:pos="360"/>
        </w:tabs>
        <w:rPr>
          <w:rFonts w:ascii="Arial" w:hAnsi="Arial" w:cs="Arial"/>
          <w:sz w:val="22"/>
          <w:szCs w:val="22"/>
        </w:rPr>
      </w:pPr>
      <w:r w:rsidRPr="007042B9">
        <w:rPr>
          <w:rFonts w:ascii="Arial" w:hAnsi="Arial" w:cs="Arial"/>
          <w:sz w:val="22"/>
          <w:szCs w:val="22"/>
        </w:rPr>
        <w:t>Follow HMRC’s Press Office on Twitter @</w:t>
      </w:r>
      <w:proofErr w:type="spellStart"/>
      <w:r w:rsidRPr="007042B9">
        <w:rPr>
          <w:rFonts w:ascii="Arial" w:hAnsi="Arial" w:cs="Arial"/>
          <w:sz w:val="22"/>
          <w:szCs w:val="22"/>
        </w:rPr>
        <w:t>HMRCpressoffice</w:t>
      </w:r>
      <w:proofErr w:type="spellEnd"/>
    </w:p>
    <w:p w14:paraId="7614FF73" w14:textId="77777777" w:rsidR="00233F20" w:rsidRPr="007042B9" w:rsidRDefault="00233F20" w:rsidP="00535288">
      <w:pPr>
        <w:tabs>
          <w:tab w:val="left" w:pos="0"/>
          <w:tab w:val="left" w:pos="270"/>
          <w:tab w:val="left" w:pos="360"/>
        </w:tabs>
        <w:ind w:left="720"/>
        <w:rPr>
          <w:rFonts w:ascii="Arial" w:hAnsi="Arial" w:cs="Arial"/>
          <w:sz w:val="22"/>
          <w:szCs w:val="22"/>
        </w:rPr>
      </w:pPr>
    </w:p>
    <w:p w14:paraId="1E98E14E" w14:textId="77777777" w:rsidR="00233F20" w:rsidRPr="007042B9" w:rsidRDefault="00233F20" w:rsidP="00535288">
      <w:pPr>
        <w:numPr>
          <w:ilvl w:val="0"/>
          <w:numId w:val="1"/>
        </w:numPr>
        <w:tabs>
          <w:tab w:val="left" w:pos="0"/>
          <w:tab w:val="left" w:pos="270"/>
          <w:tab w:val="left" w:pos="360"/>
        </w:tabs>
        <w:rPr>
          <w:rFonts w:ascii="Arial" w:hAnsi="Arial" w:cs="Arial"/>
          <w:sz w:val="22"/>
          <w:szCs w:val="22"/>
        </w:rPr>
      </w:pPr>
      <w:r w:rsidRPr="007042B9">
        <w:rPr>
          <w:rFonts w:ascii="Arial" w:hAnsi="Arial" w:cs="Arial"/>
          <w:sz w:val="22"/>
          <w:szCs w:val="22"/>
        </w:rPr>
        <w:t xml:space="preserve">HMRC’s Flickr channel </w:t>
      </w:r>
      <w:hyperlink r:id="rId8" w:history="1">
        <w:r w:rsidRPr="007042B9">
          <w:rPr>
            <w:rStyle w:val="Hyperlink"/>
            <w:rFonts w:ascii="Arial" w:hAnsi="Arial" w:cs="Arial"/>
            <w:sz w:val="22"/>
            <w:szCs w:val="22"/>
          </w:rPr>
          <w:t>www.flickr.com/hmrcgovuk</w:t>
        </w:r>
      </w:hyperlink>
    </w:p>
    <w:p w14:paraId="6A0830FE" w14:textId="77777777" w:rsidR="00233F20" w:rsidRPr="007042B9" w:rsidRDefault="00233F20" w:rsidP="00535288">
      <w:pPr>
        <w:tabs>
          <w:tab w:val="left" w:pos="2868"/>
        </w:tabs>
        <w:rPr>
          <w:rFonts w:ascii="Arial" w:hAnsi="Arial" w:cs="Arial"/>
          <w:b/>
          <w:sz w:val="22"/>
          <w:szCs w:val="22"/>
        </w:rPr>
      </w:pPr>
    </w:p>
    <w:p w14:paraId="574C814D" w14:textId="77777777" w:rsidR="00535288" w:rsidRPr="007042B9" w:rsidRDefault="00535288" w:rsidP="00535288">
      <w:pPr>
        <w:outlineLvl w:val="0"/>
        <w:rPr>
          <w:rFonts w:ascii="Arial" w:hAnsi="Arial" w:cs="Arial"/>
          <w:b/>
          <w:sz w:val="22"/>
          <w:szCs w:val="22"/>
        </w:rPr>
      </w:pPr>
    </w:p>
    <w:p w14:paraId="2D093892" w14:textId="77777777" w:rsidR="00233F20" w:rsidRPr="007042B9" w:rsidRDefault="00233F20" w:rsidP="00535288">
      <w:pPr>
        <w:outlineLvl w:val="0"/>
        <w:rPr>
          <w:rFonts w:ascii="Arial" w:hAnsi="Arial" w:cs="Arial"/>
          <w:b/>
          <w:sz w:val="22"/>
          <w:szCs w:val="22"/>
        </w:rPr>
      </w:pPr>
      <w:r w:rsidRPr="007042B9">
        <w:rPr>
          <w:rFonts w:ascii="Arial" w:hAnsi="Arial" w:cs="Arial"/>
          <w:b/>
          <w:sz w:val="22"/>
          <w:szCs w:val="22"/>
        </w:rPr>
        <w:t>Issued by HM Revenue &amp; Customs Press Office</w:t>
      </w:r>
    </w:p>
    <w:p w14:paraId="55CC0B76" w14:textId="77777777" w:rsidR="00E3550B" w:rsidRPr="007042B9" w:rsidRDefault="00E3550B" w:rsidP="00535288">
      <w:pPr>
        <w:outlineLvl w:val="0"/>
        <w:rPr>
          <w:rFonts w:ascii="Arial" w:hAnsi="Arial" w:cs="Arial"/>
          <w:b/>
          <w:sz w:val="22"/>
          <w:szCs w:val="22"/>
        </w:rPr>
      </w:pPr>
    </w:p>
    <w:p w14:paraId="0FE08037" w14:textId="77777777" w:rsidR="00233F20" w:rsidRPr="007042B9" w:rsidRDefault="00233F20" w:rsidP="00535288">
      <w:pPr>
        <w:outlineLvl w:val="0"/>
        <w:rPr>
          <w:rFonts w:ascii="Arial" w:hAnsi="Arial" w:cs="Arial"/>
          <w:b/>
          <w:sz w:val="22"/>
          <w:szCs w:val="22"/>
        </w:rPr>
      </w:pPr>
      <w:r w:rsidRPr="007042B9">
        <w:rPr>
          <w:rFonts w:ascii="Arial" w:hAnsi="Arial" w:cs="Arial"/>
          <w:b/>
          <w:sz w:val="22"/>
          <w:szCs w:val="22"/>
        </w:rPr>
        <w:t>Press enquiries only please contact:</w:t>
      </w:r>
    </w:p>
    <w:p w14:paraId="32A3895C" w14:textId="77777777" w:rsidR="00E3550B" w:rsidRPr="007042B9" w:rsidRDefault="00E3550B" w:rsidP="00535288">
      <w:pPr>
        <w:pStyle w:val="Contactdetails"/>
        <w:spacing w:line="240" w:lineRule="auto"/>
        <w:rPr>
          <w:rFonts w:ascii="Arial" w:hAnsi="Arial" w:cs="Arial"/>
          <w:sz w:val="22"/>
          <w:szCs w:val="22"/>
        </w:rPr>
      </w:pPr>
    </w:p>
    <w:p w14:paraId="46D95DEC" w14:textId="5ECA63FE" w:rsidR="00233F20" w:rsidRPr="00F1660E" w:rsidRDefault="00233F20" w:rsidP="00535288">
      <w:pPr>
        <w:pStyle w:val="Contactdetails"/>
        <w:spacing w:line="240" w:lineRule="auto"/>
        <w:rPr>
          <w:rFonts w:ascii="Arial" w:hAnsi="Arial" w:cs="Arial"/>
          <w:sz w:val="22"/>
          <w:szCs w:val="22"/>
        </w:rPr>
      </w:pPr>
      <w:r w:rsidRPr="00F1660E">
        <w:rPr>
          <w:rFonts w:ascii="Arial" w:hAnsi="Arial" w:cs="Arial"/>
          <w:sz w:val="22"/>
          <w:szCs w:val="22"/>
        </w:rPr>
        <w:t>Press Officer</w:t>
      </w:r>
      <w:r w:rsidR="00E3550B" w:rsidRPr="00F1660E">
        <w:rPr>
          <w:rFonts w:ascii="Arial" w:hAnsi="Arial" w:cs="Arial"/>
          <w:sz w:val="22"/>
          <w:szCs w:val="22"/>
        </w:rPr>
        <w:t>:</w:t>
      </w:r>
      <w:r w:rsidR="00F1660E" w:rsidRPr="00F1660E">
        <w:rPr>
          <w:rFonts w:ascii="Arial" w:hAnsi="Arial" w:cs="Arial"/>
          <w:sz w:val="22"/>
          <w:szCs w:val="22"/>
        </w:rPr>
        <w:t xml:space="preserve"> Ed Casson</w:t>
      </w:r>
    </w:p>
    <w:p w14:paraId="1BF4F5DC" w14:textId="15B06F82" w:rsidR="00233F20" w:rsidRPr="00F1660E" w:rsidRDefault="00E3550B" w:rsidP="00535288">
      <w:pPr>
        <w:pStyle w:val="Contactdetails"/>
        <w:spacing w:line="240" w:lineRule="auto"/>
        <w:rPr>
          <w:rFonts w:ascii="Arial" w:hAnsi="Arial" w:cs="Arial"/>
          <w:sz w:val="22"/>
          <w:szCs w:val="22"/>
        </w:rPr>
      </w:pPr>
      <w:r w:rsidRPr="00F1660E">
        <w:rPr>
          <w:rFonts w:ascii="Arial" w:hAnsi="Arial" w:cs="Arial"/>
          <w:sz w:val="22"/>
          <w:szCs w:val="22"/>
        </w:rPr>
        <w:t>Tel:</w:t>
      </w:r>
      <w:r w:rsidR="00F1660E" w:rsidRPr="00F1660E">
        <w:rPr>
          <w:rFonts w:ascii="Arial" w:hAnsi="Arial" w:cs="Arial"/>
          <w:sz w:val="22"/>
          <w:szCs w:val="22"/>
        </w:rPr>
        <w:t xml:space="preserve"> 03000 524697</w:t>
      </w:r>
    </w:p>
    <w:p w14:paraId="1F88CB92" w14:textId="15AC45B7" w:rsidR="00233F20" w:rsidRDefault="00233F20" w:rsidP="00535288">
      <w:pPr>
        <w:pStyle w:val="BodyText"/>
        <w:spacing w:line="240" w:lineRule="auto"/>
        <w:jc w:val="left"/>
        <w:rPr>
          <w:rFonts w:cs="Arial"/>
          <w:szCs w:val="22"/>
        </w:rPr>
      </w:pPr>
      <w:r w:rsidRPr="00F1660E">
        <w:rPr>
          <w:rFonts w:cs="Arial"/>
          <w:szCs w:val="22"/>
        </w:rPr>
        <w:t>Email:</w:t>
      </w:r>
      <w:r w:rsidR="009850FD" w:rsidRPr="007042B9">
        <w:rPr>
          <w:rFonts w:cs="Arial"/>
          <w:szCs w:val="22"/>
        </w:rPr>
        <w:t xml:space="preserve"> </w:t>
      </w:r>
      <w:hyperlink r:id="rId9" w:history="1">
        <w:r w:rsidR="00F1660E" w:rsidRPr="008E6A19">
          <w:rPr>
            <w:rStyle w:val="Hyperlink"/>
            <w:rFonts w:cs="Arial"/>
            <w:szCs w:val="22"/>
          </w:rPr>
          <w:t>ed.casson@hmrc.gsi.gov.uk</w:t>
        </w:r>
      </w:hyperlink>
      <w:bookmarkStart w:id="1" w:name="_GoBack"/>
      <w:bookmarkEnd w:id="1"/>
    </w:p>
    <w:p w14:paraId="5DF660ED" w14:textId="77777777" w:rsidR="00233F20" w:rsidRPr="007042B9" w:rsidRDefault="00233F20" w:rsidP="00535288">
      <w:pPr>
        <w:pStyle w:val="Contactdetails"/>
        <w:spacing w:line="240" w:lineRule="auto"/>
        <w:rPr>
          <w:rFonts w:ascii="Arial" w:hAnsi="Arial" w:cs="Arial"/>
          <w:sz w:val="22"/>
          <w:szCs w:val="22"/>
        </w:rPr>
      </w:pPr>
    </w:p>
    <w:p w14:paraId="4FF1497A" w14:textId="77777777" w:rsidR="00233F20" w:rsidRPr="007042B9" w:rsidRDefault="00233F20" w:rsidP="00535288">
      <w:pPr>
        <w:pStyle w:val="BodyText"/>
        <w:spacing w:line="240" w:lineRule="auto"/>
        <w:jc w:val="left"/>
        <w:rPr>
          <w:rFonts w:cs="Arial"/>
          <w:szCs w:val="22"/>
        </w:rPr>
      </w:pPr>
      <w:r w:rsidRPr="007042B9">
        <w:rPr>
          <w:rFonts w:cs="Arial"/>
          <w:szCs w:val="22"/>
        </w:rPr>
        <w:t>Out of hours</w:t>
      </w:r>
    </w:p>
    <w:p w14:paraId="769C9DF1" w14:textId="77777777" w:rsidR="00233F20" w:rsidRPr="007042B9" w:rsidRDefault="00233F20" w:rsidP="00535288">
      <w:pPr>
        <w:pStyle w:val="Contactdetails"/>
        <w:spacing w:line="240" w:lineRule="auto"/>
        <w:rPr>
          <w:rFonts w:ascii="Arial" w:hAnsi="Arial" w:cs="Arial"/>
          <w:sz w:val="22"/>
          <w:szCs w:val="22"/>
        </w:rPr>
      </w:pPr>
      <w:r w:rsidRPr="007042B9">
        <w:rPr>
          <w:rFonts w:ascii="Arial" w:hAnsi="Arial" w:cs="Arial"/>
          <w:sz w:val="22"/>
          <w:szCs w:val="22"/>
        </w:rPr>
        <w:t xml:space="preserve">Tel: </w:t>
      </w:r>
      <w:r w:rsidRPr="007042B9">
        <w:rPr>
          <w:rFonts w:ascii="Arial" w:hAnsi="Arial" w:cs="Arial"/>
          <w:sz w:val="22"/>
          <w:szCs w:val="22"/>
        </w:rPr>
        <w:tab/>
      </w:r>
      <w:r w:rsidRPr="007042B9">
        <w:rPr>
          <w:rFonts w:ascii="Arial" w:hAnsi="Arial" w:cs="Arial"/>
          <w:sz w:val="22"/>
          <w:szCs w:val="22"/>
        </w:rPr>
        <w:tab/>
        <w:t>07860 359544</w:t>
      </w:r>
    </w:p>
    <w:p w14:paraId="71641179" w14:textId="0736D71B" w:rsidR="00B9376B" w:rsidRPr="007042B9" w:rsidRDefault="00233F20" w:rsidP="00535288">
      <w:pPr>
        <w:rPr>
          <w:rFonts w:ascii="Arial" w:hAnsi="Arial" w:cs="Arial"/>
          <w:spacing w:val="-3"/>
          <w:sz w:val="22"/>
          <w:szCs w:val="22"/>
        </w:rPr>
      </w:pPr>
      <w:r w:rsidRPr="007042B9">
        <w:rPr>
          <w:rFonts w:ascii="Arial" w:hAnsi="Arial" w:cs="Arial"/>
          <w:b/>
          <w:sz w:val="22"/>
          <w:szCs w:val="22"/>
        </w:rPr>
        <w:t>Website</w:t>
      </w:r>
      <w:r w:rsidRPr="007042B9">
        <w:rPr>
          <w:rFonts w:ascii="Arial" w:hAnsi="Arial" w:cs="Arial"/>
          <w:b/>
          <w:sz w:val="22"/>
          <w:szCs w:val="22"/>
        </w:rPr>
        <w:tab/>
      </w:r>
      <w:hyperlink r:id="rId10" w:history="1">
        <w:r w:rsidRPr="007042B9">
          <w:rPr>
            <w:rStyle w:val="Hyperlink"/>
            <w:rFonts w:ascii="Arial" w:hAnsi="Arial" w:cs="Arial"/>
            <w:sz w:val="22"/>
            <w:szCs w:val="22"/>
          </w:rPr>
          <w:t>www.gov.uk/hmrc</w:t>
        </w:r>
      </w:hyperlink>
      <w:hyperlink r:id="rId11" w:history="1"/>
    </w:p>
    <w:sectPr w:rsidR="00B9376B" w:rsidRPr="007042B9" w:rsidSect="00207E3D">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4851"/>
    <w:multiLevelType w:val="hybridMultilevel"/>
    <w:tmpl w:val="0B40D984"/>
    <w:lvl w:ilvl="0" w:tplc="34E6AE8A">
      <w:start w:val="1"/>
      <w:numFmt w:val="decimal"/>
      <w:lvlText w:val="%1."/>
      <w:lvlJc w:val="left"/>
      <w:pPr>
        <w:ind w:left="786" w:hanging="360"/>
      </w:pPr>
    </w:lvl>
    <w:lvl w:ilvl="1" w:tplc="08090001">
      <w:start w:val="1"/>
      <w:numFmt w:val="bullet"/>
      <w:lvlText w:val=""/>
      <w:lvlJc w:val="left"/>
      <w:pPr>
        <w:ind w:left="1506" w:hanging="360"/>
      </w:pPr>
      <w:rPr>
        <w:rFonts w:ascii="Symbol" w:hAnsi="Symbol"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EDD6175"/>
    <w:multiLevelType w:val="hybridMultilevel"/>
    <w:tmpl w:val="06A07D6E"/>
    <w:lvl w:ilvl="0" w:tplc="C398152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C57E98"/>
    <w:multiLevelType w:val="hybridMultilevel"/>
    <w:tmpl w:val="CA363714"/>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C205C2"/>
    <w:multiLevelType w:val="hybridMultilevel"/>
    <w:tmpl w:val="15781F70"/>
    <w:lvl w:ilvl="0" w:tplc="1D4C4CA0">
      <w:numFmt w:val="bullet"/>
      <w:lvlText w:val="-"/>
      <w:lvlJc w:val="left"/>
      <w:pPr>
        <w:ind w:left="440" w:hanging="360"/>
      </w:pPr>
      <w:rPr>
        <w:rFonts w:ascii="Calibri" w:eastAsia="Times New Roman" w:hAnsi="Calibri" w:cs="Calibr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4" w15:restartNumberingAfterBreak="0">
    <w:nsid w:val="324E06E8"/>
    <w:multiLevelType w:val="hybridMultilevel"/>
    <w:tmpl w:val="883A8962"/>
    <w:lvl w:ilvl="0" w:tplc="34E6AE8A">
      <w:start w:val="1"/>
      <w:numFmt w:val="decimal"/>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44511BCA"/>
    <w:multiLevelType w:val="hybridMultilevel"/>
    <w:tmpl w:val="76B8E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A48209A"/>
    <w:multiLevelType w:val="hybridMultilevel"/>
    <w:tmpl w:val="BADC0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3"/>
  </w:num>
  <w:num w:numId="5">
    <w:abstractNumId w:val="1"/>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20"/>
    <w:rsid w:val="00027782"/>
    <w:rsid w:val="0004682A"/>
    <w:rsid w:val="00047412"/>
    <w:rsid w:val="0004798A"/>
    <w:rsid w:val="000805D2"/>
    <w:rsid w:val="000B611B"/>
    <w:rsid w:val="000E353A"/>
    <w:rsid w:val="00111AB7"/>
    <w:rsid w:val="00121A55"/>
    <w:rsid w:val="00125E43"/>
    <w:rsid w:val="00161F85"/>
    <w:rsid w:val="00195376"/>
    <w:rsid w:val="001E6649"/>
    <w:rsid w:val="0022244A"/>
    <w:rsid w:val="00233F20"/>
    <w:rsid w:val="00256A6C"/>
    <w:rsid w:val="0026204D"/>
    <w:rsid w:val="00282899"/>
    <w:rsid w:val="002A7350"/>
    <w:rsid w:val="002F240C"/>
    <w:rsid w:val="00314BB0"/>
    <w:rsid w:val="00352D05"/>
    <w:rsid w:val="003661A7"/>
    <w:rsid w:val="00366E44"/>
    <w:rsid w:val="003A668D"/>
    <w:rsid w:val="003B3673"/>
    <w:rsid w:val="00497A67"/>
    <w:rsid w:val="004A562C"/>
    <w:rsid w:val="004B1FD7"/>
    <w:rsid w:val="004E0A60"/>
    <w:rsid w:val="00502968"/>
    <w:rsid w:val="00521408"/>
    <w:rsid w:val="005230CF"/>
    <w:rsid w:val="00535288"/>
    <w:rsid w:val="00543C49"/>
    <w:rsid w:val="005446FB"/>
    <w:rsid w:val="00544B82"/>
    <w:rsid w:val="00567052"/>
    <w:rsid w:val="00570E38"/>
    <w:rsid w:val="005774A7"/>
    <w:rsid w:val="00595522"/>
    <w:rsid w:val="005B3E5F"/>
    <w:rsid w:val="00636692"/>
    <w:rsid w:val="00672D00"/>
    <w:rsid w:val="006A0F2D"/>
    <w:rsid w:val="00701EB7"/>
    <w:rsid w:val="007042B9"/>
    <w:rsid w:val="007108B2"/>
    <w:rsid w:val="0072189C"/>
    <w:rsid w:val="00772F2C"/>
    <w:rsid w:val="007A7208"/>
    <w:rsid w:val="007B7071"/>
    <w:rsid w:val="00815643"/>
    <w:rsid w:val="008841F5"/>
    <w:rsid w:val="0090226E"/>
    <w:rsid w:val="00973342"/>
    <w:rsid w:val="009850FD"/>
    <w:rsid w:val="009A25AD"/>
    <w:rsid w:val="009C1670"/>
    <w:rsid w:val="009C4101"/>
    <w:rsid w:val="009D3A6D"/>
    <w:rsid w:val="009E47CA"/>
    <w:rsid w:val="00A6266F"/>
    <w:rsid w:val="00AA4E20"/>
    <w:rsid w:val="00AE3813"/>
    <w:rsid w:val="00B47029"/>
    <w:rsid w:val="00B64B4E"/>
    <w:rsid w:val="00B76682"/>
    <w:rsid w:val="00B80090"/>
    <w:rsid w:val="00B9376B"/>
    <w:rsid w:val="00BC4E40"/>
    <w:rsid w:val="00BC4F44"/>
    <w:rsid w:val="00BD0B55"/>
    <w:rsid w:val="00BD4319"/>
    <w:rsid w:val="00BE781E"/>
    <w:rsid w:val="00C54195"/>
    <w:rsid w:val="00C67456"/>
    <w:rsid w:val="00C85314"/>
    <w:rsid w:val="00C85DBD"/>
    <w:rsid w:val="00CF0AFD"/>
    <w:rsid w:val="00D047B1"/>
    <w:rsid w:val="00D4451A"/>
    <w:rsid w:val="00D45775"/>
    <w:rsid w:val="00D63615"/>
    <w:rsid w:val="00D771AB"/>
    <w:rsid w:val="00D815A6"/>
    <w:rsid w:val="00D92CC6"/>
    <w:rsid w:val="00DC6F39"/>
    <w:rsid w:val="00E2664C"/>
    <w:rsid w:val="00E3550B"/>
    <w:rsid w:val="00E61C4E"/>
    <w:rsid w:val="00E82A20"/>
    <w:rsid w:val="00EA1E5A"/>
    <w:rsid w:val="00EA4FB3"/>
    <w:rsid w:val="00EB2CCA"/>
    <w:rsid w:val="00EC7B64"/>
    <w:rsid w:val="00EE564A"/>
    <w:rsid w:val="00F1660E"/>
    <w:rsid w:val="00F325E9"/>
    <w:rsid w:val="00F61A9B"/>
    <w:rsid w:val="00F63BBC"/>
    <w:rsid w:val="00F735A0"/>
    <w:rsid w:val="00F854D4"/>
    <w:rsid w:val="00F92FC3"/>
    <w:rsid w:val="00F95105"/>
    <w:rsid w:val="00FB4EAB"/>
    <w:rsid w:val="00FD4764"/>
    <w:rsid w:val="00FD4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4BFF"/>
  <w15:chartTrackingRefBased/>
  <w15:docId w15:val="{91F64EF0-C441-4569-BE4C-08D55427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F2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33F20"/>
  </w:style>
  <w:style w:type="character" w:customStyle="1" w:styleId="FootnoteTextChar">
    <w:name w:val="Footnote Text Char"/>
    <w:basedOn w:val="DefaultParagraphFont"/>
    <w:link w:val="FootnoteText"/>
    <w:semiHidden/>
    <w:rsid w:val="00233F20"/>
    <w:rPr>
      <w:rFonts w:ascii="Times New Roman" w:eastAsia="Times New Roman" w:hAnsi="Times New Roman" w:cs="Times New Roman"/>
      <w:sz w:val="20"/>
      <w:szCs w:val="20"/>
    </w:rPr>
  </w:style>
  <w:style w:type="paragraph" w:styleId="BodyText">
    <w:name w:val="Body Text"/>
    <w:basedOn w:val="Normal"/>
    <w:link w:val="BodyTextChar"/>
    <w:rsid w:val="00233F20"/>
    <w:pPr>
      <w:spacing w:line="360" w:lineRule="auto"/>
      <w:jc w:val="both"/>
    </w:pPr>
    <w:rPr>
      <w:rFonts w:ascii="Arial" w:hAnsi="Arial"/>
      <w:sz w:val="22"/>
    </w:rPr>
  </w:style>
  <w:style w:type="character" w:customStyle="1" w:styleId="BodyTextChar">
    <w:name w:val="Body Text Char"/>
    <w:basedOn w:val="DefaultParagraphFont"/>
    <w:link w:val="BodyText"/>
    <w:rsid w:val="00233F20"/>
    <w:rPr>
      <w:rFonts w:ascii="Arial" w:eastAsia="Times New Roman" w:hAnsi="Arial" w:cs="Times New Roman"/>
      <w:szCs w:val="20"/>
    </w:rPr>
  </w:style>
  <w:style w:type="character" w:styleId="Hyperlink">
    <w:name w:val="Hyperlink"/>
    <w:uiPriority w:val="99"/>
    <w:rsid w:val="00233F20"/>
    <w:rPr>
      <w:color w:val="0000FF"/>
      <w:u w:val="single"/>
    </w:rPr>
  </w:style>
  <w:style w:type="paragraph" w:styleId="NormalWeb">
    <w:name w:val="Normal (Web)"/>
    <w:basedOn w:val="Normal"/>
    <w:uiPriority w:val="99"/>
    <w:rsid w:val="00233F20"/>
    <w:pPr>
      <w:spacing w:before="100" w:after="100"/>
    </w:pPr>
    <w:rPr>
      <w:rFonts w:ascii="Arial Unicode MS" w:eastAsia="Arial Unicode MS" w:hAnsi="Arial Unicode MS"/>
      <w:sz w:val="24"/>
    </w:rPr>
  </w:style>
  <w:style w:type="paragraph" w:customStyle="1" w:styleId="Issuedate">
    <w:name w:val="Issue date"/>
    <w:basedOn w:val="Normal"/>
    <w:rsid w:val="00233F20"/>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233F20"/>
    <w:pPr>
      <w:jc w:val="right"/>
    </w:pPr>
  </w:style>
  <w:style w:type="paragraph" w:customStyle="1" w:styleId="Bannerstrapline">
    <w:name w:val="Banner strapline"/>
    <w:basedOn w:val="Normal"/>
    <w:rsid w:val="00233F20"/>
    <w:pPr>
      <w:overflowPunct w:val="0"/>
      <w:autoSpaceDE w:val="0"/>
      <w:autoSpaceDN w:val="0"/>
      <w:adjustRightInd w:val="0"/>
      <w:spacing w:before="120" w:after="120"/>
      <w:textAlignment w:val="baseline"/>
    </w:pPr>
  </w:style>
  <w:style w:type="paragraph" w:customStyle="1" w:styleId="Ref">
    <w:name w:val="Ref"/>
    <w:basedOn w:val="Issuedate"/>
    <w:rsid w:val="00233F20"/>
    <w:pPr>
      <w:jc w:val="right"/>
    </w:pPr>
  </w:style>
  <w:style w:type="paragraph" w:customStyle="1" w:styleId="Contactdetails">
    <w:name w:val="Contact details"/>
    <w:basedOn w:val="Normal"/>
    <w:rsid w:val="00233F20"/>
    <w:pPr>
      <w:overflowPunct w:val="0"/>
      <w:autoSpaceDE w:val="0"/>
      <w:autoSpaceDN w:val="0"/>
      <w:adjustRightInd w:val="0"/>
      <w:spacing w:line="240" w:lineRule="exact"/>
      <w:textAlignment w:val="baseline"/>
    </w:pPr>
    <w:rPr>
      <w:sz w:val="16"/>
    </w:rPr>
  </w:style>
  <w:style w:type="paragraph" w:styleId="NoSpacing">
    <w:name w:val="No Spacing"/>
    <w:uiPriority w:val="1"/>
    <w:qFormat/>
    <w:rsid w:val="00772F2C"/>
    <w:pPr>
      <w:spacing w:after="0" w:line="240" w:lineRule="auto"/>
    </w:pPr>
  </w:style>
  <w:style w:type="paragraph" w:styleId="ListParagraph">
    <w:name w:val="List Paragraph"/>
    <w:basedOn w:val="Normal"/>
    <w:uiPriority w:val="34"/>
    <w:qFormat/>
    <w:rsid w:val="00772F2C"/>
    <w:pPr>
      <w:ind w:left="720"/>
      <w:contextualSpacing/>
    </w:pPr>
  </w:style>
  <w:style w:type="paragraph" w:styleId="BalloonText">
    <w:name w:val="Balloon Text"/>
    <w:basedOn w:val="Normal"/>
    <w:link w:val="BalloonTextChar"/>
    <w:uiPriority w:val="99"/>
    <w:semiHidden/>
    <w:unhideWhenUsed/>
    <w:rsid w:val="009022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26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63BBC"/>
    <w:rPr>
      <w:sz w:val="16"/>
      <w:szCs w:val="16"/>
    </w:rPr>
  </w:style>
  <w:style w:type="paragraph" w:styleId="CommentText">
    <w:name w:val="annotation text"/>
    <w:basedOn w:val="Normal"/>
    <w:link w:val="CommentTextChar"/>
    <w:uiPriority w:val="99"/>
    <w:semiHidden/>
    <w:unhideWhenUsed/>
    <w:rsid w:val="00F63BBC"/>
  </w:style>
  <w:style w:type="character" w:customStyle="1" w:styleId="CommentTextChar">
    <w:name w:val="Comment Text Char"/>
    <w:basedOn w:val="DefaultParagraphFont"/>
    <w:link w:val="CommentText"/>
    <w:uiPriority w:val="99"/>
    <w:semiHidden/>
    <w:rsid w:val="00F63B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3BBC"/>
    <w:rPr>
      <w:b/>
      <w:bCs/>
    </w:rPr>
  </w:style>
  <w:style w:type="character" w:customStyle="1" w:styleId="CommentSubjectChar">
    <w:name w:val="Comment Subject Char"/>
    <w:basedOn w:val="CommentTextChar"/>
    <w:link w:val="CommentSubject"/>
    <w:uiPriority w:val="99"/>
    <w:semiHidden/>
    <w:rsid w:val="00F63B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40012">
      <w:bodyDiv w:val="1"/>
      <w:marLeft w:val="0"/>
      <w:marRight w:val="0"/>
      <w:marTop w:val="0"/>
      <w:marBottom w:val="0"/>
      <w:divBdr>
        <w:top w:val="none" w:sz="0" w:space="0" w:color="auto"/>
        <w:left w:val="none" w:sz="0" w:space="0" w:color="auto"/>
        <w:bottom w:val="none" w:sz="0" w:space="0" w:color="auto"/>
        <w:right w:val="none" w:sz="0" w:space="0" w:color="auto"/>
      </w:divBdr>
    </w:div>
    <w:div w:id="271673763">
      <w:bodyDiv w:val="1"/>
      <w:marLeft w:val="0"/>
      <w:marRight w:val="0"/>
      <w:marTop w:val="0"/>
      <w:marBottom w:val="0"/>
      <w:divBdr>
        <w:top w:val="none" w:sz="0" w:space="0" w:color="auto"/>
        <w:left w:val="none" w:sz="0" w:space="0" w:color="auto"/>
        <w:bottom w:val="none" w:sz="0" w:space="0" w:color="auto"/>
        <w:right w:val="none" w:sz="0" w:space="0" w:color="auto"/>
      </w:divBdr>
    </w:div>
    <w:div w:id="348145086">
      <w:bodyDiv w:val="1"/>
      <w:marLeft w:val="0"/>
      <w:marRight w:val="0"/>
      <w:marTop w:val="0"/>
      <w:marBottom w:val="0"/>
      <w:divBdr>
        <w:top w:val="none" w:sz="0" w:space="0" w:color="auto"/>
        <w:left w:val="none" w:sz="0" w:space="0" w:color="auto"/>
        <w:bottom w:val="none" w:sz="0" w:space="0" w:color="auto"/>
        <w:right w:val="none" w:sz="0" w:space="0" w:color="auto"/>
      </w:divBdr>
    </w:div>
    <w:div w:id="392897872">
      <w:bodyDiv w:val="1"/>
      <w:marLeft w:val="0"/>
      <w:marRight w:val="0"/>
      <w:marTop w:val="0"/>
      <w:marBottom w:val="0"/>
      <w:divBdr>
        <w:top w:val="none" w:sz="0" w:space="0" w:color="auto"/>
        <w:left w:val="none" w:sz="0" w:space="0" w:color="auto"/>
        <w:bottom w:val="none" w:sz="0" w:space="0" w:color="auto"/>
        <w:right w:val="none" w:sz="0" w:space="0" w:color="auto"/>
      </w:divBdr>
    </w:div>
    <w:div w:id="501748004">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807433639">
      <w:bodyDiv w:val="1"/>
      <w:marLeft w:val="0"/>
      <w:marRight w:val="0"/>
      <w:marTop w:val="0"/>
      <w:marBottom w:val="0"/>
      <w:divBdr>
        <w:top w:val="none" w:sz="0" w:space="0" w:color="auto"/>
        <w:left w:val="none" w:sz="0" w:space="0" w:color="auto"/>
        <w:bottom w:val="none" w:sz="0" w:space="0" w:color="auto"/>
        <w:right w:val="none" w:sz="0" w:space="0" w:color="auto"/>
      </w:divBdr>
    </w:div>
    <w:div w:id="869340836">
      <w:bodyDiv w:val="1"/>
      <w:marLeft w:val="0"/>
      <w:marRight w:val="0"/>
      <w:marTop w:val="0"/>
      <w:marBottom w:val="0"/>
      <w:divBdr>
        <w:top w:val="none" w:sz="0" w:space="0" w:color="auto"/>
        <w:left w:val="none" w:sz="0" w:space="0" w:color="auto"/>
        <w:bottom w:val="none" w:sz="0" w:space="0" w:color="auto"/>
        <w:right w:val="none" w:sz="0" w:space="0" w:color="auto"/>
      </w:divBdr>
    </w:div>
    <w:div w:id="879051202">
      <w:bodyDiv w:val="1"/>
      <w:marLeft w:val="0"/>
      <w:marRight w:val="0"/>
      <w:marTop w:val="0"/>
      <w:marBottom w:val="0"/>
      <w:divBdr>
        <w:top w:val="none" w:sz="0" w:space="0" w:color="auto"/>
        <w:left w:val="none" w:sz="0" w:space="0" w:color="auto"/>
        <w:bottom w:val="none" w:sz="0" w:space="0" w:color="auto"/>
        <w:right w:val="none" w:sz="0" w:space="0" w:color="auto"/>
      </w:divBdr>
    </w:div>
    <w:div w:id="1820685491">
      <w:bodyDiv w:val="1"/>
      <w:marLeft w:val="0"/>
      <w:marRight w:val="0"/>
      <w:marTop w:val="0"/>
      <w:marBottom w:val="0"/>
      <w:divBdr>
        <w:top w:val="none" w:sz="0" w:space="0" w:color="auto"/>
        <w:left w:val="none" w:sz="0" w:space="0" w:color="auto"/>
        <w:bottom w:val="none" w:sz="0" w:space="0" w:color="auto"/>
        <w:right w:val="none" w:sz="0" w:space="0" w:color="auto"/>
      </w:divBdr>
    </w:div>
    <w:div w:id="212476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ickr.com/hmrc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uk/guidance/help-and-support-for-anti-money-launde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businesses-not-complying-with-money-laundering-regulations-in-2018-to-2019/current-list-of-businesses-that-have-not-complied-with-the-2017-money-laundering-regulations" TargetMode="External"/><Relationship Id="rId11" Type="http://schemas.openxmlformats.org/officeDocument/2006/relationships/hyperlink" Target="http://www.hmrc.gov.uk" TargetMode="External"/><Relationship Id="rId5" Type="http://schemas.openxmlformats.org/officeDocument/2006/relationships/image" Target="media/image1.jpeg"/><Relationship Id="rId10" Type="http://schemas.openxmlformats.org/officeDocument/2006/relationships/hyperlink" Target="http://www.gov.uk/hmrc" TargetMode="External"/><Relationship Id="rId4" Type="http://schemas.openxmlformats.org/officeDocument/2006/relationships/webSettings" Target="webSettings.xml"/><Relationship Id="rId9" Type="http://schemas.openxmlformats.org/officeDocument/2006/relationships/hyperlink" Target="mailto:ed.casson@hmrc.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Hodson, Suzanne (Corp Comms Press Office)</dc:creator>
  <cp:keywords/>
  <dc:description/>
  <cp:lastModifiedBy>Casson, Ed (HMRC Comms Press Office)</cp:lastModifiedBy>
  <cp:revision>4</cp:revision>
  <dcterms:created xsi:type="dcterms:W3CDTF">2019-03-04T10:05:00Z</dcterms:created>
  <dcterms:modified xsi:type="dcterms:W3CDTF">2019-03-04T10:07:00Z</dcterms:modified>
</cp:coreProperties>
</file>