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2B" w:rsidRPr="001054C6" w:rsidRDefault="00660BBA">
      <w:pPr>
        <w:rPr>
          <w:b/>
          <w:sz w:val="32"/>
          <w:szCs w:val="32"/>
        </w:rPr>
      </w:pPr>
      <w:bookmarkStart w:id="0" w:name="_GoBack"/>
      <w:bookmarkEnd w:id="0"/>
      <w:r w:rsidRPr="001054C6">
        <w:rPr>
          <w:b/>
          <w:sz w:val="32"/>
          <w:szCs w:val="32"/>
        </w:rPr>
        <w:t xml:space="preserve">Verhaltene </w:t>
      </w:r>
      <w:r w:rsidR="00A0714B" w:rsidRPr="001054C6">
        <w:rPr>
          <w:b/>
          <w:sz w:val="32"/>
          <w:szCs w:val="32"/>
        </w:rPr>
        <w:t>Aussichten</w:t>
      </w:r>
    </w:p>
    <w:p w:rsidR="00F6582B" w:rsidRPr="001054C6" w:rsidRDefault="008163A1">
      <w:pPr>
        <w:rPr>
          <w:b/>
          <w:sz w:val="24"/>
          <w:szCs w:val="24"/>
        </w:rPr>
      </w:pPr>
      <w:r>
        <w:rPr>
          <w:b/>
          <w:sz w:val="24"/>
          <w:szCs w:val="24"/>
        </w:rPr>
        <w:t>Das globale Wirtschaftswachstum wird sich 2019 abschwächen</w:t>
      </w:r>
      <w:r w:rsidR="00D97B8A" w:rsidRPr="001054C6">
        <w:rPr>
          <w:b/>
          <w:sz w:val="24"/>
          <w:szCs w:val="24"/>
        </w:rPr>
        <w:t xml:space="preserve">. Das </w:t>
      </w:r>
      <w:r w:rsidR="001054C6">
        <w:rPr>
          <w:b/>
          <w:sz w:val="24"/>
          <w:szCs w:val="24"/>
        </w:rPr>
        <w:t>dämpft</w:t>
      </w:r>
      <w:r w:rsidR="00D97B8A" w:rsidRPr="001054C6">
        <w:rPr>
          <w:b/>
          <w:sz w:val="24"/>
          <w:szCs w:val="24"/>
        </w:rPr>
        <w:t xml:space="preserve"> auch die </w:t>
      </w:r>
      <w:r w:rsidR="001054C6">
        <w:rPr>
          <w:b/>
          <w:sz w:val="24"/>
          <w:szCs w:val="24"/>
        </w:rPr>
        <w:t>Erwartungen</w:t>
      </w:r>
      <w:r w:rsidR="00D97B8A" w:rsidRPr="001054C6">
        <w:rPr>
          <w:b/>
          <w:sz w:val="24"/>
          <w:szCs w:val="24"/>
        </w:rPr>
        <w:t xml:space="preserve"> an den Finanzmärkten</w:t>
      </w:r>
      <w:r w:rsidR="001719A1" w:rsidRPr="001054C6">
        <w:rPr>
          <w:b/>
          <w:sz w:val="24"/>
          <w:szCs w:val="24"/>
        </w:rPr>
        <w:t>.</w:t>
      </w:r>
    </w:p>
    <w:p w:rsidR="00D97B8A" w:rsidRPr="001054C6" w:rsidRDefault="00D97B8A">
      <w:pPr>
        <w:rPr>
          <w:sz w:val="24"/>
          <w:szCs w:val="24"/>
        </w:rPr>
      </w:pPr>
      <w:r w:rsidRPr="001054C6">
        <w:rPr>
          <w:sz w:val="24"/>
          <w:szCs w:val="24"/>
        </w:rPr>
        <w:t xml:space="preserve">Schwächere Konjunkturdaten </w:t>
      </w:r>
      <w:r w:rsidR="001054C6">
        <w:rPr>
          <w:sz w:val="24"/>
          <w:szCs w:val="24"/>
        </w:rPr>
        <w:t>und schwelende</w:t>
      </w:r>
      <w:r w:rsidRPr="001054C6">
        <w:rPr>
          <w:sz w:val="24"/>
          <w:szCs w:val="24"/>
        </w:rPr>
        <w:t xml:space="preserve"> politische Risiken haben in den vergangenen Monaten zu Kursrückgängen an den internationalen Finanzmärkten geführt und die Anlegerstimmung entsprechend getrübt.</w:t>
      </w:r>
    </w:p>
    <w:p w:rsidR="00D97B8A" w:rsidRPr="001054C6" w:rsidRDefault="00E86129">
      <w:pPr>
        <w:rPr>
          <w:sz w:val="24"/>
          <w:szCs w:val="24"/>
        </w:rPr>
      </w:pPr>
      <w:r>
        <w:rPr>
          <w:sz w:val="24"/>
          <w:szCs w:val="24"/>
        </w:rPr>
        <w:t xml:space="preserve">„Wir gehen davon aus, dass </w:t>
      </w:r>
      <w:r w:rsidR="001054C6">
        <w:rPr>
          <w:sz w:val="24"/>
          <w:szCs w:val="24"/>
        </w:rPr>
        <w:t>diese Entwicklung</w:t>
      </w:r>
      <w:r w:rsidR="00842941">
        <w:rPr>
          <w:sz w:val="24"/>
          <w:szCs w:val="24"/>
        </w:rPr>
        <w:t>en</w:t>
      </w:r>
      <w:r>
        <w:rPr>
          <w:sz w:val="24"/>
          <w:szCs w:val="24"/>
        </w:rPr>
        <w:t xml:space="preserve"> auch 2019 </w:t>
      </w:r>
      <w:r w:rsidR="00842941">
        <w:rPr>
          <w:sz w:val="24"/>
          <w:szCs w:val="24"/>
        </w:rPr>
        <w:t>die Märkte beeinflussen werden</w:t>
      </w:r>
      <w:r>
        <w:rPr>
          <w:sz w:val="24"/>
          <w:szCs w:val="24"/>
        </w:rPr>
        <w:t xml:space="preserve"> und sich</w:t>
      </w:r>
      <w:r w:rsidR="001054C6">
        <w:rPr>
          <w:sz w:val="24"/>
          <w:szCs w:val="24"/>
        </w:rPr>
        <w:t xml:space="preserve"> </w:t>
      </w:r>
      <w:r w:rsidR="003438E4" w:rsidRPr="001054C6">
        <w:rPr>
          <w:sz w:val="24"/>
          <w:szCs w:val="24"/>
        </w:rPr>
        <w:t>das g</w:t>
      </w:r>
      <w:r>
        <w:rPr>
          <w:sz w:val="24"/>
          <w:szCs w:val="24"/>
        </w:rPr>
        <w:t xml:space="preserve">lobale Wirtschaftswachstum </w:t>
      </w:r>
      <w:r w:rsidR="003438E4" w:rsidRPr="001054C6">
        <w:rPr>
          <w:sz w:val="24"/>
          <w:szCs w:val="24"/>
        </w:rPr>
        <w:t>gegenüber dem Vorjahr abschwäch</w:t>
      </w:r>
      <w:r>
        <w:rPr>
          <w:sz w:val="24"/>
          <w:szCs w:val="24"/>
        </w:rPr>
        <w:t>t</w:t>
      </w:r>
      <w:r w:rsidR="003438E4" w:rsidRPr="001054C6">
        <w:rPr>
          <w:sz w:val="24"/>
          <w:szCs w:val="24"/>
        </w:rPr>
        <w:t xml:space="preserve">“, sagt Dr. Hanno Kühn, Chief Investment Officer der Deutschen Apotheker und Ärztebank (apoBank). Für </w:t>
      </w:r>
      <w:r w:rsidRPr="001054C6">
        <w:rPr>
          <w:sz w:val="24"/>
          <w:szCs w:val="24"/>
        </w:rPr>
        <w:t xml:space="preserve">Deutschland </w:t>
      </w:r>
      <w:r w:rsidR="003438E4" w:rsidRPr="001054C6">
        <w:rPr>
          <w:sz w:val="24"/>
          <w:szCs w:val="24"/>
        </w:rPr>
        <w:t xml:space="preserve">erwartet </w:t>
      </w:r>
      <w:r>
        <w:rPr>
          <w:sz w:val="24"/>
          <w:szCs w:val="24"/>
        </w:rPr>
        <w:t>Kühn</w:t>
      </w:r>
      <w:r w:rsidR="003438E4" w:rsidRPr="001054C6">
        <w:rPr>
          <w:sz w:val="24"/>
          <w:szCs w:val="24"/>
        </w:rPr>
        <w:t xml:space="preserve"> ein Wachstum des Bruttoinlandsprodukts von lediglich </w:t>
      </w:r>
      <w:r w:rsidR="00EE797C" w:rsidRPr="001054C6">
        <w:rPr>
          <w:sz w:val="24"/>
          <w:szCs w:val="24"/>
        </w:rPr>
        <w:t>1,1 Proze</w:t>
      </w:r>
      <w:r>
        <w:rPr>
          <w:sz w:val="24"/>
          <w:szCs w:val="24"/>
        </w:rPr>
        <w:t>nt – nach prognostizierten 1,5 Prozent im Vorjahr.</w:t>
      </w:r>
    </w:p>
    <w:p w:rsidR="00660BBA" w:rsidRPr="001054C6" w:rsidRDefault="00660BBA">
      <w:pPr>
        <w:rPr>
          <w:b/>
          <w:sz w:val="24"/>
          <w:szCs w:val="24"/>
        </w:rPr>
      </w:pPr>
      <w:r w:rsidRPr="001054C6">
        <w:rPr>
          <w:b/>
          <w:sz w:val="24"/>
          <w:szCs w:val="24"/>
        </w:rPr>
        <w:t>Ende der bisherigen Weltordnung</w:t>
      </w:r>
    </w:p>
    <w:p w:rsidR="00EE797C" w:rsidRPr="001054C6" w:rsidRDefault="00EE797C">
      <w:pPr>
        <w:rPr>
          <w:sz w:val="24"/>
          <w:szCs w:val="24"/>
        </w:rPr>
      </w:pPr>
      <w:r w:rsidRPr="001054C6">
        <w:rPr>
          <w:sz w:val="24"/>
          <w:szCs w:val="24"/>
        </w:rPr>
        <w:t xml:space="preserve">Einen wesentlichen Grund für die Abschwächung sieht </w:t>
      </w:r>
      <w:r w:rsidR="003B5437">
        <w:rPr>
          <w:sz w:val="24"/>
          <w:szCs w:val="24"/>
        </w:rPr>
        <w:t>der Experte</w:t>
      </w:r>
      <w:r w:rsidRPr="001054C6">
        <w:rPr>
          <w:sz w:val="24"/>
          <w:szCs w:val="24"/>
        </w:rPr>
        <w:t xml:space="preserve"> in dem eskalierenden Handelsstreit zwischen den USA und China. Der Kampf um die globale Vorherrschaft würde </w:t>
      </w:r>
      <w:r w:rsidR="00842941">
        <w:rPr>
          <w:sz w:val="24"/>
          <w:szCs w:val="24"/>
        </w:rPr>
        <w:t xml:space="preserve">nicht nur </w:t>
      </w:r>
      <w:r w:rsidRPr="001054C6">
        <w:rPr>
          <w:sz w:val="24"/>
          <w:szCs w:val="24"/>
        </w:rPr>
        <w:t xml:space="preserve">in </w:t>
      </w:r>
      <w:r w:rsidR="008163A1">
        <w:rPr>
          <w:sz w:val="24"/>
          <w:szCs w:val="24"/>
        </w:rPr>
        <w:t xml:space="preserve">diesen </w:t>
      </w:r>
      <w:r w:rsidRPr="001054C6">
        <w:rPr>
          <w:sz w:val="24"/>
          <w:szCs w:val="24"/>
        </w:rPr>
        <w:t xml:space="preserve">beiden Volkswirtschaften </w:t>
      </w:r>
      <w:r w:rsidR="003B5437">
        <w:rPr>
          <w:sz w:val="24"/>
          <w:szCs w:val="24"/>
        </w:rPr>
        <w:t>das Wa</w:t>
      </w:r>
      <w:r w:rsidRPr="001054C6">
        <w:rPr>
          <w:sz w:val="24"/>
          <w:szCs w:val="24"/>
        </w:rPr>
        <w:t>chstum</w:t>
      </w:r>
      <w:r w:rsidR="003B5437">
        <w:rPr>
          <w:sz w:val="24"/>
          <w:szCs w:val="24"/>
        </w:rPr>
        <w:t xml:space="preserve"> verlangsamen</w:t>
      </w:r>
      <w:r w:rsidR="00660BBA" w:rsidRPr="001054C6">
        <w:rPr>
          <w:sz w:val="24"/>
          <w:szCs w:val="24"/>
        </w:rPr>
        <w:t>. „Was wir aktuell erleben, ist nicht mehr und nicht weniger als das Ende der bisherigen ökonomischen Weltordnung“</w:t>
      </w:r>
      <w:r w:rsidR="003B5437">
        <w:rPr>
          <w:sz w:val="24"/>
          <w:szCs w:val="24"/>
        </w:rPr>
        <w:t>, so Kühn</w:t>
      </w:r>
      <w:r w:rsidR="00660BBA" w:rsidRPr="001054C6">
        <w:rPr>
          <w:sz w:val="24"/>
          <w:szCs w:val="24"/>
        </w:rPr>
        <w:t xml:space="preserve">. </w:t>
      </w:r>
      <w:r w:rsidR="003B5437">
        <w:rPr>
          <w:sz w:val="24"/>
          <w:szCs w:val="24"/>
        </w:rPr>
        <w:t xml:space="preserve">Und so würden auch </w:t>
      </w:r>
      <w:r w:rsidR="003B5437" w:rsidRPr="001054C6">
        <w:rPr>
          <w:sz w:val="24"/>
          <w:szCs w:val="24"/>
        </w:rPr>
        <w:t>in den nächsten Jahren</w:t>
      </w:r>
      <w:r w:rsidR="003B5437">
        <w:rPr>
          <w:sz w:val="24"/>
          <w:szCs w:val="24"/>
        </w:rPr>
        <w:t xml:space="preserve"> geopolitische Risiken</w:t>
      </w:r>
      <w:r w:rsidR="003B5437" w:rsidRPr="001054C6">
        <w:rPr>
          <w:sz w:val="24"/>
          <w:szCs w:val="24"/>
        </w:rPr>
        <w:t xml:space="preserve"> </w:t>
      </w:r>
      <w:r w:rsidR="001B4D85">
        <w:rPr>
          <w:sz w:val="24"/>
          <w:szCs w:val="24"/>
        </w:rPr>
        <w:t xml:space="preserve">für </w:t>
      </w:r>
      <w:r w:rsidR="00660BBA" w:rsidRPr="001054C6">
        <w:rPr>
          <w:sz w:val="24"/>
          <w:szCs w:val="24"/>
        </w:rPr>
        <w:t xml:space="preserve">die Entwicklung </w:t>
      </w:r>
      <w:r w:rsidR="003B5437">
        <w:rPr>
          <w:sz w:val="24"/>
          <w:szCs w:val="24"/>
        </w:rPr>
        <w:t>der</w:t>
      </w:r>
      <w:r w:rsidR="00660BBA" w:rsidRPr="001054C6">
        <w:rPr>
          <w:sz w:val="24"/>
          <w:szCs w:val="24"/>
        </w:rPr>
        <w:t xml:space="preserve"> internationalen Finanzmärkte </w:t>
      </w:r>
      <w:r w:rsidR="00842941">
        <w:rPr>
          <w:sz w:val="24"/>
          <w:szCs w:val="24"/>
        </w:rPr>
        <w:t>an Bedeutung gewinnen</w:t>
      </w:r>
      <w:r w:rsidR="003B5437">
        <w:rPr>
          <w:sz w:val="24"/>
          <w:szCs w:val="24"/>
        </w:rPr>
        <w:t>.</w:t>
      </w:r>
    </w:p>
    <w:p w:rsidR="00CA4838" w:rsidRPr="001054C6" w:rsidRDefault="00CA4838">
      <w:pPr>
        <w:rPr>
          <w:b/>
          <w:sz w:val="24"/>
          <w:szCs w:val="24"/>
        </w:rPr>
      </w:pPr>
      <w:r w:rsidRPr="001054C6">
        <w:rPr>
          <w:b/>
          <w:sz w:val="24"/>
          <w:szCs w:val="24"/>
        </w:rPr>
        <w:t>DAX bei 11.750 Punkten erwartet</w:t>
      </w:r>
    </w:p>
    <w:p w:rsidR="00EE797C" w:rsidRPr="001054C6" w:rsidRDefault="00660BBA">
      <w:pPr>
        <w:rPr>
          <w:sz w:val="24"/>
          <w:szCs w:val="24"/>
        </w:rPr>
      </w:pPr>
      <w:r w:rsidRPr="001054C6">
        <w:rPr>
          <w:sz w:val="24"/>
          <w:szCs w:val="24"/>
        </w:rPr>
        <w:t xml:space="preserve">Entsprechend verhalten sind die </w:t>
      </w:r>
      <w:r w:rsidR="003B5437">
        <w:rPr>
          <w:sz w:val="24"/>
          <w:szCs w:val="24"/>
        </w:rPr>
        <w:t>Erwartungen der apoBank</w:t>
      </w:r>
      <w:r w:rsidRPr="001054C6">
        <w:rPr>
          <w:sz w:val="24"/>
          <w:szCs w:val="24"/>
        </w:rPr>
        <w:t xml:space="preserve"> für die Aktienmärkte: </w:t>
      </w:r>
      <w:r w:rsidR="003B5437">
        <w:rPr>
          <w:sz w:val="24"/>
          <w:szCs w:val="24"/>
        </w:rPr>
        <w:t>Kühn sieht</w:t>
      </w:r>
      <w:r w:rsidR="00CA4838" w:rsidRPr="001054C6">
        <w:rPr>
          <w:sz w:val="24"/>
          <w:szCs w:val="24"/>
        </w:rPr>
        <w:t xml:space="preserve"> den Deutschen Aktienindex DAX zum Jahresende 2019 bei 11.750 Punkten und damit </w:t>
      </w:r>
      <w:r w:rsidR="003B5437">
        <w:rPr>
          <w:sz w:val="24"/>
          <w:szCs w:val="24"/>
        </w:rPr>
        <w:t>nahezu</w:t>
      </w:r>
      <w:r w:rsidR="00CA4838" w:rsidRPr="001054C6">
        <w:rPr>
          <w:sz w:val="24"/>
          <w:szCs w:val="24"/>
        </w:rPr>
        <w:t xml:space="preserve"> </w:t>
      </w:r>
      <w:r w:rsidR="003B5437">
        <w:rPr>
          <w:sz w:val="24"/>
          <w:szCs w:val="24"/>
        </w:rPr>
        <w:t>un</w:t>
      </w:r>
      <w:r w:rsidR="00CA4838" w:rsidRPr="001054C6">
        <w:rPr>
          <w:sz w:val="24"/>
          <w:szCs w:val="24"/>
        </w:rPr>
        <w:t xml:space="preserve">verändert zum heutigen Niveau. Trotzdem empfiehlt </w:t>
      </w:r>
      <w:r w:rsidR="003B5437">
        <w:rPr>
          <w:sz w:val="24"/>
          <w:szCs w:val="24"/>
        </w:rPr>
        <w:t>er</w:t>
      </w:r>
      <w:r w:rsidR="00CA4838" w:rsidRPr="001054C6">
        <w:rPr>
          <w:sz w:val="24"/>
          <w:szCs w:val="24"/>
        </w:rPr>
        <w:t xml:space="preserve"> zum Jahresanfang eine Übergewichtung deutscher und europäischer Aktien. Ein Grund sind die aktuell attraktiven Bewertungen sowie die </w:t>
      </w:r>
      <w:r w:rsidR="00AE31A1">
        <w:rPr>
          <w:sz w:val="24"/>
          <w:szCs w:val="24"/>
        </w:rPr>
        <w:t>Aussicht auf einen marktfreundlichen Ausgang</w:t>
      </w:r>
      <w:r w:rsidR="00CA4838" w:rsidRPr="001054C6">
        <w:rPr>
          <w:sz w:val="24"/>
          <w:szCs w:val="24"/>
        </w:rPr>
        <w:t xml:space="preserve"> des italienischen Haushaltsstreits.</w:t>
      </w:r>
    </w:p>
    <w:p w:rsidR="00D33AC7" w:rsidRPr="001054C6" w:rsidRDefault="00D33AC7" w:rsidP="008A2A5F">
      <w:pPr>
        <w:rPr>
          <w:b/>
          <w:sz w:val="24"/>
          <w:szCs w:val="24"/>
        </w:rPr>
      </w:pPr>
      <w:r w:rsidRPr="001054C6">
        <w:rPr>
          <w:b/>
          <w:sz w:val="24"/>
          <w:szCs w:val="24"/>
        </w:rPr>
        <w:t>Keine signifikante geldpolitische Straffung</w:t>
      </w:r>
    </w:p>
    <w:p w:rsidR="00CA4838" w:rsidRPr="001054C6" w:rsidRDefault="00CA4838" w:rsidP="008A2A5F">
      <w:pPr>
        <w:rPr>
          <w:sz w:val="24"/>
          <w:szCs w:val="24"/>
        </w:rPr>
      </w:pPr>
      <w:r w:rsidRPr="001054C6">
        <w:rPr>
          <w:sz w:val="24"/>
          <w:szCs w:val="24"/>
        </w:rPr>
        <w:t xml:space="preserve">Die </w:t>
      </w:r>
      <w:r w:rsidR="00AE31A1">
        <w:rPr>
          <w:sz w:val="24"/>
          <w:szCs w:val="24"/>
        </w:rPr>
        <w:t>nachlassende</w:t>
      </w:r>
      <w:r w:rsidRPr="001054C6">
        <w:rPr>
          <w:sz w:val="24"/>
          <w:szCs w:val="24"/>
        </w:rPr>
        <w:t xml:space="preserve"> Wirtschaftsdynamik hat auch Auswirkungen auf die Geldpolitik. „Selbst wenn die Europäische Zentralbank</w:t>
      </w:r>
      <w:r w:rsidR="00AE31A1">
        <w:rPr>
          <w:sz w:val="24"/>
          <w:szCs w:val="24"/>
        </w:rPr>
        <w:t xml:space="preserve"> wie angekündigt</w:t>
      </w:r>
      <w:r w:rsidRPr="001054C6">
        <w:rPr>
          <w:sz w:val="24"/>
          <w:szCs w:val="24"/>
        </w:rPr>
        <w:t xml:space="preserve"> 2019 ihre Nullzinspolitik beendet, gehen wir nicht von einer signifikanten Straffung </w:t>
      </w:r>
      <w:r w:rsidR="00D33AC7" w:rsidRPr="001054C6">
        <w:rPr>
          <w:sz w:val="24"/>
          <w:szCs w:val="24"/>
        </w:rPr>
        <w:t xml:space="preserve">im Euroraum </w:t>
      </w:r>
      <w:r w:rsidRPr="001054C6">
        <w:rPr>
          <w:sz w:val="24"/>
          <w:szCs w:val="24"/>
        </w:rPr>
        <w:t>aus</w:t>
      </w:r>
      <w:r w:rsidR="00D33AC7" w:rsidRPr="001054C6">
        <w:rPr>
          <w:sz w:val="24"/>
          <w:szCs w:val="24"/>
        </w:rPr>
        <w:t xml:space="preserve">“, so Kühn. </w:t>
      </w:r>
      <w:r w:rsidR="00AE31A1">
        <w:rPr>
          <w:sz w:val="24"/>
          <w:szCs w:val="24"/>
        </w:rPr>
        <w:t xml:space="preserve">Für Rentenanleger bedeutet das: Geringes Risiko für Kursverluste, </w:t>
      </w:r>
      <w:r w:rsidR="00D33AC7" w:rsidRPr="001054C6">
        <w:rPr>
          <w:sz w:val="24"/>
          <w:szCs w:val="24"/>
        </w:rPr>
        <w:t xml:space="preserve">aber auch </w:t>
      </w:r>
      <w:r w:rsidR="00AE31A1">
        <w:rPr>
          <w:sz w:val="24"/>
          <w:szCs w:val="24"/>
        </w:rPr>
        <w:t>kaum</w:t>
      </w:r>
      <w:r w:rsidR="00D33AC7" w:rsidRPr="001054C6">
        <w:rPr>
          <w:sz w:val="24"/>
          <w:szCs w:val="24"/>
        </w:rPr>
        <w:t xml:space="preserve"> Chance</w:t>
      </w:r>
      <w:r w:rsidR="00AE31A1">
        <w:rPr>
          <w:sz w:val="24"/>
          <w:szCs w:val="24"/>
        </w:rPr>
        <w:t>n</w:t>
      </w:r>
      <w:r w:rsidR="00D33AC7" w:rsidRPr="001054C6">
        <w:rPr>
          <w:sz w:val="24"/>
          <w:szCs w:val="24"/>
        </w:rPr>
        <w:t xml:space="preserve"> auf attraktive Zinsen. </w:t>
      </w:r>
      <w:r w:rsidR="008163A1">
        <w:rPr>
          <w:sz w:val="24"/>
          <w:szCs w:val="24"/>
        </w:rPr>
        <w:t xml:space="preserve">Vor diesem Hintergrund sei es </w:t>
      </w:r>
      <w:r w:rsidR="001F2E78">
        <w:rPr>
          <w:sz w:val="24"/>
          <w:szCs w:val="24"/>
        </w:rPr>
        <w:t xml:space="preserve">nach wie vor </w:t>
      </w:r>
      <w:r w:rsidR="008163A1">
        <w:rPr>
          <w:sz w:val="24"/>
          <w:szCs w:val="24"/>
        </w:rPr>
        <w:t xml:space="preserve">wichtig, </w:t>
      </w:r>
      <w:r w:rsidR="001F2E78">
        <w:rPr>
          <w:sz w:val="24"/>
          <w:szCs w:val="24"/>
        </w:rPr>
        <w:t xml:space="preserve">in der Kapitalanlage </w:t>
      </w:r>
      <w:r w:rsidR="008163A1">
        <w:rPr>
          <w:sz w:val="24"/>
          <w:szCs w:val="24"/>
        </w:rPr>
        <w:t>bewusst Risiken einzugehen, um eine auskömmliche Rendite zu erzielen</w:t>
      </w:r>
      <w:r w:rsidR="00D33AC7" w:rsidRPr="001054C6">
        <w:rPr>
          <w:sz w:val="24"/>
          <w:szCs w:val="24"/>
        </w:rPr>
        <w:t>.</w:t>
      </w:r>
    </w:p>
    <w:p w:rsidR="00640B55" w:rsidRPr="001054C6" w:rsidRDefault="00323B40">
      <w:pPr>
        <w:rPr>
          <w:sz w:val="24"/>
          <w:szCs w:val="24"/>
        </w:rPr>
      </w:pPr>
      <w:r w:rsidRPr="001054C6">
        <w:rPr>
          <w:sz w:val="24"/>
          <w:szCs w:val="24"/>
        </w:rPr>
        <w:t xml:space="preserve">Weitere </w:t>
      </w:r>
      <w:r w:rsidR="00137D2E">
        <w:rPr>
          <w:sz w:val="24"/>
          <w:szCs w:val="24"/>
        </w:rPr>
        <w:t>Einschätzungen zum</w:t>
      </w:r>
      <w:r w:rsidRPr="001054C6">
        <w:rPr>
          <w:sz w:val="24"/>
          <w:szCs w:val="24"/>
        </w:rPr>
        <w:t xml:space="preserve"> kommende</w:t>
      </w:r>
      <w:r w:rsidR="00137D2E">
        <w:rPr>
          <w:sz w:val="24"/>
          <w:szCs w:val="24"/>
        </w:rPr>
        <w:t>n</w:t>
      </w:r>
      <w:r w:rsidRPr="001054C6">
        <w:rPr>
          <w:sz w:val="24"/>
          <w:szCs w:val="24"/>
        </w:rPr>
        <w:t xml:space="preserve"> Kapitalmarktjahr finden sich i</w:t>
      </w:r>
      <w:r w:rsidR="00FF6C95" w:rsidRPr="001054C6">
        <w:rPr>
          <w:sz w:val="24"/>
          <w:szCs w:val="24"/>
        </w:rPr>
        <w:t xml:space="preserve">m </w:t>
      </w:r>
      <w:r w:rsidRPr="001054C6">
        <w:rPr>
          <w:sz w:val="24"/>
          <w:szCs w:val="24"/>
        </w:rPr>
        <w:t>aktuellen</w:t>
      </w:r>
      <w:r w:rsidR="00FF6C95" w:rsidRPr="001054C6">
        <w:rPr>
          <w:sz w:val="24"/>
          <w:szCs w:val="24"/>
        </w:rPr>
        <w:t xml:space="preserve"> „</w:t>
      </w:r>
      <w:hyperlink r:id="rId4" w:history="1">
        <w:r w:rsidR="00FF6C95" w:rsidRPr="00B944F5">
          <w:rPr>
            <w:rStyle w:val="Hyperlink"/>
            <w:sz w:val="24"/>
            <w:szCs w:val="24"/>
          </w:rPr>
          <w:t xml:space="preserve">apoFokus – </w:t>
        </w:r>
        <w:r w:rsidR="00137D2E" w:rsidRPr="00B944F5">
          <w:rPr>
            <w:rStyle w:val="Hyperlink"/>
            <w:sz w:val="24"/>
            <w:szCs w:val="24"/>
          </w:rPr>
          <w:t>Wirtschaft und Finanzmärkte im Jahr 2019</w:t>
        </w:r>
      </w:hyperlink>
      <w:r w:rsidR="00FF6C95" w:rsidRPr="001054C6">
        <w:rPr>
          <w:sz w:val="24"/>
          <w:szCs w:val="24"/>
        </w:rPr>
        <w:t>“</w:t>
      </w:r>
      <w:r w:rsidRPr="001054C6">
        <w:rPr>
          <w:sz w:val="24"/>
          <w:szCs w:val="24"/>
        </w:rPr>
        <w:t xml:space="preserve">. </w:t>
      </w:r>
      <w:r w:rsidR="00137D2E">
        <w:rPr>
          <w:sz w:val="24"/>
          <w:szCs w:val="24"/>
        </w:rPr>
        <w:t>Neben Musterportfoli</w:t>
      </w:r>
      <w:r w:rsidR="00842941">
        <w:rPr>
          <w:sz w:val="24"/>
          <w:szCs w:val="24"/>
        </w:rPr>
        <w:t>en</w:t>
      </w:r>
      <w:r w:rsidR="00137D2E">
        <w:rPr>
          <w:sz w:val="24"/>
          <w:szCs w:val="24"/>
        </w:rPr>
        <w:t xml:space="preserve"> lesen Sie</w:t>
      </w:r>
      <w:r w:rsidR="00BE550B" w:rsidRPr="001054C6">
        <w:rPr>
          <w:sz w:val="24"/>
          <w:szCs w:val="24"/>
        </w:rPr>
        <w:t xml:space="preserve"> dort </w:t>
      </w:r>
      <w:r w:rsidRPr="001054C6">
        <w:rPr>
          <w:sz w:val="24"/>
          <w:szCs w:val="24"/>
        </w:rPr>
        <w:t xml:space="preserve">u. a. </w:t>
      </w:r>
      <w:r w:rsidR="00BE550B" w:rsidRPr="001054C6">
        <w:rPr>
          <w:sz w:val="24"/>
          <w:szCs w:val="24"/>
        </w:rPr>
        <w:t>eine Analyse de</w:t>
      </w:r>
      <w:r w:rsidR="00137D2E">
        <w:rPr>
          <w:sz w:val="24"/>
          <w:szCs w:val="24"/>
        </w:rPr>
        <w:t>r Auswirkungen de</w:t>
      </w:r>
      <w:r w:rsidR="00BE550B" w:rsidRPr="001054C6">
        <w:rPr>
          <w:sz w:val="24"/>
          <w:szCs w:val="24"/>
        </w:rPr>
        <w:t xml:space="preserve">s derzeitigen Populismus </w:t>
      </w:r>
      <w:r w:rsidR="001B4D85">
        <w:rPr>
          <w:sz w:val="24"/>
          <w:szCs w:val="24"/>
        </w:rPr>
        <w:t xml:space="preserve">auf das Finanzmarktgeschehen </w:t>
      </w:r>
      <w:r w:rsidR="00BE550B" w:rsidRPr="001054C6">
        <w:rPr>
          <w:sz w:val="24"/>
          <w:szCs w:val="24"/>
        </w:rPr>
        <w:t xml:space="preserve">sowie </w:t>
      </w:r>
      <w:r w:rsidR="001B4D85">
        <w:rPr>
          <w:sz w:val="24"/>
          <w:szCs w:val="24"/>
        </w:rPr>
        <w:t>der fortschreitenden Digitalisierung auf die Struktur der Weltwirtschaft</w:t>
      </w:r>
      <w:r w:rsidR="00640B55" w:rsidRPr="001054C6">
        <w:rPr>
          <w:sz w:val="24"/>
          <w:szCs w:val="24"/>
        </w:rPr>
        <w:t>.</w:t>
      </w:r>
    </w:p>
    <w:sectPr w:rsidR="00640B55" w:rsidRPr="001054C6" w:rsidSect="00AA1D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poS">
    <w:panose1 w:val="00000000000000000000"/>
    <w:charset w:val="00"/>
    <w:family w:val="auto"/>
    <w:pitch w:val="variable"/>
    <w:sig w:usb0="800001AF" w:usb1="000078FB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B1"/>
    <w:rsid w:val="00002223"/>
    <w:rsid w:val="000062DC"/>
    <w:rsid w:val="00010869"/>
    <w:rsid w:val="0001476D"/>
    <w:rsid w:val="00016AE6"/>
    <w:rsid w:val="00020080"/>
    <w:rsid w:val="00021517"/>
    <w:rsid w:val="00022B11"/>
    <w:rsid w:val="00023CAE"/>
    <w:rsid w:val="00024C82"/>
    <w:rsid w:val="00026F7F"/>
    <w:rsid w:val="00031E78"/>
    <w:rsid w:val="000367B1"/>
    <w:rsid w:val="00052CF8"/>
    <w:rsid w:val="00052E66"/>
    <w:rsid w:val="00054C42"/>
    <w:rsid w:val="00056ED8"/>
    <w:rsid w:val="00060EA7"/>
    <w:rsid w:val="00062F5A"/>
    <w:rsid w:val="0006594B"/>
    <w:rsid w:val="00065ED8"/>
    <w:rsid w:val="00067F8F"/>
    <w:rsid w:val="00072811"/>
    <w:rsid w:val="00073927"/>
    <w:rsid w:val="00075110"/>
    <w:rsid w:val="000823AA"/>
    <w:rsid w:val="00091331"/>
    <w:rsid w:val="00094401"/>
    <w:rsid w:val="00096F5F"/>
    <w:rsid w:val="000A03A5"/>
    <w:rsid w:val="000A05FA"/>
    <w:rsid w:val="000A3B99"/>
    <w:rsid w:val="000A4920"/>
    <w:rsid w:val="000A753B"/>
    <w:rsid w:val="000B3C93"/>
    <w:rsid w:val="000C1271"/>
    <w:rsid w:val="000C1ECA"/>
    <w:rsid w:val="000C5286"/>
    <w:rsid w:val="000C622B"/>
    <w:rsid w:val="000D21EE"/>
    <w:rsid w:val="000E0DD3"/>
    <w:rsid w:val="000E19C9"/>
    <w:rsid w:val="000E51CA"/>
    <w:rsid w:val="000E7490"/>
    <w:rsid w:val="000F2010"/>
    <w:rsid w:val="00102CFB"/>
    <w:rsid w:val="00104907"/>
    <w:rsid w:val="001052E3"/>
    <w:rsid w:val="001054C6"/>
    <w:rsid w:val="00105714"/>
    <w:rsid w:val="00110F50"/>
    <w:rsid w:val="001169C7"/>
    <w:rsid w:val="001200FD"/>
    <w:rsid w:val="00120A90"/>
    <w:rsid w:val="00121D50"/>
    <w:rsid w:val="001262BA"/>
    <w:rsid w:val="001265FC"/>
    <w:rsid w:val="001301F6"/>
    <w:rsid w:val="00134DFE"/>
    <w:rsid w:val="00137499"/>
    <w:rsid w:val="00137D2E"/>
    <w:rsid w:val="00140FF7"/>
    <w:rsid w:val="00142ED3"/>
    <w:rsid w:val="00143975"/>
    <w:rsid w:val="00143A83"/>
    <w:rsid w:val="00150ED5"/>
    <w:rsid w:val="0015423A"/>
    <w:rsid w:val="00155A43"/>
    <w:rsid w:val="00156627"/>
    <w:rsid w:val="00165E01"/>
    <w:rsid w:val="001719A1"/>
    <w:rsid w:val="00172CF7"/>
    <w:rsid w:val="00180AED"/>
    <w:rsid w:val="00181DE7"/>
    <w:rsid w:val="001832C4"/>
    <w:rsid w:val="00190DBB"/>
    <w:rsid w:val="001924C9"/>
    <w:rsid w:val="00194594"/>
    <w:rsid w:val="001951F5"/>
    <w:rsid w:val="00195D1C"/>
    <w:rsid w:val="001A12E2"/>
    <w:rsid w:val="001A134A"/>
    <w:rsid w:val="001A46A8"/>
    <w:rsid w:val="001B4D85"/>
    <w:rsid w:val="001B5091"/>
    <w:rsid w:val="001D1643"/>
    <w:rsid w:val="001D793F"/>
    <w:rsid w:val="001D7E54"/>
    <w:rsid w:val="001E0B67"/>
    <w:rsid w:val="001E49EA"/>
    <w:rsid w:val="001E645D"/>
    <w:rsid w:val="001F2E78"/>
    <w:rsid w:val="001F3F4E"/>
    <w:rsid w:val="001F470E"/>
    <w:rsid w:val="0020242B"/>
    <w:rsid w:val="002054D8"/>
    <w:rsid w:val="002057DC"/>
    <w:rsid w:val="002074E9"/>
    <w:rsid w:val="002076F4"/>
    <w:rsid w:val="00210157"/>
    <w:rsid w:val="002251A9"/>
    <w:rsid w:val="00226B62"/>
    <w:rsid w:val="0022753B"/>
    <w:rsid w:val="00227933"/>
    <w:rsid w:val="00232B00"/>
    <w:rsid w:val="0023610A"/>
    <w:rsid w:val="00241A19"/>
    <w:rsid w:val="00242B79"/>
    <w:rsid w:val="00246656"/>
    <w:rsid w:val="0025087F"/>
    <w:rsid w:val="0025165A"/>
    <w:rsid w:val="00253F09"/>
    <w:rsid w:val="00254256"/>
    <w:rsid w:val="0025608D"/>
    <w:rsid w:val="0026011C"/>
    <w:rsid w:val="00261CA9"/>
    <w:rsid w:val="0026392F"/>
    <w:rsid w:val="00263A6C"/>
    <w:rsid w:val="0027086D"/>
    <w:rsid w:val="00271958"/>
    <w:rsid w:val="002776A0"/>
    <w:rsid w:val="00280DDD"/>
    <w:rsid w:val="00293830"/>
    <w:rsid w:val="00293F34"/>
    <w:rsid w:val="002A3F11"/>
    <w:rsid w:val="002A77F1"/>
    <w:rsid w:val="002B4CCA"/>
    <w:rsid w:val="002B4E96"/>
    <w:rsid w:val="002B67C4"/>
    <w:rsid w:val="002B6A91"/>
    <w:rsid w:val="002B6DBF"/>
    <w:rsid w:val="002C6572"/>
    <w:rsid w:val="002D2751"/>
    <w:rsid w:val="002D39B1"/>
    <w:rsid w:val="002D5E5D"/>
    <w:rsid w:val="002E2528"/>
    <w:rsid w:val="002E2A2F"/>
    <w:rsid w:val="002E5C67"/>
    <w:rsid w:val="002F5EB2"/>
    <w:rsid w:val="002F662B"/>
    <w:rsid w:val="00300874"/>
    <w:rsid w:val="0031060B"/>
    <w:rsid w:val="00310BBE"/>
    <w:rsid w:val="0031377C"/>
    <w:rsid w:val="00321012"/>
    <w:rsid w:val="00323B40"/>
    <w:rsid w:val="00324F38"/>
    <w:rsid w:val="00332E2E"/>
    <w:rsid w:val="00336A5D"/>
    <w:rsid w:val="00340B61"/>
    <w:rsid w:val="0034330E"/>
    <w:rsid w:val="003438E4"/>
    <w:rsid w:val="00345A46"/>
    <w:rsid w:val="0035483E"/>
    <w:rsid w:val="00354856"/>
    <w:rsid w:val="00356282"/>
    <w:rsid w:val="00357957"/>
    <w:rsid w:val="00374D60"/>
    <w:rsid w:val="00376EF9"/>
    <w:rsid w:val="003770BD"/>
    <w:rsid w:val="00384E6F"/>
    <w:rsid w:val="00390026"/>
    <w:rsid w:val="003939A7"/>
    <w:rsid w:val="00395F1C"/>
    <w:rsid w:val="00397B43"/>
    <w:rsid w:val="003A318E"/>
    <w:rsid w:val="003A4206"/>
    <w:rsid w:val="003B08E4"/>
    <w:rsid w:val="003B432F"/>
    <w:rsid w:val="003B5437"/>
    <w:rsid w:val="003B6753"/>
    <w:rsid w:val="003B6C46"/>
    <w:rsid w:val="003C1468"/>
    <w:rsid w:val="003E2B95"/>
    <w:rsid w:val="003E3499"/>
    <w:rsid w:val="003E534C"/>
    <w:rsid w:val="003F3796"/>
    <w:rsid w:val="003F47DE"/>
    <w:rsid w:val="003F487A"/>
    <w:rsid w:val="004057DA"/>
    <w:rsid w:val="00407A1F"/>
    <w:rsid w:val="00414B05"/>
    <w:rsid w:val="00416051"/>
    <w:rsid w:val="0042140B"/>
    <w:rsid w:val="00423D22"/>
    <w:rsid w:val="00427297"/>
    <w:rsid w:val="00427E17"/>
    <w:rsid w:val="004324B1"/>
    <w:rsid w:val="00434F19"/>
    <w:rsid w:val="0043514B"/>
    <w:rsid w:val="004425CA"/>
    <w:rsid w:val="00446673"/>
    <w:rsid w:val="004559AA"/>
    <w:rsid w:val="0045616E"/>
    <w:rsid w:val="004600FD"/>
    <w:rsid w:val="00463320"/>
    <w:rsid w:val="0046570E"/>
    <w:rsid w:val="0046766A"/>
    <w:rsid w:val="004714E0"/>
    <w:rsid w:val="00472B5E"/>
    <w:rsid w:val="004838C2"/>
    <w:rsid w:val="00485B35"/>
    <w:rsid w:val="00496D0C"/>
    <w:rsid w:val="004A0810"/>
    <w:rsid w:val="004B1B38"/>
    <w:rsid w:val="004B2E81"/>
    <w:rsid w:val="004B66D1"/>
    <w:rsid w:val="004B6DED"/>
    <w:rsid w:val="004C0A21"/>
    <w:rsid w:val="004D2D72"/>
    <w:rsid w:val="004E251B"/>
    <w:rsid w:val="004E35EA"/>
    <w:rsid w:val="004E5D67"/>
    <w:rsid w:val="004E76C7"/>
    <w:rsid w:val="004F32D1"/>
    <w:rsid w:val="004F3F73"/>
    <w:rsid w:val="004F4D85"/>
    <w:rsid w:val="00501E63"/>
    <w:rsid w:val="00516EB1"/>
    <w:rsid w:val="00520F13"/>
    <w:rsid w:val="00536D26"/>
    <w:rsid w:val="00542570"/>
    <w:rsid w:val="00560E22"/>
    <w:rsid w:val="00563200"/>
    <w:rsid w:val="005670AE"/>
    <w:rsid w:val="00572D5B"/>
    <w:rsid w:val="00583CE8"/>
    <w:rsid w:val="005877D0"/>
    <w:rsid w:val="0059002B"/>
    <w:rsid w:val="00590109"/>
    <w:rsid w:val="00591B85"/>
    <w:rsid w:val="005956A0"/>
    <w:rsid w:val="005A01DB"/>
    <w:rsid w:val="005A30D0"/>
    <w:rsid w:val="005A57B1"/>
    <w:rsid w:val="005B2F5A"/>
    <w:rsid w:val="005C559E"/>
    <w:rsid w:val="005C7803"/>
    <w:rsid w:val="005D4081"/>
    <w:rsid w:val="005E29DC"/>
    <w:rsid w:val="005F6E27"/>
    <w:rsid w:val="005F6FC1"/>
    <w:rsid w:val="00601AC2"/>
    <w:rsid w:val="00603A0E"/>
    <w:rsid w:val="006041B9"/>
    <w:rsid w:val="0060487A"/>
    <w:rsid w:val="00614378"/>
    <w:rsid w:val="006230B4"/>
    <w:rsid w:val="00623A57"/>
    <w:rsid w:val="0062403F"/>
    <w:rsid w:val="00624F00"/>
    <w:rsid w:val="00625F57"/>
    <w:rsid w:val="00630067"/>
    <w:rsid w:val="006350A0"/>
    <w:rsid w:val="00635B53"/>
    <w:rsid w:val="006362E8"/>
    <w:rsid w:val="00640B55"/>
    <w:rsid w:val="0064189F"/>
    <w:rsid w:val="00655F27"/>
    <w:rsid w:val="00660853"/>
    <w:rsid w:val="00660BBA"/>
    <w:rsid w:val="00664BD3"/>
    <w:rsid w:val="00666ECD"/>
    <w:rsid w:val="00666F3B"/>
    <w:rsid w:val="00671C9F"/>
    <w:rsid w:val="00680496"/>
    <w:rsid w:val="00694B52"/>
    <w:rsid w:val="006A5141"/>
    <w:rsid w:val="006B12FD"/>
    <w:rsid w:val="006B1672"/>
    <w:rsid w:val="006B1F9F"/>
    <w:rsid w:val="006B499B"/>
    <w:rsid w:val="006C411A"/>
    <w:rsid w:val="006C4B3C"/>
    <w:rsid w:val="006C65E7"/>
    <w:rsid w:val="006C6A13"/>
    <w:rsid w:val="006D2412"/>
    <w:rsid w:val="006D3A21"/>
    <w:rsid w:val="006D63E5"/>
    <w:rsid w:val="006E3E6F"/>
    <w:rsid w:val="006F0C56"/>
    <w:rsid w:val="006F29B7"/>
    <w:rsid w:val="006F5ABE"/>
    <w:rsid w:val="006F60F9"/>
    <w:rsid w:val="00710653"/>
    <w:rsid w:val="00712EE2"/>
    <w:rsid w:val="0071303A"/>
    <w:rsid w:val="00716BDB"/>
    <w:rsid w:val="00717D92"/>
    <w:rsid w:val="00721FBE"/>
    <w:rsid w:val="0072318B"/>
    <w:rsid w:val="0072679E"/>
    <w:rsid w:val="0073190E"/>
    <w:rsid w:val="00735838"/>
    <w:rsid w:val="00740EBC"/>
    <w:rsid w:val="00743DB1"/>
    <w:rsid w:val="007445D3"/>
    <w:rsid w:val="0075183C"/>
    <w:rsid w:val="007518EF"/>
    <w:rsid w:val="00751F2A"/>
    <w:rsid w:val="007534D7"/>
    <w:rsid w:val="007564D2"/>
    <w:rsid w:val="007604E0"/>
    <w:rsid w:val="00764994"/>
    <w:rsid w:val="007730D0"/>
    <w:rsid w:val="00777BA1"/>
    <w:rsid w:val="00782E21"/>
    <w:rsid w:val="00785DA6"/>
    <w:rsid w:val="0078778F"/>
    <w:rsid w:val="00790FE1"/>
    <w:rsid w:val="00792F73"/>
    <w:rsid w:val="00797949"/>
    <w:rsid w:val="007A1718"/>
    <w:rsid w:val="007A37B1"/>
    <w:rsid w:val="007A5EFA"/>
    <w:rsid w:val="007C0305"/>
    <w:rsid w:val="007C1317"/>
    <w:rsid w:val="007C1B74"/>
    <w:rsid w:val="007C641B"/>
    <w:rsid w:val="007D1F2D"/>
    <w:rsid w:val="007D290E"/>
    <w:rsid w:val="007D6578"/>
    <w:rsid w:val="007E0D00"/>
    <w:rsid w:val="007E640E"/>
    <w:rsid w:val="007F054F"/>
    <w:rsid w:val="0080034D"/>
    <w:rsid w:val="00800FF7"/>
    <w:rsid w:val="0080159C"/>
    <w:rsid w:val="0080607C"/>
    <w:rsid w:val="008112FD"/>
    <w:rsid w:val="00813AC6"/>
    <w:rsid w:val="0081473B"/>
    <w:rsid w:val="008163A1"/>
    <w:rsid w:val="00816803"/>
    <w:rsid w:val="008215B9"/>
    <w:rsid w:val="00825E49"/>
    <w:rsid w:val="00826B20"/>
    <w:rsid w:val="0083069C"/>
    <w:rsid w:val="008312C9"/>
    <w:rsid w:val="00832DBD"/>
    <w:rsid w:val="00834C25"/>
    <w:rsid w:val="00835A81"/>
    <w:rsid w:val="00842941"/>
    <w:rsid w:val="00846089"/>
    <w:rsid w:val="008544F3"/>
    <w:rsid w:val="00862668"/>
    <w:rsid w:val="00863216"/>
    <w:rsid w:val="0086443B"/>
    <w:rsid w:val="008662D5"/>
    <w:rsid w:val="008726E4"/>
    <w:rsid w:val="00873CF3"/>
    <w:rsid w:val="00873E12"/>
    <w:rsid w:val="00885079"/>
    <w:rsid w:val="00894D7C"/>
    <w:rsid w:val="008A2A5F"/>
    <w:rsid w:val="008B3A3A"/>
    <w:rsid w:val="008B7A34"/>
    <w:rsid w:val="008C2A3A"/>
    <w:rsid w:val="008C4280"/>
    <w:rsid w:val="008D1DE0"/>
    <w:rsid w:val="008D7221"/>
    <w:rsid w:val="008E3985"/>
    <w:rsid w:val="008E4710"/>
    <w:rsid w:val="008E61B5"/>
    <w:rsid w:val="008F0EC8"/>
    <w:rsid w:val="008F67F4"/>
    <w:rsid w:val="00902998"/>
    <w:rsid w:val="009072BE"/>
    <w:rsid w:val="00915EFE"/>
    <w:rsid w:val="00923D68"/>
    <w:rsid w:val="00926FF9"/>
    <w:rsid w:val="009378EE"/>
    <w:rsid w:val="009414DA"/>
    <w:rsid w:val="009431B0"/>
    <w:rsid w:val="00945914"/>
    <w:rsid w:val="00946767"/>
    <w:rsid w:val="009479FA"/>
    <w:rsid w:val="00950153"/>
    <w:rsid w:val="00953F8B"/>
    <w:rsid w:val="00955ADD"/>
    <w:rsid w:val="00961D93"/>
    <w:rsid w:val="0096249C"/>
    <w:rsid w:val="00965F93"/>
    <w:rsid w:val="00967FDA"/>
    <w:rsid w:val="00967FEF"/>
    <w:rsid w:val="00974B0C"/>
    <w:rsid w:val="00984CFF"/>
    <w:rsid w:val="00986236"/>
    <w:rsid w:val="00986C6C"/>
    <w:rsid w:val="00990232"/>
    <w:rsid w:val="009904C7"/>
    <w:rsid w:val="00991437"/>
    <w:rsid w:val="00991F96"/>
    <w:rsid w:val="00992BA4"/>
    <w:rsid w:val="009A35E9"/>
    <w:rsid w:val="009A52B4"/>
    <w:rsid w:val="009B0FAE"/>
    <w:rsid w:val="009B209C"/>
    <w:rsid w:val="009B3A75"/>
    <w:rsid w:val="009C4A23"/>
    <w:rsid w:val="009C6DE5"/>
    <w:rsid w:val="009D0E63"/>
    <w:rsid w:val="009D4135"/>
    <w:rsid w:val="009D46CB"/>
    <w:rsid w:val="009D730F"/>
    <w:rsid w:val="009E5FCB"/>
    <w:rsid w:val="009E6D58"/>
    <w:rsid w:val="009F379C"/>
    <w:rsid w:val="009F6D1A"/>
    <w:rsid w:val="009F7F80"/>
    <w:rsid w:val="00A02658"/>
    <w:rsid w:val="00A032CE"/>
    <w:rsid w:val="00A0714B"/>
    <w:rsid w:val="00A10A4A"/>
    <w:rsid w:val="00A11205"/>
    <w:rsid w:val="00A2067D"/>
    <w:rsid w:val="00A22D51"/>
    <w:rsid w:val="00A24E61"/>
    <w:rsid w:val="00A432F8"/>
    <w:rsid w:val="00A445B9"/>
    <w:rsid w:val="00A47550"/>
    <w:rsid w:val="00A52E5B"/>
    <w:rsid w:val="00A548E8"/>
    <w:rsid w:val="00A549E7"/>
    <w:rsid w:val="00A63659"/>
    <w:rsid w:val="00A658E3"/>
    <w:rsid w:val="00A66E3B"/>
    <w:rsid w:val="00A709CC"/>
    <w:rsid w:val="00A71336"/>
    <w:rsid w:val="00A73268"/>
    <w:rsid w:val="00A736F1"/>
    <w:rsid w:val="00A7495C"/>
    <w:rsid w:val="00A76B04"/>
    <w:rsid w:val="00A77D63"/>
    <w:rsid w:val="00A835D5"/>
    <w:rsid w:val="00A84084"/>
    <w:rsid w:val="00A8575D"/>
    <w:rsid w:val="00A873E9"/>
    <w:rsid w:val="00A929C5"/>
    <w:rsid w:val="00AA1DA3"/>
    <w:rsid w:val="00AA33A4"/>
    <w:rsid w:val="00AA3786"/>
    <w:rsid w:val="00AB39E4"/>
    <w:rsid w:val="00AB4DCB"/>
    <w:rsid w:val="00AC397B"/>
    <w:rsid w:val="00AC7F05"/>
    <w:rsid w:val="00AD7B4B"/>
    <w:rsid w:val="00AE2175"/>
    <w:rsid w:val="00AE31A1"/>
    <w:rsid w:val="00AE569C"/>
    <w:rsid w:val="00AE615B"/>
    <w:rsid w:val="00AE691F"/>
    <w:rsid w:val="00AE72D8"/>
    <w:rsid w:val="00AF1E4A"/>
    <w:rsid w:val="00B000D4"/>
    <w:rsid w:val="00B03E98"/>
    <w:rsid w:val="00B13674"/>
    <w:rsid w:val="00B13FC6"/>
    <w:rsid w:val="00B20D10"/>
    <w:rsid w:val="00B34793"/>
    <w:rsid w:val="00B37E78"/>
    <w:rsid w:val="00B45BF8"/>
    <w:rsid w:val="00B51717"/>
    <w:rsid w:val="00B534AA"/>
    <w:rsid w:val="00B60735"/>
    <w:rsid w:val="00B6629A"/>
    <w:rsid w:val="00B67BEE"/>
    <w:rsid w:val="00B67F8D"/>
    <w:rsid w:val="00B70DE6"/>
    <w:rsid w:val="00B73119"/>
    <w:rsid w:val="00B76664"/>
    <w:rsid w:val="00B8197A"/>
    <w:rsid w:val="00B8321F"/>
    <w:rsid w:val="00B91674"/>
    <w:rsid w:val="00B944F5"/>
    <w:rsid w:val="00B95270"/>
    <w:rsid w:val="00B96408"/>
    <w:rsid w:val="00BB0066"/>
    <w:rsid w:val="00BB6BFF"/>
    <w:rsid w:val="00BC01A5"/>
    <w:rsid w:val="00BC49B3"/>
    <w:rsid w:val="00BC4C96"/>
    <w:rsid w:val="00BD08F7"/>
    <w:rsid w:val="00BD2147"/>
    <w:rsid w:val="00BD340C"/>
    <w:rsid w:val="00BE1C2B"/>
    <w:rsid w:val="00BE550B"/>
    <w:rsid w:val="00BE56DA"/>
    <w:rsid w:val="00BE78AC"/>
    <w:rsid w:val="00BF05F8"/>
    <w:rsid w:val="00BF0726"/>
    <w:rsid w:val="00BF2295"/>
    <w:rsid w:val="00BF7CC0"/>
    <w:rsid w:val="00C02AE7"/>
    <w:rsid w:val="00C03AEA"/>
    <w:rsid w:val="00C0442B"/>
    <w:rsid w:val="00C06473"/>
    <w:rsid w:val="00C1131A"/>
    <w:rsid w:val="00C13F58"/>
    <w:rsid w:val="00C178B1"/>
    <w:rsid w:val="00C17C05"/>
    <w:rsid w:val="00C27165"/>
    <w:rsid w:val="00C30B68"/>
    <w:rsid w:val="00C34660"/>
    <w:rsid w:val="00C3479E"/>
    <w:rsid w:val="00C35622"/>
    <w:rsid w:val="00C50630"/>
    <w:rsid w:val="00C564AD"/>
    <w:rsid w:val="00C567C7"/>
    <w:rsid w:val="00C613A2"/>
    <w:rsid w:val="00C613C0"/>
    <w:rsid w:val="00C61CC7"/>
    <w:rsid w:val="00C64F23"/>
    <w:rsid w:val="00C664F9"/>
    <w:rsid w:val="00C67724"/>
    <w:rsid w:val="00C71FEB"/>
    <w:rsid w:val="00C736FD"/>
    <w:rsid w:val="00C7374A"/>
    <w:rsid w:val="00C778D8"/>
    <w:rsid w:val="00C84FF6"/>
    <w:rsid w:val="00C85004"/>
    <w:rsid w:val="00C869C2"/>
    <w:rsid w:val="00C86D94"/>
    <w:rsid w:val="00C95A64"/>
    <w:rsid w:val="00CA1A65"/>
    <w:rsid w:val="00CA2656"/>
    <w:rsid w:val="00CA4838"/>
    <w:rsid w:val="00CB33E1"/>
    <w:rsid w:val="00CB4184"/>
    <w:rsid w:val="00CB4E06"/>
    <w:rsid w:val="00CC5045"/>
    <w:rsid w:val="00CC59B2"/>
    <w:rsid w:val="00CC7C8D"/>
    <w:rsid w:val="00CD57E4"/>
    <w:rsid w:val="00CF6CDE"/>
    <w:rsid w:val="00D031ED"/>
    <w:rsid w:val="00D0327A"/>
    <w:rsid w:val="00D04B83"/>
    <w:rsid w:val="00D13533"/>
    <w:rsid w:val="00D15045"/>
    <w:rsid w:val="00D15108"/>
    <w:rsid w:val="00D1620A"/>
    <w:rsid w:val="00D21096"/>
    <w:rsid w:val="00D2629D"/>
    <w:rsid w:val="00D26A42"/>
    <w:rsid w:val="00D26BF3"/>
    <w:rsid w:val="00D30562"/>
    <w:rsid w:val="00D33AC7"/>
    <w:rsid w:val="00D34DAE"/>
    <w:rsid w:val="00D37305"/>
    <w:rsid w:val="00D41976"/>
    <w:rsid w:val="00D47A8F"/>
    <w:rsid w:val="00D53518"/>
    <w:rsid w:val="00D55196"/>
    <w:rsid w:val="00D57822"/>
    <w:rsid w:val="00D57C10"/>
    <w:rsid w:val="00D665F1"/>
    <w:rsid w:val="00D72EC4"/>
    <w:rsid w:val="00D84F03"/>
    <w:rsid w:val="00D86246"/>
    <w:rsid w:val="00D91759"/>
    <w:rsid w:val="00D938A3"/>
    <w:rsid w:val="00D94AD3"/>
    <w:rsid w:val="00D95372"/>
    <w:rsid w:val="00D97B8A"/>
    <w:rsid w:val="00D97C35"/>
    <w:rsid w:val="00DA01AE"/>
    <w:rsid w:val="00DA096F"/>
    <w:rsid w:val="00DA57D1"/>
    <w:rsid w:val="00DB07C5"/>
    <w:rsid w:val="00DB5578"/>
    <w:rsid w:val="00DC590E"/>
    <w:rsid w:val="00DC7A5D"/>
    <w:rsid w:val="00DD018B"/>
    <w:rsid w:val="00DD1C01"/>
    <w:rsid w:val="00DD690A"/>
    <w:rsid w:val="00DE056D"/>
    <w:rsid w:val="00DE25BD"/>
    <w:rsid w:val="00DE7519"/>
    <w:rsid w:val="00DF2507"/>
    <w:rsid w:val="00DF2C3F"/>
    <w:rsid w:val="00DF374C"/>
    <w:rsid w:val="00DF3807"/>
    <w:rsid w:val="00E02BF5"/>
    <w:rsid w:val="00E04539"/>
    <w:rsid w:val="00E111CC"/>
    <w:rsid w:val="00E14C18"/>
    <w:rsid w:val="00E24A0F"/>
    <w:rsid w:val="00E305F8"/>
    <w:rsid w:val="00E345B1"/>
    <w:rsid w:val="00E35B9D"/>
    <w:rsid w:val="00E371FF"/>
    <w:rsid w:val="00E413F6"/>
    <w:rsid w:val="00E4273D"/>
    <w:rsid w:val="00E43A0C"/>
    <w:rsid w:val="00E43A8F"/>
    <w:rsid w:val="00E47FC7"/>
    <w:rsid w:val="00E541E7"/>
    <w:rsid w:val="00E5445B"/>
    <w:rsid w:val="00E81568"/>
    <w:rsid w:val="00E83E3A"/>
    <w:rsid w:val="00E84FA4"/>
    <w:rsid w:val="00E86129"/>
    <w:rsid w:val="00E86190"/>
    <w:rsid w:val="00E90CD2"/>
    <w:rsid w:val="00E918AA"/>
    <w:rsid w:val="00E91DC3"/>
    <w:rsid w:val="00E92640"/>
    <w:rsid w:val="00E94E84"/>
    <w:rsid w:val="00EA1128"/>
    <w:rsid w:val="00EB052B"/>
    <w:rsid w:val="00EB0CE2"/>
    <w:rsid w:val="00EB19A7"/>
    <w:rsid w:val="00EB277B"/>
    <w:rsid w:val="00EC0D7D"/>
    <w:rsid w:val="00EC66B6"/>
    <w:rsid w:val="00EE185A"/>
    <w:rsid w:val="00EE797C"/>
    <w:rsid w:val="00EF03B5"/>
    <w:rsid w:val="00EF37D6"/>
    <w:rsid w:val="00EF419D"/>
    <w:rsid w:val="00EF59E7"/>
    <w:rsid w:val="00EF617F"/>
    <w:rsid w:val="00F0197E"/>
    <w:rsid w:val="00F0236E"/>
    <w:rsid w:val="00F059C4"/>
    <w:rsid w:val="00F05A4E"/>
    <w:rsid w:val="00F05F6F"/>
    <w:rsid w:val="00F11C09"/>
    <w:rsid w:val="00F13159"/>
    <w:rsid w:val="00F133B9"/>
    <w:rsid w:val="00F14BFE"/>
    <w:rsid w:val="00F31609"/>
    <w:rsid w:val="00F32F27"/>
    <w:rsid w:val="00F33581"/>
    <w:rsid w:val="00F344D6"/>
    <w:rsid w:val="00F36690"/>
    <w:rsid w:val="00F460B0"/>
    <w:rsid w:val="00F54B33"/>
    <w:rsid w:val="00F54E02"/>
    <w:rsid w:val="00F55660"/>
    <w:rsid w:val="00F60571"/>
    <w:rsid w:val="00F6231E"/>
    <w:rsid w:val="00F6582B"/>
    <w:rsid w:val="00F80E98"/>
    <w:rsid w:val="00F825C5"/>
    <w:rsid w:val="00F8359F"/>
    <w:rsid w:val="00F84ED1"/>
    <w:rsid w:val="00F87738"/>
    <w:rsid w:val="00F91207"/>
    <w:rsid w:val="00F920F6"/>
    <w:rsid w:val="00F94DD1"/>
    <w:rsid w:val="00FA08D9"/>
    <w:rsid w:val="00FA25A1"/>
    <w:rsid w:val="00FA4762"/>
    <w:rsid w:val="00FA65F7"/>
    <w:rsid w:val="00FA7DE1"/>
    <w:rsid w:val="00FB3759"/>
    <w:rsid w:val="00FB37DA"/>
    <w:rsid w:val="00FC05CB"/>
    <w:rsid w:val="00FC0EA5"/>
    <w:rsid w:val="00FC2433"/>
    <w:rsid w:val="00FC324B"/>
    <w:rsid w:val="00FC3AE7"/>
    <w:rsid w:val="00FC3E2F"/>
    <w:rsid w:val="00FC728E"/>
    <w:rsid w:val="00FD1CBC"/>
    <w:rsid w:val="00FD2A5C"/>
    <w:rsid w:val="00FD7BF5"/>
    <w:rsid w:val="00FE33F6"/>
    <w:rsid w:val="00FE6214"/>
    <w:rsid w:val="00FE7225"/>
    <w:rsid w:val="00FE7230"/>
    <w:rsid w:val="00FF0A0E"/>
    <w:rsid w:val="00FF2528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EE90E-C36E-4B77-8D68-9214B453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poS" w:eastAsiaTheme="minorHAnsi" w:hAnsi="CorpoS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1DA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2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21EE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B94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pobank.de/geldanlage-vermoegen/analysen-kommentare.htm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 Apotheker- und Ärztebank eG, Düsseldorf</Company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yghksgr</dc:creator>
  <cp:keywords/>
  <dc:description/>
  <cp:lastModifiedBy>yg7u84u</cp:lastModifiedBy>
  <cp:revision>8</cp:revision>
  <cp:lastPrinted>2018-12-10T12:50:00Z</cp:lastPrinted>
  <dcterms:created xsi:type="dcterms:W3CDTF">2018-12-03T10:01:00Z</dcterms:created>
  <dcterms:modified xsi:type="dcterms:W3CDTF">2018-12-10T13:05:00Z</dcterms:modified>
</cp:coreProperties>
</file>